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52968" w14:textId="77777777" w:rsidR="00E5059D" w:rsidRPr="00922E2A" w:rsidRDefault="009656EE" w:rsidP="00E5059D">
      <w:pPr>
        <w:rPr>
          <w:b/>
          <w:color w:val="FF0000"/>
          <w:sz w:val="28"/>
          <w:szCs w:val="28"/>
        </w:rPr>
      </w:pPr>
      <w:bookmarkStart w:id="0" w:name="_Toc466389323"/>
      <w:bookmarkStart w:id="1" w:name="_Toc466389643"/>
      <w:bookmarkStart w:id="2" w:name="_Toc466389965"/>
      <w:r>
        <w:rPr>
          <w:b/>
          <w:color w:val="FF0000"/>
          <w:sz w:val="28"/>
          <w:szCs w:val="28"/>
        </w:rPr>
        <w:t xml:space="preserve"> </w:t>
      </w:r>
    </w:p>
    <w:p w14:paraId="395256CB" w14:textId="77777777" w:rsidR="00E5059D" w:rsidRPr="00922E2A" w:rsidRDefault="00E5059D" w:rsidP="00E5059D">
      <w:pPr>
        <w:rPr>
          <w:sz w:val="28"/>
          <w:szCs w:val="28"/>
        </w:rPr>
      </w:pPr>
    </w:p>
    <w:p w14:paraId="26D885AF" w14:textId="77777777" w:rsidR="00E5059D" w:rsidRPr="00922E2A" w:rsidRDefault="00E5059D" w:rsidP="00E5059D">
      <w:pPr>
        <w:rPr>
          <w:sz w:val="28"/>
          <w:szCs w:val="28"/>
        </w:rPr>
      </w:pPr>
    </w:p>
    <w:p w14:paraId="5B8D5F8B" w14:textId="77777777" w:rsidR="00E5059D" w:rsidRPr="00922E2A" w:rsidRDefault="00E5059D" w:rsidP="00E5059D">
      <w:pPr>
        <w:rPr>
          <w:sz w:val="28"/>
          <w:szCs w:val="28"/>
        </w:rPr>
      </w:pPr>
    </w:p>
    <w:p w14:paraId="59973096" w14:textId="77777777" w:rsidR="00E5059D" w:rsidRPr="00922E2A" w:rsidRDefault="00E5059D" w:rsidP="00E5059D">
      <w:pPr>
        <w:rPr>
          <w:sz w:val="28"/>
          <w:szCs w:val="28"/>
        </w:rPr>
      </w:pPr>
    </w:p>
    <w:p w14:paraId="182FC336" w14:textId="77777777" w:rsidR="00E5059D" w:rsidRPr="00922E2A" w:rsidRDefault="00E5059D" w:rsidP="00E5059D">
      <w:pPr>
        <w:rPr>
          <w:b/>
          <w:color w:val="FF0000"/>
          <w:sz w:val="28"/>
          <w:szCs w:val="28"/>
        </w:rPr>
      </w:pPr>
    </w:p>
    <w:p w14:paraId="7B60A47D" w14:textId="77777777" w:rsidR="00E5059D" w:rsidRPr="00922E2A" w:rsidRDefault="00E5059D" w:rsidP="00E5059D">
      <w:pPr>
        <w:rPr>
          <w:sz w:val="28"/>
          <w:szCs w:val="28"/>
        </w:rPr>
      </w:pPr>
    </w:p>
    <w:p w14:paraId="45934041" w14:textId="77777777" w:rsidR="00E5059D" w:rsidRPr="00FF68F1" w:rsidRDefault="00E5059D" w:rsidP="00E5059D">
      <w:pPr>
        <w:jc w:val="left"/>
        <w:rPr>
          <w:rFonts w:ascii="Helvetica" w:hAnsi="Helvetica" w:cs="HelveticaNeue-Bold"/>
          <w:b/>
          <w:bCs/>
          <w:sz w:val="44"/>
          <w:szCs w:val="44"/>
        </w:rPr>
      </w:pPr>
      <w:r w:rsidRPr="00FF68F1">
        <w:rPr>
          <w:rFonts w:ascii="Helvetica" w:hAnsi="Helvetica" w:cs="HelveticaNeue-Bold"/>
          <w:b/>
          <w:bCs/>
          <w:sz w:val="44"/>
          <w:szCs w:val="44"/>
        </w:rPr>
        <w:t xml:space="preserve">Servizio di Assistenza Tecnica per la Valutazione Unitaria dei Programmi Operativi 2014-2020 di Regione Lombardia cofinanziati dai Fondi Strutturali e di Investimento Europei </w:t>
      </w:r>
    </w:p>
    <w:p w14:paraId="3D14C65F" w14:textId="77777777" w:rsidR="00E5059D" w:rsidRPr="00FF68F1" w:rsidRDefault="00E5059D" w:rsidP="00E5059D">
      <w:pPr>
        <w:jc w:val="left"/>
        <w:rPr>
          <w:rFonts w:ascii="Helvetica" w:hAnsi="Helvetica" w:cs="HelveticaNeue-Bold"/>
          <w:sz w:val="44"/>
          <w:szCs w:val="44"/>
        </w:rPr>
      </w:pPr>
      <w:r w:rsidRPr="00FF68F1">
        <w:rPr>
          <w:rFonts w:ascii="Helvetica" w:hAnsi="Helvetica" w:cs="HelveticaNeue-Bold"/>
          <w:sz w:val="44"/>
          <w:szCs w:val="44"/>
        </w:rPr>
        <w:t>(FESR, FSE E FEASR)</w:t>
      </w:r>
    </w:p>
    <w:p w14:paraId="610AEC4C" w14:textId="77777777" w:rsidR="00E5059D" w:rsidRPr="00922E2A" w:rsidRDefault="00E5059D" w:rsidP="00E5059D">
      <w:pPr>
        <w:rPr>
          <w:rFonts w:ascii="HelveticaNeue-Light" w:hAnsi="HelveticaNeue-Light" w:cs="HelveticaNeue-Light"/>
          <w:sz w:val="37"/>
          <w:szCs w:val="37"/>
        </w:rPr>
      </w:pPr>
    </w:p>
    <w:p w14:paraId="7B180BE1" w14:textId="77777777" w:rsidR="00E5059D" w:rsidRPr="00922E2A" w:rsidRDefault="00E5059D" w:rsidP="00E5059D">
      <w:pPr>
        <w:rPr>
          <w:rFonts w:ascii="HelveticaNeue-Light" w:hAnsi="HelveticaNeue-Light" w:cs="HelveticaNeue-Light"/>
          <w:sz w:val="37"/>
          <w:szCs w:val="37"/>
        </w:rPr>
      </w:pPr>
    </w:p>
    <w:p w14:paraId="648CA2A2" w14:textId="77777777" w:rsidR="00E5059D" w:rsidRPr="00922E2A" w:rsidRDefault="00E5059D" w:rsidP="00E5059D">
      <w:pPr>
        <w:rPr>
          <w:rFonts w:ascii="HelveticaNeue-Light" w:hAnsi="HelveticaNeue-Light" w:cs="HelveticaNeue-Light"/>
          <w:sz w:val="37"/>
          <w:szCs w:val="37"/>
        </w:rPr>
      </w:pPr>
    </w:p>
    <w:p w14:paraId="02481046" w14:textId="77777777" w:rsidR="00E5059D" w:rsidRPr="00922E2A" w:rsidRDefault="00E5059D" w:rsidP="00E5059D">
      <w:pPr>
        <w:rPr>
          <w:rFonts w:ascii="HelveticaNeue-Light" w:hAnsi="HelveticaNeue-Light" w:cs="HelveticaNeue-Light"/>
          <w:sz w:val="40"/>
          <w:szCs w:val="40"/>
        </w:rPr>
      </w:pPr>
      <w:r w:rsidRPr="00922E2A">
        <w:rPr>
          <w:rFonts w:ascii="HelveticaNeue-Light" w:hAnsi="HelveticaNeue-Light" w:cs="HelveticaNeue-Light"/>
          <w:sz w:val="40"/>
          <w:szCs w:val="40"/>
        </w:rPr>
        <w:t>Rapporto Annuale di Valutazione Unitaria</w:t>
      </w:r>
      <w:r>
        <w:rPr>
          <w:rFonts w:ascii="HelveticaNeue-Light" w:hAnsi="HelveticaNeue-Light" w:cs="HelveticaNeue-Light"/>
          <w:sz w:val="40"/>
          <w:szCs w:val="40"/>
        </w:rPr>
        <w:t xml:space="preserve"> 2021</w:t>
      </w:r>
      <w:r w:rsidRPr="00922E2A">
        <w:rPr>
          <w:rFonts w:ascii="HelveticaNeue-Light" w:hAnsi="HelveticaNeue-Light" w:cs="HelveticaNeue-Light"/>
          <w:sz w:val="40"/>
          <w:szCs w:val="40"/>
        </w:rPr>
        <w:t xml:space="preserve"> </w:t>
      </w:r>
    </w:p>
    <w:p w14:paraId="21A504BB" w14:textId="77777777" w:rsidR="00E5059D" w:rsidRPr="00922E2A" w:rsidRDefault="00E5059D" w:rsidP="00E5059D">
      <w:pPr>
        <w:rPr>
          <w:rFonts w:ascii="HelveticaNeue-Light" w:hAnsi="HelveticaNeue-Light" w:cs="HelveticaNeue-Light"/>
          <w:sz w:val="37"/>
          <w:szCs w:val="37"/>
        </w:rPr>
      </w:pPr>
    </w:p>
    <w:p w14:paraId="52B32F5C" w14:textId="77777777" w:rsidR="00E5059D" w:rsidRPr="00922E2A" w:rsidRDefault="00E5059D" w:rsidP="00E5059D">
      <w:pPr>
        <w:rPr>
          <w:rFonts w:ascii="HelveticaNeue-Light" w:hAnsi="HelveticaNeue-Light" w:cs="HelveticaNeue-Light"/>
          <w:sz w:val="37"/>
          <w:szCs w:val="37"/>
        </w:rPr>
      </w:pPr>
    </w:p>
    <w:p w14:paraId="3F2CBA75" w14:textId="77777777" w:rsidR="00E5059D" w:rsidRPr="00922E2A" w:rsidRDefault="00E5059D" w:rsidP="00E5059D">
      <w:pPr>
        <w:rPr>
          <w:rFonts w:ascii="HelveticaNeue-Light" w:hAnsi="HelveticaNeue-Light" w:cs="HelveticaNeue-Light"/>
          <w:sz w:val="37"/>
          <w:szCs w:val="37"/>
        </w:rPr>
      </w:pPr>
    </w:p>
    <w:p w14:paraId="31F9F2C5" w14:textId="175F2224" w:rsidR="00E5059D" w:rsidRPr="00922E2A" w:rsidRDefault="006551DC" w:rsidP="00E5059D">
      <w:pPr>
        <w:rPr>
          <w:rFonts w:ascii="HelveticaNeue-Light" w:hAnsi="HelveticaNeue-Light" w:cs="HelveticaNeue-Light"/>
          <w:sz w:val="32"/>
          <w:szCs w:val="32"/>
        </w:rPr>
      </w:pPr>
      <w:r>
        <w:rPr>
          <w:rFonts w:ascii="HelveticaNeue-Light" w:hAnsi="HelveticaNeue-Light" w:cs="HelveticaNeue-Light"/>
          <w:sz w:val="32"/>
          <w:szCs w:val="32"/>
        </w:rPr>
        <w:t xml:space="preserve">Dicembre </w:t>
      </w:r>
      <w:r w:rsidR="00E5059D" w:rsidRPr="00922E2A">
        <w:rPr>
          <w:rFonts w:ascii="HelveticaNeue-Light" w:hAnsi="HelveticaNeue-Light" w:cs="HelveticaNeue-Light"/>
          <w:sz w:val="32"/>
          <w:szCs w:val="32"/>
        </w:rPr>
        <w:t>202</w:t>
      </w:r>
      <w:r w:rsidR="00E5059D">
        <w:rPr>
          <w:rFonts w:ascii="HelveticaNeue-Light" w:hAnsi="HelveticaNeue-Light" w:cs="HelveticaNeue-Light"/>
          <w:sz w:val="32"/>
          <w:szCs w:val="32"/>
        </w:rPr>
        <w:t>1</w:t>
      </w:r>
    </w:p>
    <w:p w14:paraId="5CE3485B" w14:textId="77777777" w:rsidR="00E5059D" w:rsidRPr="00922E2A" w:rsidRDefault="00E5059D" w:rsidP="00E5059D">
      <w:pPr>
        <w:rPr>
          <w:rFonts w:ascii="HelveticaNeue-Light" w:hAnsi="HelveticaNeue-Light" w:cs="HelveticaNeue-Light"/>
          <w:color w:val="333333"/>
          <w:sz w:val="37"/>
          <w:szCs w:val="37"/>
        </w:rPr>
      </w:pPr>
    </w:p>
    <w:p w14:paraId="165BAE44" w14:textId="77777777" w:rsidR="00E5059D" w:rsidRPr="00922E2A" w:rsidRDefault="00E5059D" w:rsidP="00E5059D">
      <w:pPr>
        <w:rPr>
          <w:rFonts w:ascii="HelveticaNeue-Light" w:hAnsi="HelveticaNeue-Light" w:cs="HelveticaNeue-Light"/>
          <w:color w:val="333333"/>
          <w:sz w:val="37"/>
          <w:szCs w:val="37"/>
        </w:rPr>
      </w:pPr>
    </w:p>
    <w:p w14:paraId="56392D0F" w14:textId="77777777" w:rsidR="00E5059D" w:rsidRPr="00922E2A" w:rsidRDefault="00E5059D" w:rsidP="00E5059D">
      <w:pPr>
        <w:rPr>
          <w:rFonts w:ascii="HelveticaNeue-Light" w:hAnsi="HelveticaNeue-Light" w:cs="HelveticaNeue-Light"/>
          <w:color w:val="333333"/>
          <w:sz w:val="37"/>
          <w:szCs w:val="37"/>
        </w:rPr>
      </w:pPr>
    </w:p>
    <w:p w14:paraId="6A8287CA" w14:textId="77777777" w:rsidR="00E5059D" w:rsidRPr="00922E2A" w:rsidRDefault="00E5059D" w:rsidP="00E5059D">
      <w:pPr>
        <w:rPr>
          <w:rFonts w:ascii="HelveticaNeue-Light" w:hAnsi="HelveticaNeue-Light" w:cs="HelveticaNeue-Light"/>
          <w:color w:val="333333"/>
          <w:sz w:val="37"/>
          <w:szCs w:val="37"/>
        </w:rPr>
      </w:pPr>
    </w:p>
    <w:p w14:paraId="2CA04D71" w14:textId="77777777" w:rsidR="00E5059D" w:rsidRPr="00922E2A" w:rsidRDefault="00E5059D" w:rsidP="00E5059D">
      <w:pPr>
        <w:rPr>
          <w:rFonts w:ascii="HelveticaNeue-Light" w:hAnsi="HelveticaNeue-Light" w:cs="HelveticaNeue-Light"/>
          <w:color w:val="333333"/>
          <w:sz w:val="37"/>
          <w:szCs w:val="37"/>
        </w:rPr>
      </w:pPr>
    </w:p>
    <w:p w14:paraId="1CC7A199" w14:textId="77777777" w:rsidR="00E5059D" w:rsidRPr="00922E2A" w:rsidRDefault="00E5059D" w:rsidP="00E5059D">
      <w:pPr>
        <w:rPr>
          <w:rFonts w:ascii="HelveticaNeue-Light" w:hAnsi="HelveticaNeue-Light" w:cs="HelveticaNeue-Light"/>
          <w:color w:val="333333"/>
          <w:sz w:val="37"/>
          <w:szCs w:val="37"/>
        </w:rPr>
      </w:pPr>
    </w:p>
    <w:p w14:paraId="318F313E" w14:textId="77777777" w:rsidR="00E5059D" w:rsidRPr="00922E2A" w:rsidRDefault="00E5059D" w:rsidP="00E5059D">
      <w:pPr>
        <w:rPr>
          <w:rFonts w:ascii="HelveticaNeue-Light" w:hAnsi="HelveticaNeue-Light" w:cs="HelveticaNeue-Light"/>
          <w:color w:val="333333"/>
          <w:sz w:val="37"/>
          <w:szCs w:val="37"/>
        </w:rPr>
      </w:pPr>
    </w:p>
    <w:p w14:paraId="5D60D603" w14:textId="77777777" w:rsidR="00E5059D" w:rsidRPr="00922E2A" w:rsidRDefault="00E5059D" w:rsidP="00E5059D">
      <w:pPr>
        <w:rPr>
          <w:rFonts w:ascii="HelveticaNeue-Light" w:hAnsi="HelveticaNeue-Light" w:cs="HelveticaNeue-Light"/>
          <w:color w:val="333333"/>
          <w:sz w:val="37"/>
          <w:szCs w:val="37"/>
        </w:rPr>
      </w:pPr>
    </w:p>
    <w:p w14:paraId="66FF1DA9" w14:textId="77777777" w:rsidR="00E5059D" w:rsidRPr="00922E2A" w:rsidRDefault="00E5059D" w:rsidP="00E5059D">
      <w:pPr>
        <w:rPr>
          <w:rFonts w:ascii="HelveticaNeue-Light" w:hAnsi="HelveticaNeue-Light" w:cs="HelveticaNeue-Light"/>
          <w:color w:val="333333"/>
          <w:sz w:val="37"/>
          <w:szCs w:val="37"/>
        </w:rPr>
      </w:pPr>
    </w:p>
    <w:p w14:paraId="6421BDCD" w14:textId="77777777" w:rsidR="00E5059D" w:rsidRPr="00922E2A" w:rsidRDefault="00E5059D" w:rsidP="00E5059D">
      <w:pPr>
        <w:rPr>
          <w:rFonts w:ascii="HelveticaNeue-Light" w:hAnsi="HelveticaNeue-Light" w:cs="HelveticaNeue-Light"/>
          <w:sz w:val="37"/>
          <w:szCs w:val="37"/>
        </w:rPr>
      </w:pPr>
    </w:p>
    <w:p w14:paraId="7D7B4067" w14:textId="77777777" w:rsidR="00E5059D" w:rsidRPr="00922E2A" w:rsidRDefault="00E5059D" w:rsidP="00E5059D">
      <w:pPr>
        <w:jc w:val="center"/>
        <w:rPr>
          <w:rFonts w:ascii="HelveticaNeue-Light" w:hAnsi="HelveticaNeue-Light" w:cs="HelveticaNeue-Light"/>
          <w:sz w:val="37"/>
          <w:szCs w:val="37"/>
        </w:rPr>
      </w:pPr>
      <w:r w:rsidRPr="00922E2A">
        <w:rPr>
          <w:noProof/>
          <w:lang w:eastAsia="it-IT"/>
        </w:rPr>
        <w:drawing>
          <wp:inline distT="0" distB="0" distL="0" distR="0" wp14:anchorId="1D4BD57E" wp14:editId="014A101B">
            <wp:extent cx="1133893" cy="813435"/>
            <wp:effectExtent l="0" t="0" r="9525" b="571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7000" cy="822838"/>
                    </a:xfrm>
                    <a:prstGeom prst="rect">
                      <a:avLst/>
                    </a:prstGeom>
                    <a:noFill/>
                  </pic:spPr>
                </pic:pic>
              </a:graphicData>
            </a:graphic>
          </wp:inline>
        </w:drawing>
      </w:r>
    </w:p>
    <w:p w14:paraId="7C62B4F0" w14:textId="77777777" w:rsidR="00E5059D" w:rsidRPr="00922E2A" w:rsidRDefault="00E5059D" w:rsidP="00E5059D">
      <w:pPr>
        <w:rPr>
          <w:rFonts w:ascii="HelveticaNeue-Light" w:hAnsi="HelveticaNeue-Light" w:cs="HelveticaNeue-Light"/>
          <w:color w:val="333333"/>
          <w:sz w:val="37"/>
          <w:szCs w:val="37"/>
        </w:rPr>
        <w:sectPr w:rsidR="00E5059D" w:rsidRPr="00922E2A" w:rsidSect="00A34733">
          <w:footerReference w:type="default" r:id="rId11"/>
          <w:headerReference w:type="first" r:id="rId12"/>
          <w:pgSz w:w="11907" w:h="16839" w:code="1"/>
          <w:pgMar w:top="1148" w:right="1418" w:bottom="1148" w:left="1418" w:header="709" w:footer="709" w:gutter="0"/>
          <w:cols w:space="720"/>
          <w:titlePg/>
          <w:docGrid w:linePitch="360"/>
        </w:sectPr>
      </w:pPr>
    </w:p>
    <w:p w14:paraId="71C44F66" w14:textId="77777777" w:rsidR="00E5059D" w:rsidRPr="00922E2A" w:rsidRDefault="00E5059D" w:rsidP="00E5059D">
      <w:pPr>
        <w:rPr>
          <w:b/>
          <w:color w:val="FF0000"/>
          <w:sz w:val="28"/>
          <w:szCs w:val="28"/>
        </w:rPr>
      </w:pPr>
    </w:p>
    <w:p w14:paraId="1326F1C5" w14:textId="77777777" w:rsidR="00110251" w:rsidRPr="00922E2A" w:rsidRDefault="00110251" w:rsidP="00F63B1A">
      <w:pPr>
        <w:rPr>
          <w:b/>
          <w:color w:val="FF0000"/>
          <w:sz w:val="28"/>
          <w:szCs w:val="28"/>
        </w:rPr>
      </w:pPr>
    </w:p>
    <w:p w14:paraId="5815D3D4" w14:textId="77777777" w:rsidR="00C3425E" w:rsidRPr="00922E2A" w:rsidRDefault="00960D7B" w:rsidP="00F63B1A">
      <w:pPr>
        <w:rPr>
          <w:b/>
          <w:color w:val="FF0000"/>
          <w:sz w:val="28"/>
          <w:szCs w:val="28"/>
        </w:rPr>
      </w:pPr>
      <w:bookmarkStart w:id="3" w:name="_Hlk55896540"/>
      <w:r w:rsidRPr="00922E2A">
        <w:rPr>
          <w:b/>
          <w:color w:val="FF0000"/>
          <w:sz w:val="28"/>
          <w:szCs w:val="28"/>
        </w:rPr>
        <w:t>Indice</w:t>
      </w:r>
    </w:p>
    <w:p w14:paraId="586C4DDF" w14:textId="77777777" w:rsidR="00BD7100" w:rsidRPr="00922E2A" w:rsidRDefault="00BD7100" w:rsidP="00E17626"/>
    <w:p w14:paraId="0D40ADF7" w14:textId="3943EF44" w:rsidR="004242C0" w:rsidRDefault="004E6566">
      <w:pPr>
        <w:pStyle w:val="Sommario1"/>
        <w:rPr>
          <w:rFonts w:asciiTheme="minorHAnsi" w:hAnsiTheme="minorHAnsi"/>
          <w:b w:val="0"/>
          <w:bCs w:val="0"/>
          <w:caps w:val="0"/>
          <w:noProof/>
          <w:sz w:val="22"/>
          <w:szCs w:val="22"/>
          <w:lang w:eastAsia="it-IT"/>
        </w:rPr>
      </w:pPr>
      <w:r w:rsidRPr="00922E2A">
        <w:rPr>
          <w:rFonts w:ascii="Century Gothic" w:hAnsi="Century Gothic"/>
          <w:sz w:val="24"/>
          <w:szCs w:val="24"/>
        </w:rPr>
        <w:fldChar w:fldCharType="begin"/>
      </w:r>
      <w:r w:rsidR="006A265E" w:rsidRPr="00922E2A">
        <w:rPr>
          <w:rFonts w:ascii="Century Gothic" w:hAnsi="Century Gothic"/>
          <w:sz w:val="24"/>
          <w:szCs w:val="24"/>
        </w:rPr>
        <w:instrText xml:space="preserve"> TOC \o "1-3" \h \z \u </w:instrText>
      </w:r>
      <w:r w:rsidRPr="00922E2A">
        <w:rPr>
          <w:rFonts w:ascii="Century Gothic" w:hAnsi="Century Gothic"/>
          <w:sz w:val="24"/>
          <w:szCs w:val="24"/>
        </w:rPr>
        <w:fldChar w:fldCharType="separate"/>
      </w:r>
      <w:hyperlink w:anchor="_Toc91081387" w:history="1">
        <w:r w:rsidR="004242C0" w:rsidRPr="004122E9">
          <w:rPr>
            <w:rStyle w:val="Collegamentoipertestuale"/>
            <w:noProof/>
          </w:rPr>
          <w:t>1</w:t>
        </w:r>
        <w:r w:rsidR="004242C0">
          <w:rPr>
            <w:rFonts w:asciiTheme="minorHAnsi" w:hAnsiTheme="minorHAnsi"/>
            <w:b w:val="0"/>
            <w:bCs w:val="0"/>
            <w:caps w:val="0"/>
            <w:noProof/>
            <w:sz w:val="22"/>
            <w:szCs w:val="22"/>
            <w:lang w:eastAsia="it-IT"/>
          </w:rPr>
          <w:tab/>
        </w:r>
        <w:r w:rsidR="004242C0" w:rsidRPr="004122E9">
          <w:rPr>
            <w:rStyle w:val="Collegamentoipertestuale"/>
            <w:noProof/>
          </w:rPr>
          <w:t>Introduzione: obiettivi della valutazione unitaria e approccio metodologico</w:t>
        </w:r>
        <w:r w:rsidR="004242C0">
          <w:rPr>
            <w:noProof/>
            <w:webHidden/>
          </w:rPr>
          <w:tab/>
        </w:r>
        <w:r w:rsidR="004242C0">
          <w:rPr>
            <w:noProof/>
            <w:webHidden/>
          </w:rPr>
          <w:fldChar w:fldCharType="begin"/>
        </w:r>
        <w:r w:rsidR="004242C0">
          <w:rPr>
            <w:noProof/>
            <w:webHidden/>
          </w:rPr>
          <w:instrText xml:space="preserve"> PAGEREF _Toc91081387 \h </w:instrText>
        </w:r>
        <w:r w:rsidR="004242C0">
          <w:rPr>
            <w:noProof/>
            <w:webHidden/>
          </w:rPr>
        </w:r>
        <w:r w:rsidR="004242C0">
          <w:rPr>
            <w:noProof/>
            <w:webHidden/>
          </w:rPr>
          <w:fldChar w:fldCharType="separate"/>
        </w:r>
        <w:r w:rsidR="002439B9">
          <w:rPr>
            <w:noProof/>
            <w:webHidden/>
          </w:rPr>
          <w:t>5</w:t>
        </w:r>
        <w:r w:rsidR="004242C0">
          <w:rPr>
            <w:noProof/>
            <w:webHidden/>
          </w:rPr>
          <w:fldChar w:fldCharType="end"/>
        </w:r>
      </w:hyperlink>
    </w:p>
    <w:p w14:paraId="055E88CB" w14:textId="4DD702E2" w:rsidR="004242C0" w:rsidRDefault="00B1628C">
      <w:pPr>
        <w:pStyle w:val="Sommario1"/>
        <w:rPr>
          <w:rFonts w:asciiTheme="minorHAnsi" w:hAnsiTheme="minorHAnsi"/>
          <w:b w:val="0"/>
          <w:bCs w:val="0"/>
          <w:caps w:val="0"/>
          <w:noProof/>
          <w:sz w:val="22"/>
          <w:szCs w:val="22"/>
          <w:lang w:eastAsia="it-IT"/>
        </w:rPr>
      </w:pPr>
      <w:hyperlink w:anchor="_Toc91081388" w:history="1">
        <w:r w:rsidR="004242C0" w:rsidRPr="004122E9">
          <w:rPr>
            <w:rStyle w:val="Collegamentoipertestuale"/>
            <w:noProof/>
          </w:rPr>
          <w:t>2</w:t>
        </w:r>
        <w:r w:rsidR="004242C0">
          <w:rPr>
            <w:rFonts w:asciiTheme="minorHAnsi" w:hAnsiTheme="minorHAnsi"/>
            <w:b w:val="0"/>
            <w:bCs w:val="0"/>
            <w:caps w:val="0"/>
            <w:noProof/>
            <w:sz w:val="22"/>
            <w:szCs w:val="22"/>
            <w:lang w:eastAsia="it-IT"/>
          </w:rPr>
          <w:tab/>
        </w:r>
        <w:r w:rsidR="004242C0" w:rsidRPr="004122E9">
          <w:rPr>
            <w:rStyle w:val="Collegamentoipertestuale"/>
            <w:noProof/>
          </w:rPr>
          <w:t>Avanzamento dei programmi per area di policy</w:t>
        </w:r>
        <w:r w:rsidR="004242C0">
          <w:rPr>
            <w:noProof/>
            <w:webHidden/>
          </w:rPr>
          <w:tab/>
        </w:r>
        <w:r w:rsidR="004242C0">
          <w:rPr>
            <w:noProof/>
            <w:webHidden/>
          </w:rPr>
          <w:fldChar w:fldCharType="begin"/>
        </w:r>
        <w:r w:rsidR="004242C0">
          <w:rPr>
            <w:noProof/>
            <w:webHidden/>
          </w:rPr>
          <w:instrText xml:space="preserve"> PAGEREF _Toc91081388 \h </w:instrText>
        </w:r>
        <w:r w:rsidR="004242C0">
          <w:rPr>
            <w:noProof/>
            <w:webHidden/>
          </w:rPr>
        </w:r>
        <w:r w:rsidR="004242C0">
          <w:rPr>
            <w:noProof/>
            <w:webHidden/>
          </w:rPr>
          <w:fldChar w:fldCharType="separate"/>
        </w:r>
        <w:r w:rsidR="002439B9">
          <w:rPr>
            <w:noProof/>
            <w:webHidden/>
          </w:rPr>
          <w:t>9</w:t>
        </w:r>
        <w:r w:rsidR="004242C0">
          <w:rPr>
            <w:noProof/>
            <w:webHidden/>
          </w:rPr>
          <w:fldChar w:fldCharType="end"/>
        </w:r>
      </w:hyperlink>
    </w:p>
    <w:p w14:paraId="16B27FBB" w14:textId="4161CA73" w:rsidR="004242C0" w:rsidRDefault="00B1628C">
      <w:pPr>
        <w:pStyle w:val="Sommario2"/>
        <w:tabs>
          <w:tab w:val="left" w:pos="880"/>
          <w:tab w:val="right" w:leader="dot" w:pos="9061"/>
        </w:tabs>
        <w:rPr>
          <w:rFonts w:asciiTheme="minorHAnsi" w:hAnsiTheme="minorHAnsi"/>
          <w:smallCaps w:val="0"/>
          <w:noProof/>
          <w:sz w:val="22"/>
          <w:szCs w:val="22"/>
          <w:lang w:eastAsia="it-IT"/>
        </w:rPr>
      </w:pPr>
      <w:hyperlink w:anchor="_Toc91081389" w:history="1">
        <w:r w:rsidR="004242C0" w:rsidRPr="004122E9">
          <w:rPr>
            <w:rStyle w:val="Collegamentoipertestuale"/>
            <w:noProof/>
          </w:rPr>
          <w:t>2.1</w:t>
        </w:r>
        <w:r w:rsidR="004242C0">
          <w:rPr>
            <w:rFonts w:asciiTheme="minorHAnsi" w:hAnsiTheme="minorHAnsi"/>
            <w:smallCaps w:val="0"/>
            <w:noProof/>
            <w:sz w:val="22"/>
            <w:szCs w:val="22"/>
            <w:lang w:eastAsia="it-IT"/>
          </w:rPr>
          <w:tab/>
        </w:r>
        <w:r w:rsidR="004242C0" w:rsidRPr="004122E9">
          <w:rPr>
            <w:rStyle w:val="Collegamentoipertestuale"/>
            <w:noProof/>
          </w:rPr>
          <w:t>Politiche riconducibili all’area economica</w:t>
        </w:r>
        <w:r w:rsidR="004242C0">
          <w:rPr>
            <w:noProof/>
            <w:webHidden/>
          </w:rPr>
          <w:tab/>
        </w:r>
        <w:r w:rsidR="004242C0">
          <w:rPr>
            <w:noProof/>
            <w:webHidden/>
          </w:rPr>
          <w:fldChar w:fldCharType="begin"/>
        </w:r>
        <w:r w:rsidR="004242C0">
          <w:rPr>
            <w:noProof/>
            <w:webHidden/>
          </w:rPr>
          <w:instrText xml:space="preserve"> PAGEREF _Toc91081389 \h </w:instrText>
        </w:r>
        <w:r w:rsidR="004242C0">
          <w:rPr>
            <w:noProof/>
            <w:webHidden/>
          </w:rPr>
        </w:r>
        <w:r w:rsidR="004242C0">
          <w:rPr>
            <w:noProof/>
            <w:webHidden/>
          </w:rPr>
          <w:fldChar w:fldCharType="separate"/>
        </w:r>
        <w:r w:rsidR="002439B9">
          <w:rPr>
            <w:noProof/>
            <w:webHidden/>
          </w:rPr>
          <w:t>10</w:t>
        </w:r>
        <w:r w:rsidR="004242C0">
          <w:rPr>
            <w:noProof/>
            <w:webHidden/>
          </w:rPr>
          <w:fldChar w:fldCharType="end"/>
        </w:r>
      </w:hyperlink>
    </w:p>
    <w:p w14:paraId="58DAF44F" w14:textId="28FA4701" w:rsidR="004242C0" w:rsidRDefault="00B1628C">
      <w:pPr>
        <w:pStyle w:val="Sommario3"/>
        <w:rPr>
          <w:rFonts w:asciiTheme="minorHAnsi" w:hAnsiTheme="minorHAnsi"/>
          <w:i w:val="0"/>
          <w:iCs w:val="0"/>
          <w:noProof/>
          <w:sz w:val="22"/>
          <w:szCs w:val="22"/>
          <w:lang w:eastAsia="it-IT"/>
        </w:rPr>
      </w:pPr>
      <w:hyperlink w:anchor="_Toc91081390" w:history="1">
        <w:r w:rsidR="004242C0" w:rsidRPr="004122E9">
          <w:rPr>
            <w:rStyle w:val="Collegamentoipertestuale"/>
            <w:noProof/>
          </w:rPr>
          <w:t>2.1.1</w:t>
        </w:r>
        <w:r w:rsidR="004242C0">
          <w:rPr>
            <w:rFonts w:asciiTheme="minorHAnsi" w:hAnsiTheme="minorHAnsi"/>
            <w:i w:val="0"/>
            <w:iCs w:val="0"/>
            <w:noProof/>
            <w:sz w:val="22"/>
            <w:szCs w:val="22"/>
            <w:lang w:eastAsia="it-IT"/>
          </w:rPr>
          <w:tab/>
        </w:r>
        <w:r w:rsidR="004242C0" w:rsidRPr="004122E9">
          <w:rPr>
            <w:rStyle w:val="Collegamentoipertestuale"/>
            <w:noProof/>
          </w:rPr>
          <w:t>Avanzamento degli interventi</w:t>
        </w:r>
        <w:r w:rsidR="004242C0">
          <w:rPr>
            <w:noProof/>
            <w:webHidden/>
          </w:rPr>
          <w:tab/>
        </w:r>
        <w:r w:rsidR="004242C0">
          <w:rPr>
            <w:noProof/>
            <w:webHidden/>
          </w:rPr>
          <w:fldChar w:fldCharType="begin"/>
        </w:r>
        <w:r w:rsidR="004242C0">
          <w:rPr>
            <w:noProof/>
            <w:webHidden/>
          </w:rPr>
          <w:instrText xml:space="preserve"> PAGEREF _Toc91081390 \h </w:instrText>
        </w:r>
        <w:r w:rsidR="004242C0">
          <w:rPr>
            <w:noProof/>
            <w:webHidden/>
          </w:rPr>
        </w:r>
        <w:r w:rsidR="004242C0">
          <w:rPr>
            <w:noProof/>
            <w:webHidden/>
          </w:rPr>
          <w:fldChar w:fldCharType="separate"/>
        </w:r>
        <w:r w:rsidR="002439B9">
          <w:rPr>
            <w:noProof/>
            <w:webHidden/>
          </w:rPr>
          <w:t>10</w:t>
        </w:r>
        <w:r w:rsidR="004242C0">
          <w:rPr>
            <w:noProof/>
            <w:webHidden/>
          </w:rPr>
          <w:fldChar w:fldCharType="end"/>
        </w:r>
      </w:hyperlink>
    </w:p>
    <w:p w14:paraId="62DB708F" w14:textId="472DAD69" w:rsidR="004242C0" w:rsidRDefault="00B1628C">
      <w:pPr>
        <w:pStyle w:val="Sommario3"/>
        <w:rPr>
          <w:rFonts w:asciiTheme="minorHAnsi" w:hAnsiTheme="minorHAnsi"/>
          <w:i w:val="0"/>
          <w:iCs w:val="0"/>
          <w:noProof/>
          <w:sz w:val="22"/>
          <w:szCs w:val="22"/>
          <w:lang w:eastAsia="it-IT"/>
        </w:rPr>
      </w:pPr>
      <w:hyperlink w:anchor="_Toc91081391" w:history="1">
        <w:r w:rsidR="004242C0" w:rsidRPr="004122E9">
          <w:rPr>
            <w:rStyle w:val="Collegamentoipertestuale"/>
            <w:noProof/>
          </w:rPr>
          <w:t>2.1.2</w:t>
        </w:r>
        <w:r w:rsidR="004242C0">
          <w:rPr>
            <w:rFonts w:asciiTheme="minorHAnsi" w:hAnsiTheme="minorHAnsi"/>
            <w:i w:val="0"/>
            <w:iCs w:val="0"/>
            <w:noProof/>
            <w:sz w:val="22"/>
            <w:szCs w:val="22"/>
            <w:lang w:eastAsia="it-IT"/>
          </w:rPr>
          <w:tab/>
        </w:r>
        <w:r w:rsidR="004242C0" w:rsidRPr="004122E9">
          <w:rPr>
            <w:rStyle w:val="Collegamentoipertestuale"/>
            <w:noProof/>
          </w:rPr>
          <w:t>Considerazioni conclusive di sintesi</w:t>
        </w:r>
        <w:r w:rsidR="004242C0">
          <w:rPr>
            <w:noProof/>
            <w:webHidden/>
          </w:rPr>
          <w:tab/>
        </w:r>
        <w:r w:rsidR="004242C0">
          <w:rPr>
            <w:noProof/>
            <w:webHidden/>
          </w:rPr>
          <w:fldChar w:fldCharType="begin"/>
        </w:r>
        <w:r w:rsidR="004242C0">
          <w:rPr>
            <w:noProof/>
            <w:webHidden/>
          </w:rPr>
          <w:instrText xml:space="preserve"> PAGEREF _Toc91081391 \h </w:instrText>
        </w:r>
        <w:r w:rsidR="004242C0">
          <w:rPr>
            <w:noProof/>
            <w:webHidden/>
          </w:rPr>
        </w:r>
        <w:r w:rsidR="004242C0">
          <w:rPr>
            <w:noProof/>
            <w:webHidden/>
          </w:rPr>
          <w:fldChar w:fldCharType="separate"/>
        </w:r>
        <w:r w:rsidR="002439B9">
          <w:rPr>
            <w:noProof/>
            <w:webHidden/>
          </w:rPr>
          <w:t>17</w:t>
        </w:r>
        <w:r w:rsidR="004242C0">
          <w:rPr>
            <w:noProof/>
            <w:webHidden/>
          </w:rPr>
          <w:fldChar w:fldCharType="end"/>
        </w:r>
      </w:hyperlink>
    </w:p>
    <w:p w14:paraId="177A1371" w14:textId="603497A2" w:rsidR="004242C0" w:rsidRDefault="00B1628C">
      <w:pPr>
        <w:pStyle w:val="Sommario2"/>
        <w:tabs>
          <w:tab w:val="left" w:pos="880"/>
          <w:tab w:val="right" w:leader="dot" w:pos="9061"/>
        </w:tabs>
        <w:rPr>
          <w:rFonts w:asciiTheme="minorHAnsi" w:hAnsiTheme="minorHAnsi"/>
          <w:smallCaps w:val="0"/>
          <w:noProof/>
          <w:sz w:val="22"/>
          <w:szCs w:val="22"/>
          <w:lang w:eastAsia="it-IT"/>
        </w:rPr>
      </w:pPr>
      <w:hyperlink w:anchor="_Toc91081392" w:history="1">
        <w:r w:rsidR="004242C0" w:rsidRPr="004122E9">
          <w:rPr>
            <w:rStyle w:val="Collegamentoipertestuale"/>
            <w:noProof/>
          </w:rPr>
          <w:t>2.2</w:t>
        </w:r>
        <w:r w:rsidR="004242C0">
          <w:rPr>
            <w:rFonts w:asciiTheme="minorHAnsi" w:hAnsiTheme="minorHAnsi"/>
            <w:smallCaps w:val="0"/>
            <w:noProof/>
            <w:sz w:val="22"/>
            <w:szCs w:val="22"/>
            <w:lang w:eastAsia="it-IT"/>
          </w:rPr>
          <w:tab/>
        </w:r>
        <w:r w:rsidR="004242C0" w:rsidRPr="004122E9">
          <w:rPr>
            <w:rStyle w:val="Collegamentoipertestuale"/>
            <w:noProof/>
          </w:rPr>
          <w:t>Politiche riconducibili all’area territoriale</w:t>
        </w:r>
        <w:r w:rsidR="004242C0">
          <w:rPr>
            <w:noProof/>
            <w:webHidden/>
          </w:rPr>
          <w:tab/>
        </w:r>
        <w:r w:rsidR="004242C0">
          <w:rPr>
            <w:noProof/>
            <w:webHidden/>
          </w:rPr>
          <w:fldChar w:fldCharType="begin"/>
        </w:r>
        <w:r w:rsidR="004242C0">
          <w:rPr>
            <w:noProof/>
            <w:webHidden/>
          </w:rPr>
          <w:instrText xml:space="preserve"> PAGEREF _Toc91081392 \h </w:instrText>
        </w:r>
        <w:r w:rsidR="004242C0">
          <w:rPr>
            <w:noProof/>
            <w:webHidden/>
          </w:rPr>
        </w:r>
        <w:r w:rsidR="004242C0">
          <w:rPr>
            <w:noProof/>
            <w:webHidden/>
          </w:rPr>
          <w:fldChar w:fldCharType="separate"/>
        </w:r>
        <w:r w:rsidR="002439B9">
          <w:rPr>
            <w:noProof/>
            <w:webHidden/>
          </w:rPr>
          <w:t>19</w:t>
        </w:r>
        <w:r w:rsidR="004242C0">
          <w:rPr>
            <w:noProof/>
            <w:webHidden/>
          </w:rPr>
          <w:fldChar w:fldCharType="end"/>
        </w:r>
      </w:hyperlink>
    </w:p>
    <w:p w14:paraId="41488255" w14:textId="01E43310" w:rsidR="004242C0" w:rsidRDefault="00B1628C">
      <w:pPr>
        <w:pStyle w:val="Sommario3"/>
        <w:rPr>
          <w:rFonts w:asciiTheme="minorHAnsi" w:hAnsiTheme="minorHAnsi"/>
          <w:i w:val="0"/>
          <w:iCs w:val="0"/>
          <w:noProof/>
          <w:sz w:val="22"/>
          <w:szCs w:val="22"/>
          <w:lang w:eastAsia="it-IT"/>
        </w:rPr>
      </w:pPr>
      <w:hyperlink w:anchor="_Toc91081393" w:history="1">
        <w:r w:rsidR="004242C0" w:rsidRPr="004122E9">
          <w:rPr>
            <w:rStyle w:val="Collegamentoipertestuale"/>
            <w:noProof/>
          </w:rPr>
          <w:t>2.2.1</w:t>
        </w:r>
        <w:r w:rsidR="004242C0">
          <w:rPr>
            <w:rFonts w:asciiTheme="minorHAnsi" w:hAnsiTheme="minorHAnsi"/>
            <w:i w:val="0"/>
            <w:iCs w:val="0"/>
            <w:noProof/>
            <w:sz w:val="22"/>
            <w:szCs w:val="22"/>
            <w:lang w:eastAsia="it-IT"/>
          </w:rPr>
          <w:tab/>
        </w:r>
        <w:r w:rsidR="004242C0" w:rsidRPr="004122E9">
          <w:rPr>
            <w:rStyle w:val="Collegamentoipertestuale"/>
            <w:noProof/>
          </w:rPr>
          <w:t>Avanzamento degli interventi</w:t>
        </w:r>
        <w:r w:rsidR="004242C0">
          <w:rPr>
            <w:noProof/>
            <w:webHidden/>
          </w:rPr>
          <w:tab/>
        </w:r>
        <w:r w:rsidR="004242C0">
          <w:rPr>
            <w:noProof/>
            <w:webHidden/>
          </w:rPr>
          <w:fldChar w:fldCharType="begin"/>
        </w:r>
        <w:r w:rsidR="004242C0">
          <w:rPr>
            <w:noProof/>
            <w:webHidden/>
          </w:rPr>
          <w:instrText xml:space="preserve"> PAGEREF _Toc91081393 \h </w:instrText>
        </w:r>
        <w:r w:rsidR="004242C0">
          <w:rPr>
            <w:noProof/>
            <w:webHidden/>
          </w:rPr>
        </w:r>
        <w:r w:rsidR="004242C0">
          <w:rPr>
            <w:noProof/>
            <w:webHidden/>
          </w:rPr>
          <w:fldChar w:fldCharType="separate"/>
        </w:r>
        <w:r w:rsidR="002439B9">
          <w:rPr>
            <w:noProof/>
            <w:webHidden/>
          </w:rPr>
          <w:t>19</w:t>
        </w:r>
        <w:r w:rsidR="004242C0">
          <w:rPr>
            <w:noProof/>
            <w:webHidden/>
          </w:rPr>
          <w:fldChar w:fldCharType="end"/>
        </w:r>
      </w:hyperlink>
    </w:p>
    <w:p w14:paraId="15BCDE22" w14:textId="2CECAD49" w:rsidR="004242C0" w:rsidRDefault="00B1628C">
      <w:pPr>
        <w:pStyle w:val="Sommario3"/>
        <w:rPr>
          <w:rFonts w:asciiTheme="minorHAnsi" w:hAnsiTheme="minorHAnsi"/>
          <w:i w:val="0"/>
          <w:iCs w:val="0"/>
          <w:noProof/>
          <w:sz w:val="22"/>
          <w:szCs w:val="22"/>
          <w:lang w:eastAsia="it-IT"/>
        </w:rPr>
      </w:pPr>
      <w:hyperlink w:anchor="_Toc91081394" w:history="1">
        <w:r w:rsidR="004242C0" w:rsidRPr="004122E9">
          <w:rPr>
            <w:rStyle w:val="Collegamentoipertestuale"/>
            <w:noProof/>
          </w:rPr>
          <w:t>2.2.2</w:t>
        </w:r>
        <w:r w:rsidR="004242C0">
          <w:rPr>
            <w:rFonts w:asciiTheme="minorHAnsi" w:hAnsiTheme="minorHAnsi"/>
            <w:i w:val="0"/>
            <w:iCs w:val="0"/>
            <w:noProof/>
            <w:sz w:val="22"/>
            <w:szCs w:val="22"/>
            <w:lang w:eastAsia="it-IT"/>
          </w:rPr>
          <w:tab/>
        </w:r>
        <w:r w:rsidR="004242C0" w:rsidRPr="004122E9">
          <w:rPr>
            <w:rStyle w:val="Collegamentoipertestuale"/>
            <w:noProof/>
          </w:rPr>
          <w:t>Considerazioni conclusive di sintesi</w:t>
        </w:r>
        <w:r w:rsidR="004242C0">
          <w:rPr>
            <w:noProof/>
            <w:webHidden/>
          </w:rPr>
          <w:tab/>
        </w:r>
        <w:r w:rsidR="004242C0">
          <w:rPr>
            <w:noProof/>
            <w:webHidden/>
          </w:rPr>
          <w:fldChar w:fldCharType="begin"/>
        </w:r>
        <w:r w:rsidR="004242C0">
          <w:rPr>
            <w:noProof/>
            <w:webHidden/>
          </w:rPr>
          <w:instrText xml:space="preserve"> PAGEREF _Toc91081394 \h </w:instrText>
        </w:r>
        <w:r w:rsidR="004242C0">
          <w:rPr>
            <w:noProof/>
            <w:webHidden/>
          </w:rPr>
        </w:r>
        <w:r w:rsidR="004242C0">
          <w:rPr>
            <w:noProof/>
            <w:webHidden/>
          </w:rPr>
          <w:fldChar w:fldCharType="separate"/>
        </w:r>
        <w:r w:rsidR="002439B9">
          <w:rPr>
            <w:noProof/>
            <w:webHidden/>
          </w:rPr>
          <w:t>24</w:t>
        </w:r>
        <w:r w:rsidR="004242C0">
          <w:rPr>
            <w:noProof/>
            <w:webHidden/>
          </w:rPr>
          <w:fldChar w:fldCharType="end"/>
        </w:r>
      </w:hyperlink>
    </w:p>
    <w:p w14:paraId="09A27D5F" w14:textId="0FD4ABC3" w:rsidR="004242C0" w:rsidRDefault="00B1628C">
      <w:pPr>
        <w:pStyle w:val="Sommario2"/>
        <w:tabs>
          <w:tab w:val="left" w:pos="880"/>
          <w:tab w:val="right" w:leader="dot" w:pos="9061"/>
        </w:tabs>
        <w:rPr>
          <w:rFonts w:asciiTheme="minorHAnsi" w:hAnsiTheme="minorHAnsi"/>
          <w:smallCaps w:val="0"/>
          <w:noProof/>
          <w:sz w:val="22"/>
          <w:szCs w:val="22"/>
          <w:lang w:eastAsia="it-IT"/>
        </w:rPr>
      </w:pPr>
      <w:hyperlink w:anchor="_Toc91081395" w:history="1">
        <w:r w:rsidR="004242C0" w:rsidRPr="004122E9">
          <w:rPr>
            <w:rStyle w:val="Collegamentoipertestuale"/>
            <w:noProof/>
          </w:rPr>
          <w:t>2.3</w:t>
        </w:r>
        <w:r w:rsidR="004242C0">
          <w:rPr>
            <w:rFonts w:asciiTheme="minorHAnsi" w:hAnsiTheme="minorHAnsi"/>
            <w:smallCaps w:val="0"/>
            <w:noProof/>
            <w:sz w:val="22"/>
            <w:szCs w:val="22"/>
            <w:lang w:eastAsia="it-IT"/>
          </w:rPr>
          <w:tab/>
        </w:r>
        <w:r w:rsidR="004242C0" w:rsidRPr="004122E9">
          <w:rPr>
            <w:rStyle w:val="Collegamentoipertestuale"/>
            <w:noProof/>
          </w:rPr>
          <w:t>Politiche riconducibili all’area socio-economica</w:t>
        </w:r>
        <w:r w:rsidR="004242C0">
          <w:rPr>
            <w:noProof/>
            <w:webHidden/>
          </w:rPr>
          <w:tab/>
        </w:r>
        <w:r w:rsidR="004242C0">
          <w:rPr>
            <w:noProof/>
            <w:webHidden/>
          </w:rPr>
          <w:fldChar w:fldCharType="begin"/>
        </w:r>
        <w:r w:rsidR="004242C0">
          <w:rPr>
            <w:noProof/>
            <w:webHidden/>
          </w:rPr>
          <w:instrText xml:space="preserve"> PAGEREF _Toc91081395 \h </w:instrText>
        </w:r>
        <w:r w:rsidR="004242C0">
          <w:rPr>
            <w:noProof/>
            <w:webHidden/>
          </w:rPr>
        </w:r>
        <w:r w:rsidR="004242C0">
          <w:rPr>
            <w:noProof/>
            <w:webHidden/>
          </w:rPr>
          <w:fldChar w:fldCharType="separate"/>
        </w:r>
        <w:r w:rsidR="002439B9">
          <w:rPr>
            <w:noProof/>
            <w:webHidden/>
          </w:rPr>
          <w:t>25</w:t>
        </w:r>
        <w:r w:rsidR="004242C0">
          <w:rPr>
            <w:noProof/>
            <w:webHidden/>
          </w:rPr>
          <w:fldChar w:fldCharType="end"/>
        </w:r>
      </w:hyperlink>
    </w:p>
    <w:p w14:paraId="39B04FC6" w14:textId="35FFA655" w:rsidR="004242C0" w:rsidRDefault="00B1628C">
      <w:pPr>
        <w:pStyle w:val="Sommario3"/>
        <w:rPr>
          <w:rFonts w:asciiTheme="minorHAnsi" w:hAnsiTheme="minorHAnsi"/>
          <w:i w:val="0"/>
          <w:iCs w:val="0"/>
          <w:noProof/>
          <w:sz w:val="22"/>
          <w:szCs w:val="22"/>
          <w:lang w:eastAsia="it-IT"/>
        </w:rPr>
      </w:pPr>
      <w:hyperlink w:anchor="_Toc91081396" w:history="1">
        <w:r w:rsidR="004242C0" w:rsidRPr="004122E9">
          <w:rPr>
            <w:rStyle w:val="Collegamentoipertestuale"/>
            <w:noProof/>
          </w:rPr>
          <w:t>2.3.1</w:t>
        </w:r>
        <w:r w:rsidR="004242C0">
          <w:rPr>
            <w:rFonts w:asciiTheme="minorHAnsi" w:hAnsiTheme="minorHAnsi"/>
            <w:i w:val="0"/>
            <w:iCs w:val="0"/>
            <w:noProof/>
            <w:sz w:val="22"/>
            <w:szCs w:val="22"/>
            <w:lang w:eastAsia="it-IT"/>
          </w:rPr>
          <w:tab/>
        </w:r>
        <w:r w:rsidR="004242C0" w:rsidRPr="004122E9">
          <w:rPr>
            <w:rStyle w:val="Collegamentoipertestuale"/>
            <w:noProof/>
          </w:rPr>
          <w:t>Avanzamento degli interventi</w:t>
        </w:r>
        <w:r w:rsidR="004242C0">
          <w:rPr>
            <w:noProof/>
            <w:webHidden/>
          </w:rPr>
          <w:tab/>
        </w:r>
        <w:r w:rsidR="004242C0">
          <w:rPr>
            <w:noProof/>
            <w:webHidden/>
          </w:rPr>
          <w:fldChar w:fldCharType="begin"/>
        </w:r>
        <w:r w:rsidR="004242C0">
          <w:rPr>
            <w:noProof/>
            <w:webHidden/>
          </w:rPr>
          <w:instrText xml:space="preserve"> PAGEREF _Toc91081396 \h </w:instrText>
        </w:r>
        <w:r w:rsidR="004242C0">
          <w:rPr>
            <w:noProof/>
            <w:webHidden/>
          </w:rPr>
        </w:r>
        <w:r w:rsidR="004242C0">
          <w:rPr>
            <w:noProof/>
            <w:webHidden/>
          </w:rPr>
          <w:fldChar w:fldCharType="separate"/>
        </w:r>
        <w:r w:rsidR="002439B9">
          <w:rPr>
            <w:noProof/>
            <w:webHidden/>
          </w:rPr>
          <w:t>25</w:t>
        </w:r>
        <w:r w:rsidR="004242C0">
          <w:rPr>
            <w:noProof/>
            <w:webHidden/>
          </w:rPr>
          <w:fldChar w:fldCharType="end"/>
        </w:r>
      </w:hyperlink>
    </w:p>
    <w:p w14:paraId="3BF1237D" w14:textId="3DC86F77" w:rsidR="004242C0" w:rsidRDefault="00B1628C">
      <w:pPr>
        <w:pStyle w:val="Sommario3"/>
        <w:rPr>
          <w:rFonts w:asciiTheme="minorHAnsi" w:hAnsiTheme="minorHAnsi"/>
          <w:i w:val="0"/>
          <w:iCs w:val="0"/>
          <w:noProof/>
          <w:sz w:val="22"/>
          <w:szCs w:val="22"/>
          <w:lang w:eastAsia="it-IT"/>
        </w:rPr>
      </w:pPr>
      <w:hyperlink w:anchor="_Toc91081397" w:history="1">
        <w:r w:rsidR="004242C0" w:rsidRPr="004122E9">
          <w:rPr>
            <w:rStyle w:val="Collegamentoipertestuale"/>
            <w:noProof/>
          </w:rPr>
          <w:t>2.3.2</w:t>
        </w:r>
        <w:r w:rsidR="004242C0">
          <w:rPr>
            <w:rFonts w:asciiTheme="minorHAnsi" w:hAnsiTheme="minorHAnsi"/>
            <w:i w:val="0"/>
            <w:iCs w:val="0"/>
            <w:noProof/>
            <w:sz w:val="22"/>
            <w:szCs w:val="22"/>
            <w:lang w:eastAsia="it-IT"/>
          </w:rPr>
          <w:tab/>
        </w:r>
        <w:r w:rsidR="004242C0" w:rsidRPr="004122E9">
          <w:rPr>
            <w:rStyle w:val="Collegamentoipertestuale"/>
            <w:noProof/>
          </w:rPr>
          <w:t>Considerazioni conclusive di sintesi</w:t>
        </w:r>
        <w:r w:rsidR="004242C0">
          <w:rPr>
            <w:noProof/>
            <w:webHidden/>
          </w:rPr>
          <w:tab/>
        </w:r>
        <w:r w:rsidR="004242C0">
          <w:rPr>
            <w:noProof/>
            <w:webHidden/>
          </w:rPr>
          <w:fldChar w:fldCharType="begin"/>
        </w:r>
        <w:r w:rsidR="004242C0">
          <w:rPr>
            <w:noProof/>
            <w:webHidden/>
          </w:rPr>
          <w:instrText xml:space="preserve"> PAGEREF _Toc91081397 \h </w:instrText>
        </w:r>
        <w:r w:rsidR="004242C0">
          <w:rPr>
            <w:noProof/>
            <w:webHidden/>
          </w:rPr>
        </w:r>
        <w:r w:rsidR="004242C0">
          <w:rPr>
            <w:noProof/>
            <w:webHidden/>
          </w:rPr>
          <w:fldChar w:fldCharType="separate"/>
        </w:r>
        <w:r w:rsidR="002439B9">
          <w:rPr>
            <w:noProof/>
            <w:webHidden/>
          </w:rPr>
          <w:t>32</w:t>
        </w:r>
        <w:r w:rsidR="004242C0">
          <w:rPr>
            <w:noProof/>
            <w:webHidden/>
          </w:rPr>
          <w:fldChar w:fldCharType="end"/>
        </w:r>
      </w:hyperlink>
    </w:p>
    <w:p w14:paraId="2CEB53F8" w14:textId="4D736163" w:rsidR="004242C0" w:rsidRDefault="00B1628C">
      <w:pPr>
        <w:pStyle w:val="Sommario2"/>
        <w:tabs>
          <w:tab w:val="left" w:pos="880"/>
          <w:tab w:val="right" w:leader="dot" w:pos="9061"/>
        </w:tabs>
        <w:rPr>
          <w:rFonts w:asciiTheme="minorHAnsi" w:hAnsiTheme="minorHAnsi"/>
          <w:smallCaps w:val="0"/>
          <w:noProof/>
          <w:sz w:val="22"/>
          <w:szCs w:val="22"/>
          <w:lang w:eastAsia="it-IT"/>
        </w:rPr>
      </w:pPr>
      <w:hyperlink w:anchor="_Toc91081398" w:history="1">
        <w:r w:rsidR="004242C0" w:rsidRPr="004122E9">
          <w:rPr>
            <w:rStyle w:val="Collegamentoipertestuale"/>
            <w:noProof/>
          </w:rPr>
          <w:t>2.4</w:t>
        </w:r>
        <w:r w:rsidR="004242C0">
          <w:rPr>
            <w:rFonts w:asciiTheme="minorHAnsi" w:hAnsiTheme="minorHAnsi"/>
            <w:smallCaps w:val="0"/>
            <w:noProof/>
            <w:sz w:val="22"/>
            <w:szCs w:val="22"/>
            <w:lang w:eastAsia="it-IT"/>
          </w:rPr>
          <w:tab/>
        </w:r>
        <w:r w:rsidR="004242C0" w:rsidRPr="004122E9">
          <w:rPr>
            <w:rStyle w:val="Collegamentoipertestuale"/>
            <w:noProof/>
          </w:rPr>
          <w:t>Politiche riconducibili all’area istituzionale</w:t>
        </w:r>
        <w:r w:rsidR="004242C0">
          <w:rPr>
            <w:noProof/>
            <w:webHidden/>
          </w:rPr>
          <w:tab/>
        </w:r>
        <w:r w:rsidR="004242C0">
          <w:rPr>
            <w:noProof/>
            <w:webHidden/>
          </w:rPr>
          <w:fldChar w:fldCharType="begin"/>
        </w:r>
        <w:r w:rsidR="004242C0">
          <w:rPr>
            <w:noProof/>
            <w:webHidden/>
          </w:rPr>
          <w:instrText xml:space="preserve"> PAGEREF _Toc91081398 \h </w:instrText>
        </w:r>
        <w:r w:rsidR="004242C0">
          <w:rPr>
            <w:noProof/>
            <w:webHidden/>
          </w:rPr>
        </w:r>
        <w:r w:rsidR="004242C0">
          <w:rPr>
            <w:noProof/>
            <w:webHidden/>
          </w:rPr>
          <w:fldChar w:fldCharType="separate"/>
        </w:r>
        <w:r w:rsidR="002439B9">
          <w:rPr>
            <w:noProof/>
            <w:webHidden/>
          </w:rPr>
          <w:t>34</w:t>
        </w:r>
        <w:r w:rsidR="004242C0">
          <w:rPr>
            <w:noProof/>
            <w:webHidden/>
          </w:rPr>
          <w:fldChar w:fldCharType="end"/>
        </w:r>
      </w:hyperlink>
    </w:p>
    <w:p w14:paraId="5B01179A" w14:textId="6E991ECC" w:rsidR="004242C0" w:rsidRDefault="00B1628C">
      <w:pPr>
        <w:pStyle w:val="Sommario3"/>
        <w:rPr>
          <w:rFonts w:asciiTheme="minorHAnsi" w:hAnsiTheme="minorHAnsi"/>
          <w:i w:val="0"/>
          <w:iCs w:val="0"/>
          <w:noProof/>
          <w:sz w:val="22"/>
          <w:szCs w:val="22"/>
          <w:lang w:eastAsia="it-IT"/>
        </w:rPr>
      </w:pPr>
      <w:hyperlink w:anchor="_Toc91081399" w:history="1">
        <w:r w:rsidR="004242C0" w:rsidRPr="004122E9">
          <w:rPr>
            <w:rStyle w:val="Collegamentoipertestuale"/>
            <w:noProof/>
          </w:rPr>
          <w:t>2.4.1</w:t>
        </w:r>
        <w:r w:rsidR="004242C0">
          <w:rPr>
            <w:rFonts w:asciiTheme="minorHAnsi" w:hAnsiTheme="minorHAnsi"/>
            <w:i w:val="0"/>
            <w:iCs w:val="0"/>
            <w:noProof/>
            <w:sz w:val="22"/>
            <w:szCs w:val="22"/>
            <w:lang w:eastAsia="it-IT"/>
          </w:rPr>
          <w:tab/>
        </w:r>
        <w:r w:rsidR="004242C0" w:rsidRPr="004122E9">
          <w:rPr>
            <w:rStyle w:val="Collegamentoipertestuale"/>
            <w:noProof/>
          </w:rPr>
          <w:t>Avanzamento degli interventi</w:t>
        </w:r>
        <w:r w:rsidR="004242C0">
          <w:rPr>
            <w:noProof/>
            <w:webHidden/>
          </w:rPr>
          <w:tab/>
        </w:r>
        <w:r w:rsidR="004242C0">
          <w:rPr>
            <w:noProof/>
            <w:webHidden/>
          </w:rPr>
          <w:fldChar w:fldCharType="begin"/>
        </w:r>
        <w:r w:rsidR="004242C0">
          <w:rPr>
            <w:noProof/>
            <w:webHidden/>
          </w:rPr>
          <w:instrText xml:space="preserve"> PAGEREF _Toc91081399 \h </w:instrText>
        </w:r>
        <w:r w:rsidR="004242C0">
          <w:rPr>
            <w:noProof/>
            <w:webHidden/>
          </w:rPr>
        </w:r>
        <w:r w:rsidR="004242C0">
          <w:rPr>
            <w:noProof/>
            <w:webHidden/>
          </w:rPr>
          <w:fldChar w:fldCharType="separate"/>
        </w:r>
        <w:r w:rsidR="002439B9">
          <w:rPr>
            <w:noProof/>
            <w:webHidden/>
          </w:rPr>
          <w:t>34</w:t>
        </w:r>
        <w:r w:rsidR="004242C0">
          <w:rPr>
            <w:noProof/>
            <w:webHidden/>
          </w:rPr>
          <w:fldChar w:fldCharType="end"/>
        </w:r>
      </w:hyperlink>
    </w:p>
    <w:p w14:paraId="53F345DC" w14:textId="32AD0131" w:rsidR="004242C0" w:rsidRDefault="00B1628C">
      <w:pPr>
        <w:pStyle w:val="Sommario3"/>
        <w:rPr>
          <w:rFonts w:asciiTheme="minorHAnsi" w:hAnsiTheme="minorHAnsi"/>
          <w:i w:val="0"/>
          <w:iCs w:val="0"/>
          <w:noProof/>
          <w:sz w:val="22"/>
          <w:szCs w:val="22"/>
          <w:lang w:eastAsia="it-IT"/>
        </w:rPr>
      </w:pPr>
      <w:hyperlink w:anchor="_Toc91081400" w:history="1">
        <w:r w:rsidR="004242C0" w:rsidRPr="004122E9">
          <w:rPr>
            <w:rStyle w:val="Collegamentoipertestuale"/>
            <w:noProof/>
          </w:rPr>
          <w:t>2.4.2</w:t>
        </w:r>
        <w:r w:rsidR="004242C0">
          <w:rPr>
            <w:rFonts w:asciiTheme="minorHAnsi" w:hAnsiTheme="minorHAnsi"/>
            <w:i w:val="0"/>
            <w:iCs w:val="0"/>
            <w:noProof/>
            <w:sz w:val="22"/>
            <w:szCs w:val="22"/>
            <w:lang w:eastAsia="it-IT"/>
          </w:rPr>
          <w:tab/>
        </w:r>
        <w:r w:rsidR="004242C0" w:rsidRPr="004122E9">
          <w:rPr>
            <w:rStyle w:val="Collegamentoipertestuale"/>
            <w:noProof/>
          </w:rPr>
          <w:t>Considerazioni conclusive di sintesi</w:t>
        </w:r>
        <w:r w:rsidR="004242C0">
          <w:rPr>
            <w:noProof/>
            <w:webHidden/>
          </w:rPr>
          <w:tab/>
        </w:r>
        <w:r w:rsidR="004242C0">
          <w:rPr>
            <w:noProof/>
            <w:webHidden/>
          </w:rPr>
          <w:fldChar w:fldCharType="begin"/>
        </w:r>
        <w:r w:rsidR="004242C0">
          <w:rPr>
            <w:noProof/>
            <w:webHidden/>
          </w:rPr>
          <w:instrText xml:space="preserve"> PAGEREF _Toc91081400 \h </w:instrText>
        </w:r>
        <w:r w:rsidR="004242C0">
          <w:rPr>
            <w:noProof/>
            <w:webHidden/>
          </w:rPr>
        </w:r>
        <w:r w:rsidR="004242C0">
          <w:rPr>
            <w:noProof/>
            <w:webHidden/>
          </w:rPr>
          <w:fldChar w:fldCharType="separate"/>
        </w:r>
        <w:r w:rsidR="002439B9">
          <w:rPr>
            <w:noProof/>
            <w:webHidden/>
          </w:rPr>
          <w:t>36</w:t>
        </w:r>
        <w:r w:rsidR="004242C0">
          <w:rPr>
            <w:noProof/>
            <w:webHidden/>
          </w:rPr>
          <w:fldChar w:fldCharType="end"/>
        </w:r>
      </w:hyperlink>
    </w:p>
    <w:p w14:paraId="36CBFDBC" w14:textId="33CFACB1" w:rsidR="004242C0" w:rsidRDefault="00B1628C">
      <w:pPr>
        <w:pStyle w:val="Sommario1"/>
        <w:rPr>
          <w:rFonts w:asciiTheme="minorHAnsi" w:hAnsiTheme="minorHAnsi"/>
          <w:b w:val="0"/>
          <w:bCs w:val="0"/>
          <w:caps w:val="0"/>
          <w:noProof/>
          <w:sz w:val="22"/>
          <w:szCs w:val="22"/>
          <w:lang w:eastAsia="it-IT"/>
        </w:rPr>
      </w:pPr>
      <w:hyperlink w:anchor="_Toc91081401" w:history="1">
        <w:r w:rsidR="004242C0" w:rsidRPr="004122E9">
          <w:rPr>
            <w:rStyle w:val="Collegamentoipertestuale"/>
            <w:noProof/>
          </w:rPr>
          <w:t>3</w:t>
        </w:r>
        <w:r w:rsidR="004242C0">
          <w:rPr>
            <w:rFonts w:asciiTheme="minorHAnsi" w:hAnsiTheme="minorHAnsi"/>
            <w:b w:val="0"/>
            <w:bCs w:val="0"/>
            <w:caps w:val="0"/>
            <w:noProof/>
            <w:sz w:val="22"/>
            <w:szCs w:val="22"/>
            <w:lang w:eastAsia="it-IT"/>
          </w:rPr>
          <w:tab/>
        </w:r>
        <w:r w:rsidR="004242C0" w:rsidRPr="004122E9">
          <w:rPr>
            <w:rStyle w:val="Collegamentoipertestuale"/>
            <w:noProof/>
          </w:rPr>
          <w:t>Focus valutativo: politiche per l’imprenditorialità</w:t>
        </w:r>
        <w:r w:rsidR="004242C0">
          <w:rPr>
            <w:noProof/>
            <w:webHidden/>
          </w:rPr>
          <w:tab/>
        </w:r>
        <w:r w:rsidR="004242C0">
          <w:rPr>
            <w:noProof/>
            <w:webHidden/>
          </w:rPr>
          <w:fldChar w:fldCharType="begin"/>
        </w:r>
        <w:r w:rsidR="004242C0">
          <w:rPr>
            <w:noProof/>
            <w:webHidden/>
          </w:rPr>
          <w:instrText xml:space="preserve"> PAGEREF _Toc91081401 \h </w:instrText>
        </w:r>
        <w:r w:rsidR="004242C0">
          <w:rPr>
            <w:noProof/>
            <w:webHidden/>
          </w:rPr>
        </w:r>
        <w:r w:rsidR="004242C0">
          <w:rPr>
            <w:noProof/>
            <w:webHidden/>
          </w:rPr>
          <w:fldChar w:fldCharType="separate"/>
        </w:r>
        <w:r w:rsidR="002439B9">
          <w:rPr>
            <w:noProof/>
            <w:webHidden/>
          </w:rPr>
          <w:t>37</w:t>
        </w:r>
        <w:r w:rsidR="004242C0">
          <w:rPr>
            <w:noProof/>
            <w:webHidden/>
          </w:rPr>
          <w:fldChar w:fldCharType="end"/>
        </w:r>
      </w:hyperlink>
    </w:p>
    <w:p w14:paraId="4AD1F5F4" w14:textId="256D99F5" w:rsidR="004242C0" w:rsidRDefault="00B1628C">
      <w:pPr>
        <w:pStyle w:val="Sommario2"/>
        <w:tabs>
          <w:tab w:val="left" w:pos="880"/>
          <w:tab w:val="right" w:leader="dot" w:pos="9061"/>
        </w:tabs>
        <w:rPr>
          <w:rFonts w:asciiTheme="minorHAnsi" w:hAnsiTheme="minorHAnsi"/>
          <w:smallCaps w:val="0"/>
          <w:noProof/>
          <w:sz w:val="22"/>
          <w:szCs w:val="22"/>
          <w:lang w:eastAsia="it-IT"/>
        </w:rPr>
      </w:pPr>
      <w:hyperlink w:anchor="_Toc91081402" w:history="1">
        <w:r w:rsidR="004242C0" w:rsidRPr="004122E9">
          <w:rPr>
            <w:rStyle w:val="Collegamentoipertestuale"/>
            <w:noProof/>
          </w:rPr>
          <w:t>3.1</w:t>
        </w:r>
        <w:r w:rsidR="004242C0">
          <w:rPr>
            <w:rFonts w:asciiTheme="minorHAnsi" w:hAnsiTheme="minorHAnsi"/>
            <w:smallCaps w:val="0"/>
            <w:noProof/>
            <w:sz w:val="22"/>
            <w:szCs w:val="22"/>
            <w:lang w:eastAsia="it-IT"/>
          </w:rPr>
          <w:tab/>
        </w:r>
        <w:r w:rsidR="004242C0" w:rsidRPr="004122E9">
          <w:rPr>
            <w:rStyle w:val="Collegamentoipertestuale"/>
            <w:noProof/>
          </w:rPr>
          <w:t>Rassegna della letteratura sulle nuove imprese</w:t>
        </w:r>
        <w:r w:rsidR="004242C0">
          <w:rPr>
            <w:noProof/>
            <w:webHidden/>
          </w:rPr>
          <w:tab/>
        </w:r>
        <w:r w:rsidR="004242C0">
          <w:rPr>
            <w:noProof/>
            <w:webHidden/>
          </w:rPr>
          <w:fldChar w:fldCharType="begin"/>
        </w:r>
        <w:r w:rsidR="004242C0">
          <w:rPr>
            <w:noProof/>
            <w:webHidden/>
          </w:rPr>
          <w:instrText xml:space="preserve"> PAGEREF _Toc91081402 \h </w:instrText>
        </w:r>
        <w:r w:rsidR="004242C0">
          <w:rPr>
            <w:noProof/>
            <w:webHidden/>
          </w:rPr>
        </w:r>
        <w:r w:rsidR="004242C0">
          <w:rPr>
            <w:noProof/>
            <w:webHidden/>
          </w:rPr>
          <w:fldChar w:fldCharType="separate"/>
        </w:r>
        <w:r w:rsidR="002439B9">
          <w:rPr>
            <w:noProof/>
            <w:webHidden/>
          </w:rPr>
          <w:t>39</w:t>
        </w:r>
        <w:r w:rsidR="004242C0">
          <w:rPr>
            <w:noProof/>
            <w:webHidden/>
          </w:rPr>
          <w:fldChar w:fldCharType="end"/>
        </w:r>
      </w:hyperlink>
    </w:p>
    <w:p w14:paraId="73D5779D" w14:textId="49BEF617" w:rsidR="004242C0" w:rsidRDefault="00B1628C">
      <w:pPr>
        <w:pStyle w:val="Sommario3"/>
        <w:rPr>
          <w:rFonts w:asciiTheme="minorHAnsi" w:hAnsiTheme="minorHAnsi"/>
          <w:i w:val="0"/>
          <w:iCs w:val="0"/>
          <w:noProof/>
          <w:sz w:val="22"/>
          <w:szCs w:val="22"/>
          <w:lang w:eastAsia="it-IT"/>
        </w:rPr>
      </w:pPr>
      <w:hyperlink w:anchor="_Toc91081403" w:history="1">
        <w:r w:rsidR="004242C0" w:rsidRPr="004122E9">
          <w:rPr>
            <w:rStyle w:val="Collegamentoipertestuale"/>
            <w:noProof/>
          </w:rPr>
          <w:t>3.1.1</w:t>
        </w:r>
        <w:r w:rsidR="004242C0">
          <w:rPr>
            <w:rFonts w:asciiTheme="minorHAnsi" w:hAnsiTheme="minorHAnsi"/>
            <w:i w:val="0"/>
            <w:iCs w:val="0"/>
            <w:noProof/>
            <w:sz w:val="22"/>
            <w:szCs w:val="22"/>
            <w:lang w:eastAsia="it-IT"/>
          </w:rPr>
          <w:tab/>
        </w:r>
        <w:r w:rsidR="004242C0" w:rsidRPr="004122E9">
          <w:rPr>
            <w:rStyle w:val="Collegamentoipertestuale"/>
            <w:noProof/>
          </w:rPr>
          <w:t>Nuove imprese e crescita: una relazione complessa</w:t>
        </w:r>
        <w:r w:rsidR="004242C0">
          <w:rPr>
            <w:noProof/>
            <w:webHidden/>
          </w:rPr>
          <w:tab/>
        </w:r>
        <w:r w:rsidR="004242C0">
          <w:rPr>
            <w:noProof/>
            <w:webHidden/>
          </w:rPr>
          <w:fldChar w:fldCharType="begin"/>
        </w:r>
        <w:r w:rsidR="004242C0">
          <w:rPr>
            <w:noProof/>
            <w:webHidden/>
          </w:rPr>
          <w:instrText xml:space="preserve"> PAGEREF _Toc91081403 \h </w:instrText>
        </w:r>
        <w:r w:rsidR="004242C0">
          <w:rPr>
            <w:noProof/>
            <w:webHidden/>
          </w:rPr>
        </w:r>
        <w:r w:rsidR="004242C0">
          <w:rPr>
            <w:noProof/>
            <w:webHidden/>
          </w:rPr>
          <w:fldChar w:fldCharType="separate"/>
        </w:r>
        <w:r w:rsidR="002439B9">
          <w:rPr>
            <w:noProof/>
            <w:webHidden/>
          </w:rPr>
          <w:t>39</w:t>
        </w:r>
        <w:r w:rsidR="004242C0">
          <w:rPr>
            <w:noProof/>
            <w:webHidden/>
          </w:rPr>
          <w:fldChar w:fldCharType="end"/>
        </w:r>
      </w:hyperlink>
    </w:p>
    <w:p w14:paraId="5F5ACA67" w14:textId="4A13F7F8" w:rsidR="004242C0" w:rsidRDefault="00B1628C">
      <w:pPr>
        <w:pStyle w:val="Sommario3"/>
        <w:rPr>
          <w:rFonts w:asciiTheme="minorHAnsi" w:hAnsiTheme="minorHAnsi"/>
          <w:i w:val="0"/>
          <w:iCs w:val="0"/>
          <w:noProof/>
          <w:sz w:val="22"/>
          <w:szCs w:val="22"/>
          <w:lang w:eastAsia="it-IT"/>
        </w:rPr>
      </w:pPr>
      <w:hyperlink w:anchor="_Toc91081404" w:history="1">
        <w:r w:rsidR="004242C0" w:rsidRPr="004122E9">
          <w:rPr>
            <w:rStyle w:val="Collegamentoipertestuale"/>
            <w:noProof/>
          </w:rPr>
          <w:t>3.1.2</w:t>
        </w:r>
        <w:r w:rsidR="004242C0">
          <w:rPr>
            <w:rFonts w:asciiTheme="minorHAnsi" w:hAnsiTheme="minorHAnsi"/>
            <w:i w:val="0"/>
            <w:iCs w:val="0"/>
            <w:noProof/>
            <w:sz w:val="22"/>
            <w:szCs w:val="22"/>
            <w:lang w:eastAsia="it-IT"/>
          </w:rPr>
          <w:tab/>
        </w:r>
        <w:r w:rsidR="004242C0" w:rsidRPr="004122E9">
          <w:rPr>
            <w:rStyle w:val="Collegamentoipertestuale"/>
            <w:noProof/>
          </w:rPr>
          <w:t>Driver alla base della nascita di nuove imprese</w:t>
        </w:r>
        <w:r w:rsidR="004242C0">
          <w:rPr>
            <w:noProof/>
            <w:webHidden/>
          </w:rPr>
          <w:tab/>
        </w:r>
        <w:r w:rsidR="004242C0">
          <w:rPr>
            <w:noProof/>
            <w:webHidden/>
          </w:rPr>
          <w:fldChar w:fldCharType="begin"/>
        </w:r>
        <w:r w:rsidR="004242C0">
          <w:rPr>
            <w:noProof/>
            <w:webHidden/>
          </w:rPr>
          <w:instrText xml:space="preserve"> PAGEREF _Toc91081404 \h </w:instrText>
        </w:r>
        <w:r w:rsidR="004242C0">
          <w:rPr>
            <w:noProof/>
            <w:webHidden/>
          </w:rPr>
        </w:r>
        <w:r w:rsidR="004242C0">
          <w:rPr>
            <w:noProof/>
            <w:webHidden/>
          </w:rPr>
          <w:fldChar w:fldCharType="separate"/>
        </w:r>
        <w:r w:rsidR="002439B9">
          <w:rPr>
            <w:noProof/>
            <w:webHidden/>
          </w:rPr>
          <w:t>40</w:t>
        </w:r>
        <w:r w:rsidR="004242C0">
          <w:rPr>
            <w:noProof/>
            <w:webHidden/>
          </w:rPr>
          <w:fldChar w:fldCharType="end"/>
        </w:r>
      </w:hyperlink>
    </w:p>
    <w:p w14:paraId="3913C1BC" w14:textId="1BBB4722" w:rsidR="004242C0" w:rsidRDefault="00B1628C">
      <w:pPr>
        <w:pStyle w:val="Sommario3"/>
        <w:rPr>
          <w:rFonts w:asciiTheme="minorHAnsi" w:hAnsiTheme="minorHAnsi"/>
          <w:i w:val="0"/>
          <w:iCs w:val="0"/>
          <w:noProof/>
          <w:sz w:val="22"/>
          <w:szCs w:val="22"/>
          <w:lang w:eastAsia="it-IT"/>
        </w:rPr>
      </w:pPr>
      <w:hyperlink w:anchor="_Toc91081405" w:history="1">
        <w:r w:rsidR="004242C0" w:rsidRPr="004122E9">
          <w:rPr>
            <w:rStyle w:val="Collegamentoipertestuale"/>
            <w:noProof/>
          </w:rPr>
          <w:t>3.1.3</w:t>
        </w:r>
        <w:r w:rsidR="004242C0">
          <w:rPr>
            <w:rFonts w:asciiTheme="minorHAnsi" w:hAnsiTheme="minorHAnsi"/>
            <w:i w:val="0"/>
            <w:iCs w:val="0"/>
            <w:noProof/>
            <w:sz w:val="22"/>
            <w:szCs w:val="22"/>
            <w:lang w:eastAsia="it-IT"/>
          </w:rPr>
          <w:tab/>
        </w:r>
        <w:r w:rsidR="004242C0" w:rsidRPr="004122E9">
          <w:rPr>
            <w:rStyle w:val="Collegamentoipertestuale"/>
            <w:noProof/>
          </w:rPr>
          <w:t>Determinanti della performance delle nuove imprese</w:t>
        </w:r>
        <w:r w:rsidR="004242C0">
          <w:rPr>
            <w:noProof/>
            <w:webHidden/>
          </w:rPr>
          <w:tab/>
        </w:r>
        <w:r w:rsidR="004242C0">
          <w:rPr>
            <w:noProof/>
            <w:webHidden/>
          </w:rPr>
          <w:fldChar w:fldCharType="begin"/>
        </w:r>
        <w:r w:rsidR="004242C0">
          <w:rPr>
            <w:noProof/>
            <w:webHidden/>
          </w:rPr>
          <w:instrText xml:space="preserve"> PAGEREF _Toc91081405 \h </w:instrText>
        </w:r>
        <w:r w:rsidR="004242C0">
          <w:rPr>
            <w:noProof/>
            <w:webHidden/>
          </w:rPr>
        </w:r>
        <w:r w:rsidR="004242C0">
          <w:rPr>
            <w:noProof/>
            <w:webHidden/>
          </w:rPr>
          <w:fldChar w:fldCharType="separate"/>
        </w:r>
        <w:r w:rsidR="002439B9">
          <w:rPr>
            <w:noProof/>
            <w:webHidden/>
          </w:rPr>
          <w:t>41</w:t>
        </w:r>
        <w:r w:rsidR="004242C0">
          <w:rPr>
            <w:noProof/>
            <w:webHidden/>
          </w:rPr>
          <w:fldChar w:fldCharType="end"/>
        </w:r>
      </w:hyperlink>
    </w:p>
    <w:p w14:paraId="45FC2DDA" w14:textId="18CD8296" w:rsidR="004242C0" w:rsidRDefault="00B1628C">
      <w:pPr>
        <w:pStyle w:val="Sommario3"/>
        <w:rPr>
          <w:rFonts w:asciiTheme="minorHAnsi" w:hAnsiTheme="minorHAnsi"/>
          <w:i w:val="0"/>
          <w:iCs w:val="0"/>
          <w:noProof/>
          <w:sz w:val="22"/>
          <w:szCs w:val="22"/>
          <w:lang w:eastAsia="it-IT"/>
        </w:rPr>
      </w:pPr>
      <w:hyperlink w:anchor="_Toc91081406" w:history="1">
        <w:r w:rsidR="004242C0" w:rsidRPr="004122E9">
          <w:rPr>
            <w:rStyle w:val="Collegamentoipertestuale"/>
            <w:noProof/>
          </w:rPr>
          <w:t>3.1.4</w:t>
        </w:r>
        <w:r w:rsidR="004242C0">
          <w:rPr>
            <w:rFonts w:asciiTheme="minorHAnsi" w:hAnsiTheme="minorHAnsi"/>
            <w:i w:val="0"/>
            <w:iCs w:val="0"/>
            <w:noProof/>
            <w:sz w:val="22"/>
            <w:szCs w:val="22"/>
            <w:lang w:eastAsia="it-IT"/>
          </w:rPr>
          <w:tab/>
        </w:r>
        <w:r w:rsidR="004242C0" w:rsidRPr="004122E9">
          <w:rPr>
            <w:rStyle w:val="Collegamentoipertestuale"/>
            <w:noProof/>
          </w:rPr>
          <w:t>Politiche per la creazione di nuove imprese</w:t>
        </w:r>
        <w:r w:rsidR="004242C0">
          <w:rPr>
            <w:noProof/>
            <w:webHidden/>
          </w:rPr>
          <w:tab/>
        </w:r>
        <w:r w:rsidR="004242C0">
          <w:rPr>
            <w:noProof/>
            <w:webHidden/>
          </w:rPr>
          <w:fldChar w:fldCharType="begin"/>
        </w:r>
        <w:r w:rsidR="004242C0">
          <w:rPr>
            <w:noProof/>
            <w:webHidden/>
          </w:rPr>
          <w:instrText xml:space="preserve"> PAGEREF _Toc91081406 \h </w:instrText>
        </w:r>
        <w:r w:rsidR="004242C0">
          <w:rPr>
            <w:noProof/>
            <w:webHidden/>
          </w:rPr>
        </w:r>
        <w:r w:rsidR="004242C0">
          <w:rPr>
            <w:noProof/>
            <w:webHidden/>
          </w:rPr>
          <w:fldChar w:fldCharType="separate"/>
        </w:r>
        <w:r w:rsidR="002439B9">
          <w:rPr>
            <w:noProof/>
            <w:webHidden/>
          </w:rPr>
          <w:t>42</w:t>
        </w:r>
        <w:r w:rsidR="004242C0">
          <w:rPr>
            <w:noProof/>
            <w:webHidden/>
          </w:rPr>
          <w:fldChar w:fldCharType="end"/>
        </w:r>
      </w:hyperlink>
    </w:p>
    <w:p w14:paraId="7677D4E4" w14:textId="5FB769DE" w:rsidR="004242C0" w:rsidRDefault="00B1628C">
      <w:pPr>
        <w:pStyle w:val="Sommario2"/>
        <w:tabs>
          <w:tab w:val="left" w:pos="880"/>
          <w:tab w:val="right" w:leader="dot" w:pos="9061"/>
        </w:tabs>
        <w:rPr>
          <w:rFonts w:asciiTheme="minorHAnsi" w:hAnsiTheme="minorHAnsi"/>
          <w:smallCaps w:val="0"/>
          <w:noProof/>
          <w:sz w:val="22"/>
          <w:szCs w:val="22"/>
          <w:lang w:eastAsia="it-IT"/>
        </w:rPr>
      </w:pPr>
      <w:hyperlink w:anchor="_Toc91081407" w:history="1">
        <w:r w:rsidR="004242C0" w:rsidRPr="004122E9">
          <w:rPr>
            <w:rStyle w:val="Collegamentoipertestuale"/>
            <w:noProof/>
          </w:rPr>
          <w:t>3.2</w:t>
        </w:r>
        <w:r w:rsidR="004242C0">
          <w:rPr>
            <w:rFonts w:asciiTheme="minorHAnsi" w:hAnsiTheme="minorHAnsi"/>
            <w:smallCaps w:val="0"/>
            <w:noProof/>
            <w:sz w:val="22"/>
            <w:szCs w:val="22"/>
            <w:lang w:eastAsia="it-IT"/>
          </w:rPr>
          <w:tab/>
        </w:r>
        <w:r w:rsidR="004242C0" w:rsidRPr="004122E9">
          <w:rPr>
            <w:rStyle w:val="Collegamentoipertestuale"/>
            <w:noProof/>
          </w:rPr>
          <w:t>Le fasi del ciclo di vita di una nuova impresa e gli attori del mercato dei capitali</w:t>
        </w:r>
        <w:r w:rsidR="004242C0">
          <w:rPr>
            <w:noProof/>
            <w:webHidden/>
          </w:rPr>
          <w:tab/>
        </w:r>
        <w:r w:rsidR="004242C0">
          <w:rPr>
            <w:noProof/>
            <w:webHidden/>
          </w:rPr>
          <w:fldChar w:fldCharType="begin"/>
        </w:r>
        <w:r w:rsidR="004242C0">
          <w:rPr>
            <w:noProof/>
            <w:webHidden/>
          </w:rPr>
          <w:instrText xml:space="preserve"> PAGEREF _Toc91081407 \h </w:instrText>
        </w:r>
        <w:r w:rsidR="004242C0">
          <w:rPr>
            <w:noProof/>
            <w:webHidden/>
          </w:rPr>
        </w:r>
        <w:r w:rsidR="004242C0">
          <w:rPr>
            <w:noProof/>
            <w:webHidden/>
          </w:rPr>
          <w:fldChar w:fldCharType="separate"/>
        </w:r>
        <w:r w:rsidR="002439B9">
          <w:rPr>
            <w:noProof/>
            <w:webHidden/>
          </w:rPr>
          <w:t>45</w:t>
        </w:r>
        <w:r w:rsidR="004242C0">
          <w:rPr>
            <w:noProof/>
            <w:webHidden/>
          </w:rPr>
          <w:fldChar w:fldCharType="end"/>
        </w:r>
      </w:hyperlink>
    </w:p>
    <w:p w14:paraId="6E2F20B7" w14:textId="3D1C7E94" w:rsidR="004242C0" w:rsidRDefault="00B1628C">
      <w:pPr>
        <w:pStyle w:val="Sommario3"/>
        <w:rPr>
          <w:rFonts w:asciiTheme="minorHAnsi" w:hAnsiTheme="minorHAnsi"/>
          <w:i w:val="0"/>
          <w:iCs w:val="0"/>
          <w:noProof/>
          <w:sz w:val="22"/>
          <w:szCs w:val="22"/>
          <w:lang w:eastAsia="it-IT"/>
        </w:rPr>
      </w:pPr>
      <w:hyperlink w:anchor="_Toc91081408" w:history="1">
        <w:r w:rsidR="004242C0" w:rsidRPr="004122E9">
          <w:rPr>
            <w:rStyle w:val="Collegamentoipertestuale"/>
            <w:rFonts w:eastAsia="Verdana"/>
            <w:noProof/>
          </w:rPr>
          <w:t>3.2.1</w:t>
        </w:r>
        <w:r w:rsidR="004242C0">
          <w:rPr>
            <w:rFonts w:asciiTheme="minorHAnsi" w:hAnsiTheme="minorHAnsi"/>
            <w:i w:val="0"/>
            <w:iCs w:val="0"/>
            <w:noProof/>
            <w:sz w:val="22"/>
            <w:szCs w:val="22"/>
            <w:lang w:eastAsia="it-IT"/>
          </w:rPr>
          <w:tab/>
        </w:r>
        <w:r w:rsidR="004242C0" w:rsidRPr="004122E9">
          <w:rPr>
            <w:rStyle w:val="Collegamentoipertestuale"/>
            <w:rFonts w:eastAsia="Verdana"/>
            <w:noProof/>
          </w:rPr>
          <w:t>Le fasi del ciclo di vita di una startup</w:t>
        </w:r>
        <w:r w:rsidR="004242C0">
          <w:rPr>
            <w:noProof/>
            <w:webHidden/>
          </w:rPr>
          <w:tab/>
        </w:r>
        <w:r w:rsidR="004242C0">
          <w:rPr>
            <w:noProof/>
            <w:webHidden/>
          </w:rPr>
          <w:fldChar w:fldCharType="begin"/>
        </w:r>
        <w:r w:rsidR="004242C0">
          <w:rPr>
            <w:noProof/>
            <w:webHidden/>
          </w:rPr>
          <w:instrText xml:space="preserve"> PAGEREF _Toc91081408 \h </w:instrText>
        </w:r>
        <w:r w:rsidR="004242C0">
          <w:rPr>
            <w:noProof/>
            <w:webHidden/>
          </w:rPr>
        </w:r>
        <w:r w:rsidR="004242C0">
          <w:rPr>
            <w:noProof/>
            <w:webHidden/>
          </w:rPr>
          <w:fldChar w:fldCharType="separate"/>
        </w:r>
        <w:r w:rsidR="002439B9">
          <w:rPr>
            <w:noProof/>
            <w:webHidden/>
          </w:rPr>
          <w:t>45</w:t>
        </w:r>
        <w:r w:rsidR="004242C0">
          <w:rPr>
            <w:noProof/>
            <w:webHidden/>
          </w:rPr>
          <w:fldChar w:fldCharType="end"/>
        </w:r>
      </w:hyperlink>
    </w:p>
    <w:p w14:paraId="21071048" w14:textId="2F5B0FD8" w:rsidR="004242C0" w:rsidRDefault="00B1628C">
      <w:pPr>
        <w:pStyle w:val="Sommario3"/>
        <w:rPr>
          <w:rFonts w:asciiTheme="minorHAnsi" w:hAnsiTheme="minorHAnsi"/>
          <w:i w:val="0"/>
          <w:iCs w:val="0"/>
          <w:noProof/>
          <w:sz w:val="22"/>
          <w:szCs w:val="22"/>
          <w:lang w:eastAsia="it-IT"/>
        </w:rPr>
      </w:pPr>
      <w:hyperlink w:anchor="_Toc91081409" w:history="1">
        <w:r w:rsidR="004242C0" w:rsidRPr="004122E9">
          <w:rPr>
            <w:rStyle w:val="Collegamentoipertestuale"/>
            <w:rFonts w:eastAsia="Verdana"/>
            <w:noProof/>
          </w:rPr>
          <w:t>3.2.2</w:t>
        </w:r>
        <w:r w:rsidR="004242C0">
          <w:rPr>
            <w:rFonts w:asciiTheme="minorHAnsi" w:hAnsiTheme="minorHAnsi"/>
            <w:i w:val="0"/>
            <w:iCs w:val="0"/>
            <w:noProof/>
            <w:sz w:val="22"/>
            <w:szCs w:val="22"/>
            <w:lang w:eastAsia="it-IT"/>
          </w:rPr>
          <w:tab/>
        </w:r>
        <w:r w:rsidR="004242C0" w:rsidRPr="004122E9">
          <w:rPr>
            <w:rStyle w:val="Collegamentoipertestuale"/>
            <w:rFonts w:eastAsia="Verdana"/>
            <w:noProof/>
          </w:rPr>
          <w:t>Gli attori del mercato dei capitali</w:t>
        </w:r>
        <w:r w:rsidR="004242C0">
          <w:rPr>
            <w:noProof/>
            <w:webHidden/>
          </w:rPr>
          <w:tab/>
        </w:r>
        <w:r w:rsidR="004242C0">
          <w:rPr>
            <w:noProof/>
            <w:webHidden/>
          </w:rPr>
          <w:fldChar w:fldCharType="begin"/>
        </w:r>
        <w:r w:rsidR="004242C0">
          <w:rPr>
            <w:noProof/>
            <w:webHidden/>
          </w:rPr>
          <w:instrText xml:space="preserve"> PAGEREF _Toc91081409 \h </w:instrText>
        </w:r>
        <w:r w:rsidR="004242C0">
          <w:rPr>
            <w:noProof/>
            <w:webHidden/>
          </w:rPr>
        </w:r>
        <w:r w:rsidR="004242C0">
          <w:rPr>
            <w:noProof/>
            <w:webHidden/>
          </w:rPr>
          <w:fldChar w:fldCharType="separate"/>
        </w:r>
        <w:r w:rsidR="002439B9">
          <w:rPr>
            <w:noProof/>
            <w:webHidden/>
          </w:rPr>
          <w:t>47</w:t>
        </w:r>
        <w:r w:rsidR="004242C0">
          <w:rPr>
            <w:noProof/>
            <w:webHidden/>
          </w:rPr>
          <w:fldChar w:fldCharType="end"/>
        </w:r>
      </w:hyperlink>
    </w:p>
    <w:p w14:paraId="2708611D" w14:textId="4A790698" w:rsidR="004242C0" w:rsidRDefault="00B1628C">
      <w:pPr>
        <w:pStyle w:val="Sommario2"/>
        <w:tabs>
          <w:tab w:val="left" w:pos="880"/>
          <w:tab w:val="right" w:leader="dot" w:pos="9061"/>
        </w:tabs>
        <w:rPr>
          <w:rFonts w:asciiTheme="minorHAnsi" w:hAnsiTheme="minorHAnsi"/>
          <w:smallCaps w:val="0"/>
          <w:noProof/>
          <w:sz w:val="22"/>
          <w:szCs w:val="22"/>
          <w:lang w:eastAsia="it-IT"/>
        </w:rPr>
      </w:pPr>
      <w:hyperlink w:anchor="_Toc91081410" w:history="1">
        <w:r w:rsidR="004242C0" w:rsidRPr="004122E9">
          <w:rPr>
            <w:rStyle w:val="Collegamentoipertestuale"/>
            <w:noProof/>
          </w:rPr>
          <w:t>3.3</w:t>
        </w:r>
        <w:r w:rsidR="004242C0">
          <w:rPr>
            <w:rFonts w:asciiTheme="minorHAnsi" w:hAnsiTheme="minorHAnsi"/>
            <w:smallCaps w:val="0"/>
            <w:noProof/>
            <w:sz w:val="22"/>
            <w:szCs w:val="22"/>
            <w:lang w:eastAsia="it-IT"/>
          </w:rPr>
          <w:tab/>
        </w:r>
        <w:r w:rsidR="004242C0" w:rsidRPr="004122E9">
          <w:rPr>
            <w:rStyle w:val="Collegamentoipertestuale"/>
            <w:noProof/>
          </w:rPr>
          <w:t>Approfondimento sulla creazione di nuove imprese in Lombardia</w:t>
        </w:r>
        <w:r w:rsidR="004242C0">
          <w:rPr>
            <w:noProof/>
            <w:webHidden/>
          </w:rPr>
          <w:tab/>
        </w:r>
        <w:r w:rsidR="004242C0">
          <w:rPr>
            <w:noProof/>
            <w:webHidden/>
          </w:rPr>
          <w:fldChar w:fldCharType="begin"/>
        </w:r>
        <w:r w:rsidR="004242C0">
          <w:rPr>
            <w:noProof/>
            <w:webHidden/>
          </w:rPr>
          <w:instrText xml:space="preserve"> PAGEREF _Toc91081410 \h </w:instrText>
        </w:r>
        <w:r w:rsidR="004242C0">
          <w:rPr>
            <w:noProof/>
            <w:webHidden/>
          </w:rPr>
        </w:r>
        <w:r w:rsidR="004242C0">
          <w:rPr>
            <w:noProof/>
            <w:webHidden/>
          </w:rPr>
          <w:fldChar w:fldCharType="separate"/>
        </w:r>
        <w:r w:rsidR="002439B9">
          <w:rPr>
            <w:noProof/>
            <w:webHidden/>
          </w:rPr>
          <w:t>62</w:t>
        </w:r>
        <w:r w:rsidR="004242C0">
          <w:rPr>
            <w:noProof/>
            <w:webHidden/>
          </w:rPr>
          <w:fldChar w:fldCharType="end"/>
        </w:r>
      </w:hyperlink>
    </w:p>
    <w:p w14:paraId="07826FE7" w14:textId="0F542D5D" w:rsidR="004242C0" w:rsidRDefault="00B1628C">
      <w:pPr>
        <w:pStyle w:val="Sommario3"/>
        <w:rPr>
          <w:rFonts w:asciiTheme="minorHAnsi" w:hAnsiTheme="minorHAnsi"/>
          <w:i w:val="0"/>
          <w:iCs w:val="0"/>
          <w:noProof/>
          <w:sz w:val="22"/>
          <w:szCs w:val="22"/>
          <w:lang w:eastAsia="it-IT"/>
        </w:rPr>
      </w:pPr>
      <w:hyperlink w:anchor="_Toc91081411" w:history="1">
        <w:r w:rsidR="004242C0" w:rsidRPr="004122E9">
          <w:rPr>
            <w:rStyle w:val="Collegamentoipertestuale"/>
            <w:noProof/>
          </w:rPr>
          <w:t>3.3.1</w:t>
        </w:r>
        <w:r w:rsidR="004242C0">
          <w:rPr>
            <w:rFonts w:asciiTheme="minorHAnsi" w:hAnsiTheme="minorHAnsi"/>
            <w:i w:val="0"/>
            <w:iCs w:val="0"/>
            <w:noProof/>
            <w:sz w:val="22"/>
            <w:szCs w:val="22"/>
            <w:lang w:eastAsia="it-IT"/>
          </w:rPr>
          <w:tab/>
        </w:r>
        <w:r w:rsidR="004242C0" w:rsidRPr="004122E9">
          <w:rPr>
            <w:rStyle w:val="Collegamentoipertestuale"/>
            <w:noProof/>
          </w:rPr>
          <w:t>Premessa</w:t>
        </w:r>
        <w:r w:rsidR="004242C0">
          <w:rPr>
            <w:noProof/>
            <w:webHidden/>
          </w:rPr>
          <w:tab/>
        </w:r>
        <w:r w:rsidR="004242C0">
          <w:rPr>
            <w:noProof/>
            <w:webHidden/>
          </w:rPr>
          <w:fldChar w:fldCharType="begin"/>
        </w:r>
        <w:r w:rsidR="004242C0">
          <w:rPr>
            <w:noProof/>
            <w:webHidden/>
          </w:rPr>
          <w:instrText xml:space="preserve"> PAGEREF _Toc91081411 \h </w:instrText>
        </w:r>
        <w:r w:rsidR="004242C0">
          <w:rPr>
            <w:noProof/>
            <w:webHidden/>
          </w:rPr>
        </w:r>
        <w:r w:rsidR="004242C0">
          <w:rPr>
            <w:noProof/>
            <w:webHidden/>
          </w:rPr>
          <w:fldChar w:fldCharType="separate"/>
        </w:r>
        <w:r w:rsidR="002439B9">
          <w:rPr>
            <w:noProof/>
            <w:webHidden/>
          </w:rPr>
          <w:t>62</w:t>
        </w:r>
        <w:r w:rsidR="004242C0">
          <w:rPr>
            <w:noProof/>
            <w:webHidden/>
          </w:rPr>
          <w:fldChar w:fldCharType="end"/>
        </w:r>
      </w:hyperlink>
    </w:p>
    <w:p w14:paraId="320BA6A5" w14:textId="29BF2295" w:rsidR="004242C0" w:rsidRDefault="00B1628C">
      <w:pPr>
        <w:pStyle w:val="Sommario3"/>
        <w:rPr>
          <w:rFonts w:asciiTheme="minorHAnsi" w:hAnsiTheme="minorHAnsi"/>
          <w:i w:val="0"/>
          <w:iCs w:val="0"/>
          <w:noProof/>
          <w:sz w:val="22"/>
          <w:szCs w:val="22"/>
          <w:lang w:eastAsia="it-IT"/>
        </w:rPr>
      </w:pPr>
      <w:hyperlink w:anchor="_Toc91081412" w:history="1">
        <w:r w:rsidR="004242C0" w:rsidRPr="004122E9">
          <w:rPr>
            <w:rStyle w:val="Collegamentoipertestuale"/>
            <w:noProof/>
          </w:rPr>
          <w:t>3.3.2</w:t>
        </w:r>
        <w:r w:rsidR="004242C0">
          <w:rPr>
            <w:rFonts w:asciiTheme="minorHAnsi" w:hAnsiTheme="minorHAnsi"/>
            <w:i w:val="0"/>
            <w:iCs w:val="0"/>
            <w:noProof/>
            <w:sz w:val="22"/>
            <w:szCs w:val="22"/>
            <w:lang w:eastAsia="it-IT"/>
          </w:rPr>
          <w:tab/>
        </w:r>
        <w:r w:rsidR="004242C0" w:rsidRPr="004122E9">
          <w:rPr>
            <w:rStyle w:val="Collegamentoipertestuale"/>
            <w:noProof/>
          </w:rPr>
          <w:t>Il fenomeno delle startup innovative in Lombardia</w:t>
        </w:r>
        <w:r w:rsidR="004242C0">
          <w:rPr>
            <w:noProof/>
            <w:webHidden/>
          </w:rPr>
          <w:tab/>
        </w:r>
        <w:r w:rsidR="004242C0">
          <w:rPr>
            <w:noProof/>
            <w:webHidden/>
          </w:rPr>
          <w:fldChar w:fldCharType="begin"/>
        </w:r>
        <w:r w:rsidR="004242C0">
          <w:rPr>
            <w:noProof/>
            <w:webHidden/>
          </w:rPr>
          <w:instrText xml:space="preserve"> PAGEREF _Toc91081412 \h </w:instrText>
        </w:r>
        <w:r w:rsidR="004242C0">
          <w:rPr>
            <w:noProof/>
            <w:webHidden/>
          </w:rPr>
        </w:r>
        <w:r w:rsidR="004242C0">
          <w:rPr>
            <w:noProof/>
            <w:webHidden/>
          </w:rPr>
          <w:fldChar w:fldCharType="separate"/>
        </w:r>
        <w:r w:rsidR="002439B9">
          <w:rPr>
            <w:noProof/>
            <w:webHidden/>
          </w:rPr>
          <w:t>63</w:t>
        </w:r>
        <w:r w:rsidR="004242C0">
          <w:rPr>
            <w:noProof/>
            <w:webHidden/>
          </w:rPr>
          <w:fldChar w:fldCharType="end"/>
        </w:r>
      </w:hyperlink>
    </w:p>
    <w:p w14:paraId="0404C47D" w14:textId="6DD0A96C" w:rsidR="004242C0" w:rsidRDefault="00B1628C">
      <w:pPr>
        <w:pStyle w:val="Sommario2"/>
        <w:tabs>
          <w:tab w:val="left" w:pos="880"/>
          <w:tab w:val="right" w:leader="dot" w:pos="9061"/>
        </w:tabs>
        <w:rPr>
          <w:rFonts w:asciiTheme="minorHAnsi" w:hAnsiTheme="minorHAnsi"/>
          <w:smallCaps w:val="0"/>
          <w:noProof/>
          <w:sz w:val="22"/>
          <w:szCs w:val="22"/>
          <w:lang w:eastAsia="it-IT"/>
        </w:rPr>
      </w:pPr>
      <w:hyperlink w:anchor="_Toc91081413" w:history="1">
        <w:r w:rsidR="004242C0" w:rsidRPr="004122E9">
          <w:rPr>
            <w:rStyle w:val="Collegamentoipertestuale"/>
            <w:noProof/>
          </w:rPr>
          <w:t>3.4</w:t>
        </w:r>
        <w:r w:rsidR="004242C0">
          <w:rPr>
            <w:rFonts w:asciiTheme="minorHAnsi" w:hAnsiTheme="minorHAnsi"/>
            <w:smallCaps w:val="0"/>
            <w:noProof/>
            <w:sz w:val="22"/>
            <w:szCs w:val="22"/>
            <w:lang w:eastAsia="it-IT"/>
          </w:rPr>
          <w:tab/>
        </w:r>
        <w:r w:rsidR="004242C0" w:rsidRPr="004122E9">
          <w:rPr>
            <w:rStyle w:val="Collegamentoipertestuale"/>
            <w:noProof/>
          </w:rPr>
          <w:t>Risultati degli approfondimenti valutativi del 2021</w:t>
        </w:r>
        <w:r w:rsidR="004242C0">
          <w:rPr>
            <w:noProof/>
            <w:webHidden/>
          </w:rPr>
          <w:tab/>
        </w:r>
        <w:r w:rsidR="004242C0">
          <w:rPr>
            <w:noProof/>
            <w:webHidden/>
          </w:rPr>
          <w:fldChar w:fldCharType="begin"/>
        </w:r>
        <w:r w:rsidR="004242C0">
          <w:rPr>
            <w:noProof/>
            <w:webHidden/>
          </w:rPr>
          <w:instrText xml:space="preserve"> PAGEREF _Toc91081413 \h </w:instrText>
        </w:r>
        <w:r w:rsidR="004242C0">
          <w:rPr>
            <w:noProof/>
            <w:webHidden/>
          </w:rPr>
        </w:r>
        <w:r w:rsidR="004242C0">
          <w:rPr>
            <w:noProof/>
            <w:webHidden/>
          </w:rPr>
          <w:fldChar w:fldCharType="separate"/>
        </w:r>
        <w:r w:rsidR="002439B9">
          <w:rPr>
            <w:noProof/>
            <w:webHidden/>
          </w:rPr>
          <w:t>70</w:t>
        </w:r>
        <w:r w:rsidR="004242C0">
          <w:rPr>
            <w:noProof/>
            <w:webHidden/>
          </w:rPr>
          <w:fldChar w:fldCharType="end"/>
        </w:r>
      </w:hyperlink>
    </w:p>
    <w:p w14:paraId="45F299E5" w14:textId="2503AD2E" w:rsidR="004242C0" w:rsidRDefault="00B1628C">
      <w:pPr>
        <w:pStyle w:val="Sommario3"/>
        <w:rPr>
          <w:rFonts w:asciiTheme="minorHAnsi" w:hAnsiTheme="minorHAnsi"/>
          <w:i w:val="0"/>
          <w:iCs w:val="0"/>
          <w:noProof/>
          <w:sz w:val="22"/>
          <w:szCs w:val="22"/>
          <w:lang w:eastAsia="it-IT"/>
        </w:rPr>
      </w:pPr>
      <w:hyperlink w:anchor="_Toc91081414" w:history="1">
        <w:r w:rsidR="004242C0" w:rsidRPr="004122E9">
          <w:rPr>
            <w:rStyle w:val="Collegamentoipertestuale"/>
            <w:noProof/>
          </w:rPr>
          <w:t>3.4.1</w:t>
        </w:r>
        <w:r w:rsidR="004242C0">
          <w:rPr>
            <w:rFonts w:asciiTheme="minorHAnsi" w:hAnsiTheme="minorHAnsi"/>
            <w:i w:val="0"/>
            <w:iCs w:val="0"/>
            <w:noProof/>
            <w:sz w:val="22"/>
            <w:szCs w:val="22"/>
            <w:lang w:eastAsia="it-IT"/>
          </w:rPr>
          <w:tab/>
        </w:r>
        <w:r w:rsidR="004242C0" w:rsidRPr="004122E9">
          <w:rPr>
            <w:rStyle w:val="Collegamentoipertestuale"/>
            <w:noProof/>
          </w:rPr>
          <w:t>Principali risultati della valutazione FESR</w:t>
        </w:r>
        <w:r w:rsidR="004242C0">
          <w:rPr>
            <w:noProof/>
            <w:webHidden/>
          </w:rPr>
          <w:tab/>
        </w:r>
        <w:r w:rsidR="004242C0">
          <w:rPr>
            <w:noProof/>
            <w:webHidden/>
          </w:rPr>
          <w:fldChar w:fldCharType="begin"/>
        </w:r>
        <w:r w:rsidR="004242C0">
          <w:rPr>
            <w:noProof/>
            <w:webHidden/>
          </w:rPr>
          <w:instrText xml:space="preserve"> PAGEREF _Toc91081414 \h </w:instrText>
        </w:r>
        <w:r w:rsidR="004242C0">
          <w:rPr>
            <w:noProof/>
            <w:webHidden/>
          </w:rPr>
        </w:r>
        <w:r w:rsidR="004242C0">
          <w:rPr>
            <w:noProof/>
            <w:webHidden/>
          </w:rPr>
          <w:fldChar w:fldCharType="separate"/>
        </w:r>
        <w:r w:rsidR="002439B9">
          <w:rPr>
            <w:noProof/>
            <w:webHidden/>
          </w:rPr>
          <w:t>70</w:t>
        </w:r>
        <w:r w:rsidR="004242C0">
          <w:rPr>
            <w:noProof/>
            <w:webHidden/>
          </w:rPr>
          <w:fldChar w:fldCharType="end"/>
        </w:r>
      </w:hyperlink>
    </w:p>
    <w:p w14:paraId="0706BFA9" w14:textId="35C5346F" w:rsidR="004242C0" w:rsidRDefault="00B1628C">
      <w:pPr>
        <w:pStyle w:val="Sommario3"/>
        <w:rPr>
          <w:rFonts w:asciiTheme="minorHAnsi" w:hAnsiTheme="minorHAnsi"/>
          <w:i w:val="0"/>
          <w:iCs w:val="0"/>
          <w:noProof/>
          <w:sz w:val="22"/>
          <w:szCs w:val="22"/>
          <w:lang w:eastAsia="it-IT"/>
        </w:rPr>
      </w:pPr>
      <w:hyperlink w:anchor="_Toc91081415" w:history="1">
        <w:r w:rsidR="004242C0" w:rsidRPr="004122E9">
          <w:rPr>
            <w:rStyle w:val="Collegamentoipertestuale"/>
            <w:noProof/>
          </w:rPr>
          <w:t>3.4.2</w:t>
        </w:r>
        <w:r w:rsidR="004242C0">
          <w:rPr>
            <w:rFonts w:asciiTheme="minorHAnsi" w:hAnsiTheme="minorHAnsi"/>
            <w:i w:val="0"/>
            <w:iCs w:val="0"/>
            <w:noProof/>
            <w:sz w:val="22"/>
            <w:szCs w:val="22"/>
            <w:lang w:eastAsia="it-IT"/>
          </w:rPr>
          <w:tab/>
        </w:r>
        <w:r w:rsidR="004242C0" w:rsidRPr="004122E9">
          <w:rPr>
            <w:rStyle w:val="Collegamentoipertestuale"/>
            <w:noProof/>
          </w:rPr>
          <w:t>Principali risultati della valutazione FSE</w:t>
        </w:r>
        <w:r w:rsidR="004242C0">
          <w:rPr>
            <w:noProof/>
            <w:webHidden/>
          </w:rPr>
          <w:tab/>
        </w:r>
        <w:r w:rsidR="004242C0">
          <w:rPr>
            <w:noProof/>
            <w:webHidden/>
          </w:rPr>
          <w:fldChar w:fldCharType="begin"/>
        </w:r>
        <w:r w:rsidR="004242C0">
          <w:rPr>
            <w:noProof/>
            <w:webHidden/>
          </w:rPr>
          <w:instrText xml:space="preserve"> PAGEREF _Toc91081415 \h </w:instrText>
        </w:r>
        <w:r w:rsidR="004242C0">
          <w:rPr>
            <w:noProof/>
            <w:webHidden/>
          </w:rPr>
        </w:r>
        <w:r w:rsidR="004242C0">
          <w:rPr>
            <w:noProof/>
            <w:webHidden/>
          </w:rPr>
          <w:fldChar w:fldCharType="separate"/>
        </w:r>
        <w:r w:rsidR="002439B9">
          <w:rPr>
            <w:noProof/>
            <w:webHidden/>
          </w:rPr>
          <w:t>74</w:t>
        </w:r>
        <w:r w:rsidR="004242C0">
          <w:rPr>
            <w:noProof/>
            <w:webHidden/>
          </w:rPr>
          <w:fldChar w:fldCharType="end"/>
        </w:r>
      </w:hyperlink>
    </w:p>
    <w:p w14:paraId="28F3653A" w14:textId="706AFCED" w:rsidR="004242C0" w:rsidRDefault="00B1628C">
      <w:pPr>
        <w:pStyle w:val="Sommario3"/>
        <w:rPr>
          <w:rFonts w:asciiTheme="minorHAnsi" w:hAnsiTheme="minorHAnsi"/>
          <w:i w:val="0"/>
          <w:iCs w:val="0"/>
          <w:noProof/>
          <w:sz w:val="22"/>
          <w:szCs w:val="22"/>
          <w:lang w:eastAsia="it-IT"/>
        </w:rPr>
      </w:pPr>
      <w:hyperlink w:anchor="_Toc91081416" w:history="1">
        <w:r w:rsidR="004242C0" w:rsidRPr="004122E9">
          <w:rPr>
            <w:rStyle w:val="Collegamentoipertestuale"/>
            <w:noProof/>
          </w:rPr>
          <w:t>3.4.3</w:t>
        </w:r>
        <w:r w:rsidR="004242C0">
          <w:rPr>
            <w:rFonts w:asciiTheme="minorHAnsi" w:hAnsiTheme="minorHAnsi"/>
            <w:i w:val="0"/>
            <w:iCs w:val="0"/>
            <w:noProof/>
            <w:sz w:val="22"/>
            <w:szCs w:val="22"/>
            <w:lang w:eastAsia="it-IT"/>
          </w:rPr>
          <w:tab/>
        </w:r>
        <w:r w:rsidR="004242C0" w:rsidRPr="004122E9">
          <w:rPr>
            <w:rStyle w:val="Collegamentoipertestuale"/>
            <w:noProof/>
          </w:rPr>
          <w:t>Principali risultati della valutazione FEASR</w:t>
        </w:r>
        <w:r w:rsidR="004242C0">
          <w:rPr>
            <w:noProof/>
            <w:webHidden/>
          </w:rPr>
          <w:tab/>
        </w:r>
        <w:r w:rsidR="004242C0">
          <w:rPr>
            <w:noProof/>
            <w:webHidden/>
          </w:rPr>
          <w:fldChar w:fldCharType="begin"/>
        </w:r>
        <w:r w:rsidR="004242C0">
          <w:rPr>
            <w:noProof/>
            <w:webHidden/>
          </w:rPr>
          <w:instrText xml:space="preserve"> PAGEREF _Toc91081416 \h </w:instrText>
        </w:r>
        <w:r w:rsidR="004242C0">
          <w:rPr>
            <w:noProof/>
            <w:webHidden/>
          </w:rPr>
        </w:r>
        <w:r w:rsidR="004242C0">
          <w:rPr>
            <w:noProof/>
            <w:webHidden/>
          </w:rPr>
          <w:fldChar w:fldCharType="separate"/>
        </w:r>
        <w:r w:rsidR="002439B9">
          <w:rPr>
            <w:noProof/>
            <w:webHidden/>
          </w:rPr>
          <w:t>90</w:t>
        </w:r>
        <w:r w:rsidR="004242C0">
          <w:rPr>
            <w:noProof/>
            <w:webHidden/>
          </w:rPr>
          <w:fldChar w:fldCharType="end"/>
        </w:r>
      </w:hyperlink>
    </w:p>
    <w:p w14:paraId="1C7F29B4" w14:textId="734AEC7E" w:rsidR="004242C0" w:rsidRDefault="00B1628C">
      <w:pPr>
        <w:pStyle w:val="Sommario2"/>
        <w:tabs>
          <w:tab w:val="left" w:pos="880"/>
          <w:tab w:val="right" w:leader="dot" w:pos="9061"/>
        </w:tabs>
        <w:rPr>
          <w:rFonts w:asciiTheme="minorHAnsi" w:hAnsiTheme="minorHAnsi"/>
          <w:smallCaps w:val="0"/>
          <w:noProof/>
          <w:sz w:val="22"/>
          <w:szCs w:val="22"/>
          <w:lang w:eastAsia="it-IT"/>
        </w:rPr>
      </w:pPr>
      <w:hyperlink w:anchor="_Toc91081417" w:history="1">
        <w:r w:rsidR="004242C0" w:rsidRPr="004122E9">
          <w:rPr>
            <w:rStyle w:val="Collegamentoipertestuale"/>
            <w:noProof/>
          </w:rPr>
          <w:t>3.5</w:t>
        </w:r>
        <w:r w:rsidR="004242C0">
          <w:rPr>
            <w:rFonts w:asciiTheme="minorHAnsi" w:hAnsiTheme="minorHAnsi"/>
            <w:smallCaps w:val="0"/>
            <w:noProof/>
            <w:sz w:val="22"/>
            <w:szCs w:val="22"/>
            <w:lang w:eastAsia="it-IT"/>
          </w:rPr>
          <w:tab/>
        </w:r>
        <w:r w:rsidR="004242C0" w:rsidRPr="004122E9">
          <w:rPr>
            <w:rStyle w:val="Collegamentoipertestuale"/>
            <w:noProof/>
          </w:rPr>
          <w:t>Considerazioni trasversali sulle pari opportunità</w:t>
        </w:r>
        <w:r w:rsidR="004242C0">
          <w:rPr>
            <w:noProof/>
            <w:webHidden/>
          </w:rPr>
          <w:tab/>
        </w:r>
        <w:r w:rsidR="004242C0">
          <w:rPr>
            <w:noProof/>
            <w:webHidden/>
          </w:rPr>
          <w:fldChar w:fldCharType="begin"/>
        </w:r>
        <w:r w:rsidR="004242C0">
          <w:rPr>
            <w:noProof/>
            <w:webHidden/>
          </w:rPr>
          <w:instrText xml:space="preserve"> PAGEREF _Toc91081417 \h </w:instrText>
        </w:r>
        <w:r w:rsidR="004242C0">
          <w:rPr>
            <w:noProof/>
            <w:webHidden/>
          </w:rPr>
        </w:r>
        <w:r w:rsidR="004242C0">
          <w:rPr>
            <w:noProof/>
            <w:webHidden/>
          </w:rPr>
          <w:fldChar w:fldCharType="separate"/>
        </w:r>
        <w:r w:rsidR="002439B9">
          <w:rPr>
            <w:noProof/>
            <w:webHidden/>
          </w:rPr>
          <w:t>95</w:t>
        </w:r>
        <w:r w:rsidR="004242C0">
          <w:rPr>
            <w:noProof/>
            <w:webHidden/>
          </w:rPr>
          <w:fldChar w:fldCharType="end"/>
        </w:r>
      </w:hyperlink>
    </w:p>
    <w:p w14:paraId="556FAABE" w14:textId="1A2B3DC8" w:rsidR="004242C0" w:rsidRDefault="00B1628C">
      <w:pPr>
        <w:pStyle w:val="Sommario2"/>
        <w:tabs>
          <w:tab w:val="left" w:pos="880"/>
          <w:tab w:val="right" w:leader="dot" w:pos="9061"/>
        </w:tabs>
        <w:rPr>
          <w:rFonts w:asciiTheme="minorHAnsi" w:hAnsiTheme="minorHAnsi"/>
          <w:smallCaps w:val="0"/>
          <w:noProof/>
          <w:sz w:val="22"/>
          <w:szCs w:val="22"/>
          <w:lang w:eastAsia="it-IT"/>
        </w:rPr>
      </w:pPr>
      <w:hyperlink w:anchor="_Toc91081418" w:history="1">
        <w:r w:rsidR="004242C0" w:rsidRPr="004122E9">
          <w:rPr>
            <w:rStyle w:val="Collegamentoipertestuale"/>
            <w:noProof/>
          </w:rPr>
          <w:t>3.6</w:t>
        </w:r>
        <w:r w:rsidR="004242C0">
          <w:rPr>
            <w:rFonts w:asciiTheme="minorHAnsi" w:hAnsiTheme="minorHAnsi"/>
            <w:smallCaps w:val="0"/>
            <w:noProof/>
            <w:sz w:val="22"/>
            <w:szCs w:val="22"/>
            <w:lang w:eastAsia="it-IT"/>
          </w:rPr>
          <w:tab/>
        </w:r>
        <w:r w:rsidR="004242C0" w:rsidRPr="004122E9">
          <w:rPr>
            <w:rStyle w:val="Collegamentoipertestuale"/>
            <w:noProof/>
          </w:rPr>
          <w:t>Conclusioni e implicazioni rispetto al focus valutativo imprenditorialità</w:t>
        </w:r>
        <w:r w:rsidR="004242C0">
          <w:rPr>
            <w:noProof/>
            <w:webHidden/>
          </w:rPr>
          <w:tab/>
        </w:r>
        <w:r w:rsidR="004242C0">
          <w:rPr>
            <w:noProof/>
            <w:webHidden/>
          </w:rPr>
          <w:fldChar w:fldCharType="begin"/>
        </w:r>
        <w:r w:rsidR="004242C0">
          <w:rPr>
            <w:noProof/>
            <w:webHidden/>
          </w:rPr>
          <w:instrText xml:space="preserve"> PAGEREF _Toc91081418 \h </w:instrText>
        </w:r>
        <w:r w:rsidR="004242C0">
          <w:rPr>
            <w:noProof/>
            <w:webHidden/>
          </w:rPr>
        </w:r>
        <w:r w:rsidR="004242C0">
          <w:rPr>
            <w:noProof/>
            <w:webHidden/>
          </w:rPr>
          <w:fldChar w:fldCharType="separate"/>
        </w:r>
        <w:r w:rsidR="002439B9">
          <w:rPr>
            <w:noProof/>
            <w:webHidden/>
          </w:rPr>
          <w:t>97</w:t>
        </w:r>
        <w:r w:rsidR="004242C0">
          <w:rPr>
            <w:noProof/>
            <w:webHidden/>
          </w:rPr>
          <w:fldChar w:fldCharType="end"/>
        </w:r>
      </w:hyperlink>
    </w:p>
    <w:p w14:paraId="37F61863" w14:textId="4B32DE38" w:rsidR="004242C0" w:rsidRDefault="00B1628C">
      <w:pPr>
        <w:pStyle w:val="Sommario3"/>
        <w:rPr>
          <w:rFonts w:asciiTheme="minorHAnsi" w:hAnsiTheme="minorHAnsi"/>
          <w:i w:val="0"/>
          <w:iCs w:val="0"/>
          <w:noProof/>
          <w:sz w:val="22"/>
          <w:szCs w:val="22"/>
          <w:lang w:eastAsia="it-IT"/>
        </w:rPr>
      </w:pPr>
      <w:hyperlink w:anchor="_Toc91081419" w:history="1">
        <w:r w:rsidR="004242C0" w:rsidRPr="004122E9">
          <w:rPr>
            <w:rStyle w:val="Collegamentoipertestuale"/>
            <w:noProof/>
          </w:rPr>
          <w:t>3.6.1</w:t>
        </w:r>
        <w:r w:rsidR="004242C0">
          <w:rPr>
            <w:rFonts w:asciiTheme="minorHAnsi" w:hAnsiTheme="minorHAnsi"/>
            <w:i w:val="0"/>
            <w:iCs w:val="0"/>
            <w:noProof/>
            <w:sz w:val="22"/>
            <w:szCs w:val="22"/>
            <w:lang w:eastAsia="it-IT"/>
          </w:rPr>
          <w:tab/>
        </w:r>
        <w:r w:rsidR="004242C0" w:rsidRPr="004122E9">
          <w:rPr>
            <w:rStyle w:val="Collegamentoipertestuale"/>
            <w:noProof/>
          </w:rPr>
          <w:t>Considerazioni conclusive</w:t>
        </w:r>
        <w:r w:rsidR="004242C0">
          <w:rPr>
            <w:noProof/>
            <w:webHidden/>
          </w:rPr>
          <w:tab/>
        </w:r>
        <w:r w:rsidR="004242C0">
          <w:rPr>
            <w:noProof/>
            <w:webHidden/>
          </w:rPr>
          <w:fldChar w:fldCharType="begin"/>
        </w:r>
        <w:r w:rsidR="004242C0">
          <w:rPr>
            <w:noProof/>
            <w:webHidden/>
          </w:rPr>
          <w:instrText xml:space="preserve"> PAGEREF _Toc91081419 \h </w:instrText>
        </w:r>
        <w:r w:rsidR="004242C0">
          <w:rPr>
            <w:noProof/>
            <w:webHidden/>
          </w:rPr>
        </w:r>
        <w:r w:rsidR="004242C0">
          <w:rPr>
            <w:noProof/>
            <w:webHidden/>
          </w:rPr>
          <w:fldChar w:fldCharType="separate"/>
        </w:r>
        <w:r w:rsidR="002439B9">
          <w:rPr>
            <w:noProof/>
            <w:webHidden/>
          </w:rPr>
          <w:t>97</w:t>
        </w:r>
        <w:r w:rsidR="004242C0">
          <w:rPr>
            <w:noProof/>
            <w:webHidden/>
          </w:rPr>
          <w:fldChar w:fldCharType="end"/>
        </w:r>
      </w:hyperlink>
    </w:p>
    <w:p w14:paraId="77124DE0" w14:textId="55DDF956" w:rsidR="004242C0" w:rsidRDefault="00B1628C">
      <w:pPr>
        <w:pStyle w:val="Sommario3"/>
        <w:rPr>
          <w:rFonts w:asciiTheme="minorHAnsi" w:hAnsiTheme="minorHAnsi"/>
          <w:i w:val="0"/>
          <w:iCs w:val="0"/>
          <w:noProof/>
          <w:sz w:val="22"/>
          <w:szCs w:val="22"/>
          <w:lang w:eastAsia="it-IT"/>
        </w:rPr>
      </w:pPr>
      <w:hyperlink w:anchor="_Toc91081420" w:history="1">
        <w:r w:rsidR="004242C0" w:rsidRPr="004122E9">
          <w:rPr>
            <w:rStyle w:val="Collegamentoipertestuale"/>
            <w:noProof/>
          </w:rPr>
          <w:t>3.6.2</w:t>
        </w:r>
        <w:r w:rsidR="004242C0">
          <w:rPr>
            <w:rFonts w:asciiTheme="minorHAnsi" w:hAnsiTheme="minorHAnsi"/>
            <w:i w:val="0"/>
            <w:iCs w:val="0"/>
            <w:noProof/>
            <w:sz w:val="22"/>
            <w:szCs w:val="22"/>
            <w:lang w:eastAsia="it-IT"/>
          </w:rPr>
          <w:tab/>
        </w:r>
        <w:r w:rsidR="004242C0" w:rsidRPr="004122E9">
          <w:rPr>
            <w:rStyle w:val="Collegamentoipertestuale"/>
            <w:noProof/>
          </w:rPr>
          <w:t>Raccomandazioni  per il futuro che emergono dalle valutazioni</w:t>
        </w:r>
        <w:r w:rsidR="004242C0">
          <w:rPr>
            <w:noProof/>
            <w:webHidden/>
          </w:rPr>
          <w:tab/>
        </w:r>
        <w:r w:rsidR="004242C0">
          <w:rPr>
            <w:noProof/>
            <w:webHidden/>
          </w:rPr>
          <w:fldChar w:fldCharType="begin"/>
        </w:r>
        <w:r w:rsidR="004242C0">
          <w:rPr>
            <w:noProof/>
            <w:webHidden/>
          </w:rPr>
          <w:instrText xml:space="preserve"> PAGEREF _Toc91081420 \h </w:instrText>
        </w:r>
        <w:r w:rsidR="004242C0">
          <w:rPr>
            <w:noProof/>
            <w:webHidden/>
          </w:rPr>
        </w:r>
        <w:r w:rsidR="004242C0">
          <w:rPr>
            <w:noProof/>
            <w:webHidden/>
          </w:rPr>
          <w:fldChar w:fldCharType="separate"/>
        </w:r>
        <w:r w:rsidR="002439B9">
          <w:rPr>
            <w:noProof/>
            <w:webHidden/>
          </w:rPr>
          <w:t>99</w:t>
        </w:r>
        <w:r w:rsidR="004242C0">
          <w:rPr>
            <w:noProof/>
            <w:webHidden/>
          </w:rPr>
          <w:fldChar w:fldCharType="end"/>
        </w:r>
      </w:hyperlink>
    </w:p>
    <w:p w14:paraId="14428842" w14:textId="5BB9FD17" w:rsidR="004242C0" w:rsidRDefault="00B1628C">
      <w:pPr>
        <w:pStyle w:val="Sommario1"/>
        <w:rPr>
          <w:rFonts w:asciiTheme="minorHAnsi" w:hAnsiTheme="minorHAnsi"/>
          <w:b w:val="0"/>
          <w:bCs w:val="0"/>
          <w:caps w:val="0"/>
          <w:noProof/>
          <w:sz w:val="22"/>
          <w:szCs w:val="22"/>
          <w:lang w:eastAsia="it-IT"/>
        </w:rPr>
      </w:pPr>
      <w:hyperlink w:anchor="_Toc91081421" w:history="1">
        <w:r w:rsidR="004242C0" w:rsidRPr="004122E9">
          <w:rPr>
            <w:rStyle w:val="Collegamentoipertestuale"/>
            <w:noProof/>
          </w:rPr>
          <w:t>4</w:t>
        </w:r>
        <w:r w:rsidR="004242C0">
          <w:rPr>
            <w:rFonts w:asciiTheme="minorHAnsi" w:hAnsiTheme="minorHAnsi"/>
            <w:b w:val="0"/>
            <w:bCs w:val="0"/>
            <w:caps w:val="0"/>
            <w:noProof/>
            <w:sz w:val="22"/>
            <w:szCs w:val="22"/>
            <w:lang w:eastAsia="it-IT"/>
          </w:rPr>
          <w:tab/>
        </w:r>
        <w:r w:rsidR="004242C0" w:rsidRPr="004122E9">
          <w:rPr>
            <w:rStyle w:val="Collegamentoipertestuale"/>
            <w:noProof/>
          </w:rPr>
          <w:t>Allegati</w:t>
        </w:r>
        <w:r w:rsidR="004242C0">
          <w:rPr>
            <w:noProof/>
            <w:webHidden/>
          </w:rPr>
          <w:tab/>
        </w:r>
        <w:r w:rsidR="004242C0">
          <w:rPr>
            <w:noProof/>
            <w:webHidden/>
          </w:rPr>
          <w:fldChar w:fldCharType="begin"/>
        </w:r>
        <w:r w:rsidR="004242C0">
          <w:rPr>
            <w:noProof/>
            <w:webHidden/>
          </w:rPr>
          <w:instrText xml:space="preserve"> PAGEREF _Toc91081421 \h </w:instrText>
        </w:r>
        <w:r w:rsidR="004242C0">
          <w:rPr>
            <w:noProof/>
            <w:webHidden/>
          </w:rPr>
        </w:r>
        <w:r w:rsidR="004242C0">
          <w:rPr>
            <w:noProof/>
            <w:webHidden/>
          </w:rPr>
          <w:fldChar w:fldCharType="separate"/>
        </w:r>
        <w:r w:rsidR="002439B9">
          <w:rPr>
            <w:noProof/>
            <w:webHidden/>
          </w:rPr>
          <w:t>102</w:t>
        </w:r>
        <w:r w:rsidR="004242C0">
          <w:rPr>
            <w:noProof/>
            <w:webHidden/>
          </w:rPr>
          <w:fldChar w:fldCharType="end"/>
        </w:r>
      </w:hyperlink>
    </w:p>
    <w:p w14:paraId="57720572" w14:textId="729456C8" w:rsidR="004242C0" w:rsidRDefault="00B1628C">
      <w:pPr>
        <w:pStyle w:val="Sommario2"/>
        <w:tabs>
          <w:tab w:val="left" w:pos="880"/>
          <w:tab w:val="right" w:leader="dot" w:pos="9061"/>
        </w:tabs>
        <w:rPr>
          <w:rFonts w:asciiTheme="minorHAnsi" w:hAnsiTheme="minorHAnsi"/>
          <w:smallCaps w:val="0"/>
          <w:noProof/>
          <w:sz w:val="22"/>
          <w:szCs w:val="22"/>
          <w:lang w:eastAsia="it-IT"/>
        </w:rPr>
      </w:pPr>
      <w:hyperlink w:anchor="_Toc91081422" w:history="1">
        <w:r w:rsidR="004242C0" w:rsidRPr="004122E9">
          <w:rPr>
            <w:rStyle w:val="Collegamentoipertestuale"/>
            <w:noProof/>
          </w:rPr>
          <w:t>4.1</w:t>
        </w:r>
        <w:r w:rsidR="004242C0">
          <w:rPr>
            <w:rFonts w:asciiTheme="minorHAnsi" w:hAnsiTheme="minorHAnsi"/>
            <w:smallCaps w:val="0"/>
            <w:noProof/>
            <w:sz w:val="22"/>
            <w:szCs w:val="22"/>
            <w:lang w:eastAsia="it-IT"/>
          </w:rPr>
          <w:tab/>
        </w:r>
        <w:r w:rsidR="004242C0" w:rsidRPr="004122E9">
          <w:rPr>
            <w:rStyle w:val="Collegamentoipertestuale"/>
            <w:noProof/>
          </w:rPr>
          <w:t>Allegato A: raggruppamento bandi utilizzato nell’analisi proposta nel capitolo 2</w:t>
        </w:r>
        <w:r w:rsidR="004242C0">
          <w:rPr>
            <w:noProof/>
            <w:webHidden/>
          </w:rPr>
          <w:tab/>
        </w:r>
        <w:r w:rsidR="004242C0">
          <w:rPr>
            <w:noProof/>
            <w:webHidden/>
          </w:rPr>
          <w:fldChar w:fldCharType="begin"/>
        </w:r>
        <w:r w:rsidR="004242C0">
          <w:rPr>
            <w:noProof/>
            <w:webHidden/>
          </w:rPr>
          <w:instrText xml:space="preserve"> PAGEREF _Toc91081422 \h </w:instrText>
        </w:r>
        <w:r w:rsidR="004242C0">
          <w:rPr>
            <w:noProof/>
            <w:webHidden/>
          </w:rPr>
        </w:r>
        <w:r w:rsidR="004242C0">
          <w:rPr>
            <w:noProof/>
            <w:webHidden/>
          </w:rPr>
          <w:fldChar w:fldCharType="separate"/>
        </w:r>
        <w:r w:rsidR="002439B9">
          <w:rPr>
            <w:noProof/>
            <w:webHidden/>
          </w:rPr>
          <w:t>102</w:t>
        </w:r>
        <w:r w:rsidR="004242C0">
          <w:rPr>
            <w:noProof/>
            <w:webHidden/>
          </w:rPr>
          <w:fldChar w:fldCharType="end"/>
        </w:r>
      </w:hyperlink>
    </w:p>
    <w:p w14:paraId="4C47CC77" w14:textId="7E27EC52" w:rsidR="004242C0" w:rsidRDefault="00B1628C">
      <w:pPr>
        <w:pStyle w:val="Sommario2"/>
        <w:tabs>
          <w:tab w:val="left" w:pos="880"/>
          <w:tab w:val="right" w:leader="dot" w:pos="9061"/>
        </w:tabs>
        <w:rPr>
          <w:rFonts w:asciiTheme="minorHAnsi" w:hAnsiTheme="minorHAnsi"/>
          <w:smallCaps w:val="0"/>
          <w:noProof/>
          <w:sz w:val="22"/>
          <w:szCs w:val="22"/>
          <w:lang w:eastAsia="it-IT"/>
        </w:rPr>
      </w:pPr>
      <w:hyperlink w:anchor="_Toc91081423" w:history="1">
        <w:r w:rsidR="004242C0" w:rsidRPr="004122E9">
          <w:rPr>
            <w:rStyle w:val="Collegamentoipertestuale"/>
            <w:noProof/>
          </w:rPr>
          <w:t>4.2</w:t>
        </w:r>
        <w:r w:rsidR="004242C0">
          <w:rPr>
            <w:rFonts w:asciiTheme="minorHAnsi" w:hAnsiTheme="minorHAnsi"/>
            <w:smallCaps w:val="0"/>
            <w:noProof/>
            <w:sz w:val="22"/>
            <w:szCs w:val="22"/>
            <w:lang w:eastAsia="it-IT"/>
          </w:rPr>
          <w:tab/>
        </w:r>
        <w:r w:rsidR="004242C0" w:rsidRPr="004122E9">
          <w:rPr>
            <w:rStyle w:val="Collegamentoipertestuale"/>
            <w:noProof/>
          </w:rPr>
          <w:t>Allegato B: figure e tabelle aggiuntive relative al focus valutativo sull’imprenditorialità</w:t>
        </w:r>
        <w:r w:rsidR="004242C0">
          <w:rPr>
            <w:noProof/>
            <w:webHidden/>
          </w:rPr>
          <w:tab/>
        </w:r>
        <w:r w:rsidR="004242C0">
          <w:rPr>
            <w:noProof/>
            <w:webHidden/>
          </w:rPr>
          <w:fldChar w:fldCharType="begin"/>
        </w:r>
        <w:r w:rsidR="004242C0">
          <w:rPr>
            <w:noProof/>
            <w:webHidden/>
          </w:rPr>
          <w:instrText xml:space="preserve"> PAGEREF _Toc91081423 \h </w:instrText>
        </w:r>
        <w:r w:rsidR="004242C0">
          <w:rPr>
            <w:noProof/>
            <w:webHidden/>
          </w:rPr>
        </w:r>
        <w:r w:rsidR="004242C0">
          <w:rPr>
            <w:noProof/>
            <w:webHidden/>
          </w:rPr>
          <w:fldChar w:fldCharType="separate"/>
        </w:r>
        <w:r w:rsidR="002439B9">
          <w:rPr>
            <w:noProof/>
            <w:webHidden/>
          </w:rPr>
          <w:t>105</w:t>
        </w:r>
        <w:r w:rsidR="004242C0">
          <w:rPr>
            <w:noProof/>
            <w:webHidden/>
          </w:rPr>
          <w:fldChar w:fldCharType="end"/>
        </w:r>
      </w:hyperlink>
    </w:p>
    <w:p w14:paraId="797BDA34" w14:textId="4F0350A3" w:rsidR="004242C0" w:rsidRDefault="00B1628C">
      <w:pPr>
        <w:pStyle w:val="Sommario3"/>
        <w:rPr>
          <w:rFonts w:asciiTheme="minorHAnsi" w:hAnsiTheme="minorHAnsi"/>
          <w:i w:val="0"/>
          <w:iCs w:val="0"/>
          <w:noProof/>
          <w:sz w:val="22"/>
          <w:szCs w:val="22"/>
          <w:lang w:eastAsia="it-IT"/>
        </w:rPr>
      </w:pPr>
      <w:hyperlink w:anchor="_Toc91081424" w:history="1">
        <w:r w:rsidR="004242C0" w:rsidRPr="004122E9">
          <w:rPr>
            <w:rStyle w:val="Collegamentoipertestuale"/>
            <w:noProof/>
          </w:rPr>
          <w:t>4.2.1</w:t>
        </w:r>
        <w:r w:rsidR="004242C0">
          <w:rPr>
            <w:rFonts w:asciiTheme="minorHAnsi" w:hAnsiTheme="minorHAnsi"/>
            <w:i w:val="0"/>
            <w:iCs w:val="0"/>
            <w:noProof/>
            <w:sz w:val="22"/>
            <w:szCs w:val="22"/>
            <w:lang w:eastAsia="it-IT"/>
          </w:rPr>
          <w:tab/>
        </w:r>
        <w:r w:rsidR="004242C0" w:rsidRPr="004122E9">
          <w:rPr>
            <w:rStyle w:val="Collegamentoipertestuale"/>
            <w:noProof/>
          </w:rPr>
          <w:t>Gli attori del mercato dei capitali</w:t>
        </w:r>
        <w:r w:rsidR="004242C0">
          <w:rPr>
            <w:noProof/>
            <w:webHidden/>
          </w:rPr>
          <w:tab/>
        </w:r>
        <w:r w:rsidR="004242C0">
          <w:rPr>
            <w:noProof/>
            <w:webHidden/>
          </w:rPr>
          <w:fldChar w:fldCharType="begin"/>
        </w:r>
        <w:r w:rsidR="004242C0">
          <w:rPr>
            <w:noProof/>
            <w:webHidden/>
          </w:rPr>
          <w:instrText xml:space="preserve"> PAGEREF _Toc91081424 \h </w:instrText>
        </w:r>
        <w:r w:rsidR="004242C0">
          <w:rPr>
            <w:noProof/>
            <w:webHidden/>
          </w:rPr>
        </w:r>
        <w:r w:rsidR="004242C0">
          <w:rPr>
            <w:noProof/>
            <w:webHidden/>
          </w:rPr>
          <w:fldChar w:fldCharType="separate"/>
        </w:r>
        <w:r w:rsidR="002439B9">
          <w:rPr>
            <w:noProof/>
            <w:webHidden/>
          </w:rPr>
          <w:t>105</w:t>
        </w:r>
        <w:r w:rsidR="004242C0">
          <w:rPr>
            <w:noProof/>
            <w:webHidden/>
          </w:rPr>
          <w:fldChar w:fldCharType="end"/>
        </w:r>
      </w:hyperlink>
    </w:p>
    <w:p w14:paraId="1F6EE917" w14:textId="2D969132" w:rsidR="004242C0" w:rsidRDefault="00B1628C">
      <w:pPr>
        <w:pStyle w:val="Sommario3"/>
        <w:rPr>
          <w:rFonts w:asciiTheme="minorHAnsi" w:hAnsiTheme="minorHAnsi"/>
          <w:i w:val="0"/>
          <w:iCs w:val="0"/>
          <w:noProof/>
          <w:sz w:val="22"/>
          <w:szCs w:val="22"/>
          <w:lang w:eastAsia="it-IT"/>
        </w:rPr>
      </w:pPr>
      <w:hyperlink w:anchor="_Toc91081425" w:history="1">
        <w:r w:rsidR="004242C0" w:rsidRPr="004122E9">
          <w:rPr>
            <w:rStyle w:val="Collegamentoipertestuale"/>
            <w:noProof/>
          </w:rPr>
          <w:t>4.2.2</w:t>
        </w:r>
        <w:r w:rsidR="004242C0">
          <w:rPr>
            <w:rFonts w:asciiTheme="minorHAnsi" w:hAnsiTheme="minorHAnsi"/>
            <w:i w:val="0"/>
            <w:iCs w:val="0"/>
            <w:noProof/>
            <w:sz w:val="22"/>
            <w:szCs w:val="22"/>
            <w:lang w:eastAsia="it-IT"/>
          </w:rPr>
          <w:tab/>
        </w:r>
        <w:r w:rsidR="004242C0" w:rsidRPr="004122E9">
          <w:rPr>
            <w:rStyle w:val="Collegamentoipertestuale"/>
            <w:noProof/>
          </w:rPr>
          <w:t>Il fenomeno delle startup innovative</w:t>
        </w:r>
        <w:r w:rsidR="004242C0">
          <w:rPr>
            <w:noProof/>
            <w:webHidden/>
          </w:rPr>
          <w:tab/>
        </w:r>
        <w:r w:rsidR="004242C0">
          <w:rPr>
            <w:noProof/>
            <w:webHidden/>
          </w:rPr>
          <w:fldChar w:fldCharType="begin"/>
        </w:r>
        <w:r w:rsidR="004242C0">
          <w:rPr>
            <w:noProof/>
            <w:webHidden/>
          </w:rPr>
          <w:instrText xml:space="preserve"> PAGEREF _Toc91081425 \h </w:instrText>
        </w:r>
        <w:r w:rsidR="004242C0">
          <w:rPr>
            <w:noProof/>
            <w:webHidden/>
          </w:rPr>
        </w:r>
        <w:r w:rsidR="004242C0">
          <w:rPr>
            <w:noProof/>
            <w:webHidden/>
          </w:rPr>
          <w:fldChar w:fldCharType="separate"/>
        </w:r>
        <w:r w:rsidR="002439B9">
          <w:rPr>
            <w:noProof/>
            <w:webHidden/>
          </w:rPr>
          <w:t>106</w:t>
        </w:r>
        <w:r w:rsidR="004242C0">
          <w:rPr>
            <w:noProof/>
            <w:webHidden/>
          </w:rPr>
          <w:fldChar w:fldCharType="end"/>
        </w:r>
      </w:hyperlink>
    </w:p>
    <w:p w14:paraId="7CF0D5EB" w14:textId="193EAF1E" w:rsidR="004242C0" w:rsidRDefault="00B1628C">
      <w:pPr>
        <w:pStyle w:val="Sommario2"/>
        <w:tabs>
          <w:tab w:val="left" w:pos="880"/>
          <w:tab w:val="right" w:leader="dot" w:pos="9061"/>
        </w:tabs>
        <w:rPr>
          <w:rFonts w:asciiTheme="minorHAnsi" w:hAnsiTheme="minorHAnsi"/>
          <w:smallCaps w:val="0"/>
          <w:noProof/>
          <w:sz w:val="22"/>
          <w:szCs w:val="22"/>
          <w:lang w:eastAsia="it-IT"/>
        </w:rPr>
      </w:pPr>
      <w:hyperlink w:anchor="_Toc91081426" w:history="1">
        <w:r w:rsidR="004242C0" w:rsidRPr="004122E9">
          <w:rPr>
            <w:rStyle w:val="Collegamentoipertestuale"/>
            <w:noProof/>
          </w:rPr>
          <w:t>4.3</w:t>
        </w:r>
        <w:r w:rsidR="004242C0">
          <w:rPr>
            <w:rFonts w:asciiTheme="minorHAnsi" w:hAnsiTheme="minorHAnsi"/>
            <w:smallCaps w:val="0"/>
            <w:noProof/>
            <w:sz w:val="22"/>
            <w:szCs w:val="22"/>
            <w:lang w:eastAsia="it-IT"/>
          </w:rPr>
          <w:tab/>
        </w:r>
        <w:r w:rsidR="004242C0" w:rsidRPr="004122E9">
          <w:rPr>
            <w:rStyle w:val="Collegamentoipertestuale"/>
            <w:noProof/>
          </w:rPr>
          <w:t>Allegato C: bibliografia</w:t>
        </w:r>
        <w:r w:rsidR="004242C0">
          <w:rPr>
            <w:noProof/>
            <w:webHidden/>
          </w:rPr>
          <w:tab/>
        </w:r>
        <w:r w:rsidR="004242C0">
          <w:rPr>
            <w:noProof/>
            <w:webHidden/>
          </w:rPr>
          <w:fldChar w:fldCharType="begin"/>
        </w:r>
        <w:r w:rsidR="004242C0">
          <w:rPr>
            <w:noProof/>
            <w:webHidden/>
          </w:rPr>
          <w:instrText xml:space="preserve"> PAGEREF _Toc91081426 \h </w:instrText>
        </w:r>
        <w:r w:rsidR="004242C0">
          <w:rPr>
            <w:noProof/>
            <w:webHidden/>
          </w:rPr>
        </w:r>
        <w:r w:rsidR="004242C0">
          <w:rPr>
            <w:noProof/>
            <w:webHidden/>
          </w:rPr>
          <w:fldChar w:fldCharType="separate"/>
        </w:r>
        <w:r w:rsidR="002439B9">
          <w:rPr>
            <w:noProof/>
            <w:webHidden/>
          </w:rPr>
          <w:t>108</w:t>
        </w:r>
        <w:r w:rsidR="004242C0">
          <w:rPr>
            <w:noProof/>
            <w:webHidden/>
          </w:rPr>
          <w:fldChar w:fldCharType="end"/>
        </w:r>
      </w:hyperlink>
    </w:p>
    <w:p w14:paraId="6DF9B195" w14:textId="3E4B8BE9" w:rsidR="00C3425E" w:rsidRDefault="004E6566" w:rsidP="00E17626">
      <w:pPr>
        <w:rPr>
          <w:rFonts w:ascii="Century Gothic" w:hAnsi="Century Gothic"/>
          <w:b/>
          <w:caps/>
          <w:sz w:val="24"/>
          <w:szCs w:val="24"/>
        </w:rPr>
      </w:pPr>
      <w:r w:rsidRPr="00922E2A">
        <w:rPr>
          <w:rFonts w:ascii="Century Gothic" w:hAnsi="Century Gothic"/>
          <w:b/>
          <w:caps/>
          <w:sz w:val="24"/>
          <w:szCs w:val="24"/>
        </w:rPr>
        <w:fldChar w:fldCharType="end"/>
      </w:r>
    </w:p>
    <w:p w14:paraId="1F1E8F0D" w14:textId="77777777" w:rsidR="002E2F1F" w:rsidRPr="002E2F1F" w:rsidRDefault="002E2F1F" w:rsidP="002E2F1F"/>
    <w:p w14:paraId="7262AB2E" w14:textId="77777777" w:rsidR="002E2F1F" w:rsidRPr="002E2F1F" w:rsidRDefault="002E2F1F" w:rsidP="002E2F1F"/>
    <w:p w14:paraId="4E4DEC29" w14:textId="77777777" w:rsidR="00C260B5" w:rsidRDefault="00C260B5">
      <w:pPr>
        <w:spacing w:after="320" w:line="300" w:lineRule="auto"/>
        <w:jc w:val="left"/>
      </w:pPr>
      <w:r>
        <w:br w:type="page"/>
      </w:r>
    </w:p>
    <w:p w14:paraId="1E69C2D4" w14:textId="77777777" w:rsidR="002E2F1F" w:rsidRPr="002E2F1F" w:rsidRDefault="002E2F1F" w:rsidP="002E2F1F">
      <w:pPr>
        <w:rPr>
          <w:b/>
          <w:bCs/>
          <w:color w:val="FF0000"/>
        </w:rPr>
      </w:pPr>
      <w:r w:rsidRPr="002E2F1F">
        <w:rPr>
          <w:b/>
          <w:bCs/>
          <w:color w:val="FF0000"/>
        </w:rPr>
        <w:t>Indice delle tabelle</w:t>
      </w:r>
    </w:p>
    <w:p w14:paraId="5A640200" w14:textId="77777777" w:rsidR="002E2F1F" w:rsidRPr="002E2F1F" w:rsidRDefault="002E2F1F" w:rsidP="002E2F1F"/>
    <w:p w14:paraId="4213BB3C" w14:textId="28676317" w:rsidR="004242C0" w:rsidRDefault="004E6566">
      <w:pPr>
        <w:pStyle w:val="Indicedellefigure"/>
        <w:tabs>
          <w:tab w:val="right" w:leader="dot" w:pos="9061"/>
        </w:tabs>
        <w:rPr>
          <w:rFonts w:asciiTheme="minorHAnsi" w:hAnsiTheme="minorHAnsi"/>
          <w:noProof/>
          <w:sz w:val="22"/>
          <w:szCs w:val="22"/>
          <w:lang w:eastAsia="it-IT"/>
        </w:rPr>
      </w:pPr>
      <w:r>
        <w:fldChar w:fldCharType="begin"/>
      </w:r>
      <w:r w:rsidR="002E2F1F">
        <w:instrText xml:space="preserve"> TOC \h \z \c "Tabella" </w:instrText>
      </w:r>
      <w:r>
        <w:fldChar w:fldCharType="separate"/>
      </w:r>
      <w:hyperlink w:anchor="_Toc91081427" w:history="1">
        <w:r w:rsidR="004242C0" w:rsidRPr="0057402F">
          <w:rPr>
            <w:rStyle w:val="Collegamentoipertestuale"/>
            <w:noProof/>
          </w:rPr>
          <w:t>Tabella 1. Raccordo tra programmazione comunitaria e regionale</w:t>
        </w:r>
        <w:r w:rsidR="004242C0">
          <w:rPr>
            <w:noProof/>
            <w:webHidden/>
          </w:rPr>
          <w:tab/>
        </w:r>
        <w:r w:rsidR="004242C0">
          <w:rPr>
            <w:noProof/>
            <w:webHidden/>
          </w:rPr>
          <w:fldChar w:fldCharType="begin"/>
        </w:r>
        <w:r w:rsidR="004242C0">
          <w:rPr>
            <w:noProof/>
            <w:webHidden/>
          </w:rPr>
          <w:instrText xml:space="preserve"> PAGEREF _Toc91081427 \h </w:instrText>
        </w:r>
        <w:r w:rsidR="004242C0">
          <w:rPr>
            <w:noProof/>
            <w:webHidden/>
          </w:rPr>
        </w:r>
        <w:r w:rsidR="004242C0">
          <w:rPr>
            <w:noProof/>
            <w:webHidden/>
          </w:rPr>
          <w:fldChar w:fldCharType="separate"/>
        </w:r>
        <w:r w:rsidR="002439B9">
          <w:rPr>
            <w:noProof/>
            <w:webHidden/>
          </w:rPr>
          <w:t>6</w:t>
        </w:r>
        <w:r w:rsidR="004242C0">
          <w:rPr>
            <w:noProof/>
            <w:webHidden/>
          </w:rPr>
          <w:fldChar w:fldCharType="end"/>
        </w:r>
      </w:hyperlink>
    </w:p>
    <w:p w14:paraId="0A02B7E1" w14:textId="453E0A54" w:rsidR="004242C0" w:rsidRDefault="00B1628C">
      <w:pPr>
        <w:pStyle w:val="Indicedellefigure"/>
        <w:tabs>
          <w:tab w:val="right" w:leader="dot" w:pos="9061"/>
        </w:tabs>
        <w:rPr>
          <w:rFonts w:asciiTheme="minorHAnsi" w:hAnsiTheme="minorHAnsi"/>
          <w:noProof/>
          <w:sz w:val="22"/>
          <w:szCs w:val="22"/>
          <w:lang w:eastAsia="it-IT"/>
        </w:rPr>
      </w:pPr>
      <w:hyperlink w:anchor="_Toc91081428" w:history="1">
        <w:r w:rsidR="004242C0" w:rsidRPr="0057402F">
          <w:rPr>
            <w:rStyle w:val="Collegamentoipertestuale"/>
            <w:noProof/>
          </w:rPr>
          <w:t>Tabella 2. Macro-domande della valutazione unitaria</w:t>
        </w:r>
        <w:r w:rsidR="004242C0">
          <w:rPr>
            <w:noProof/>
            <w:webHidden/>
          </w:rPr>
          <w:tab/>
        </w:r>
        <w:r w:rsidR="004242C0">
          <w:rPr>
            <w:noProof/>
            <w:webHidden/>
          </w:rPr>
          <w:fldChar w:fldCharType="begin"/>
        </w:r>
        <w:r w:rsidR="004242C0">
          <w:rPr>
            <w:noProof/>
            <w:webHidden/>
          </w:rPr>
          <w:instrText xml:space="preserve"> PAGEREF _Toc91081428 \h </w:instrText>
        </w:r>
        <w:r w:rsidR="004242C0">
          <w:rPr>
            <w:noProof/>
            <w:webHidden/>
          </w:rPr>
        </w:r>
        <w:r w:rsidR="004242C0">
          <w:rPr>
            <w:noProof/>
            <w:webHidden/>
          </w:rPr>
          <w:fldChar w:fldCharType="separate"/>
        </w:r>
        <w:r w:rsidR="002439B9">
          <w:rPr>
            <w:noProof/>
            <w:webHidden/>
          </w:rPr>
          <w:t>7</w:t>
        </w:r>
        <w:r w:rsidR="004242C0">
          <w:rPr>
            <w:noProof/>
            <w:webHidden/>
          </w:rPr>
          <w:fldChar w:fldCharType="end"/>
        </w:r>
      </w:hyperlink>
    </w:p>
    <w:p w14:paraId="2554E65E" w14:textId="5A6C261A" w:rsidR="004242C0" w:rsidRDefault="00B1628C">
      <w:pPr>
        <w:pStyle w:val="Indicedellefigure"/>
        <w:tabs>
          <w:tab w:val="right" w:leader="dot" w:pos="9061"/>
        </w:tabs>
        <w:rPr>
          <w:rFonts w:asciiTheme="minorHAnsi" w:hAnsiTheme="minorHAnsi"/>
          <w:noProof/>
          <w:sz w:val="22"/>
          <w:szCs w:val="22"/>
          <w:lang w:eastAsia="it-IT"/>
        </w:rPr>
      </w:pPr>
      <w:hyperlink w:anchor="_Toc91081429" w:history="1">
        <w:r w:rsidR="004242C0" w:rsidRPr="0057402F">
          <w:rPr>
            <w:rStyle w:val="Collegamentoipertestuale"/>
            <w:noProof/>
          </w:rPr>
          <w:t>Tabella 3. Avanzamento finanziario FESR - Area economica – fine 2020</w:t>
        </w:r>
        <w:r w:rsidR="004242C0">
          <w:rPr>
            <w:noProof/>
            <w:webHidden/>
          </w:rPr>
          <w:tab/>
        </w:r>
        <w:r w:rsidR="004242C0">
          <w:rPr>
            <w:noProof/>
            <w:webHidden/>
          </w:rPr>
          <w:fldChar w:fldCharType="begin"/>
        </w:r>
        <w:r w:rsidR="004242C0">
          <w:rPr>
            <w:noProof/>
            <w:webHidden/>
          </w:rPr>
          <w:instrText xml:space="preserve"> PAGEREF _Toc91081429 \h </w:instrText>
        </w:r>
        <w:r w:rsidR="004242C0">
          <w:rPr>
            <w:noProof/>
            <w:webHidden/>
          </w:rPr>
        </w:r>
        <w:r w:rsidR="004242C0">
          <w:rPr>
            <w:noProof/>
            <w:webHidden/>
          </w:rPr>
          <w:fldChar w:fldCharType="separate"/>
        </w:r>
        <w:r w:rsidR="002439B9">
          <w:rPr>
            <w:noProof/>
            <w:webHidden/>
          </w:rPr>
          <w:t>11</w:t>
        </w:r>
        <w:r w:rsidR="004242C0">
          <w:rPr>
            <w:noProof/>
            <w:webHidden/>
          </w:rPr>
          <w:fldChar w:fldCharType="end"/>
        </w:r>
      </w:hyperlink>
    </w:p>
    <w:p w14:paraId="45165D65" w14:textId="1E25B3B1" w:rsidR="004242C0" w:rsidRDefault="00B1628C">
      <w:pPr>
        <w:pStyle w:val="Indicedellefigure"/>
        <w:tabs>
          <w:tab w:val="right" w:leader="dot" w:pos="9061"/>
        </w:tabs>
        <w:rPr>
          <w:rFonts w:asciiTheme="minorHAnsi" w:hAnsiTheme="minorHAnsi"/>
          <w:noProof/>
          <w:sz w:val="22"/>
          <w:szCs w:val="22"/>
          <w:lang w:eastAsia="it-IT"/>
        </w:rPr>
      </w:pPr>
      <w:hyperlink w:anchor="_Toc91081430" w:history="1">
        <w:r w:rsidR="004242C0" w:rsidRPr="0057402F">
          <w:rPr>
            <w:rStyle w:val="Collegamentoipertestuale"/>
            <w:noProof/>
          </w:rPr>
          <w:t>Tabella 4. Avanzamento degli interventi FESR - Area economica – fine 2020</w:t>
        </w:r>
        <w:r w:rsidR="004242C0">
          <w:rPr>
            <w:noProof/>
            <w:webHidden/>
          </w:rPr>
          <w:tab/>
        </w:r>
        <w:r w:rsidR="004242C0">
          <w:rPr>
            <w:noProof/>
            <w:webHidden/>
          </w:rPr>
          <w:fldChar w:fldCharType="begin"/>
        </w:r>
        <w:r w:rsidR="004242C0">
          <w:rPr>
            <w:noProof/>
            <w:webHidden/>
          </w:rPr>
          <w:instrText xml:space="preserve"> PAGEREF _Toc91081430 \h </w:instrText>
        </w:r>
        <w:r w:rsidR="004242C0">
          <w:rPr>
            <w:noProof/>
            <w:webHidden/>
          </w:rPr>
        </w:r>
        <w:r w:rsidR="004242C0">
          <w:rPr>
            <w:noProof/>
            <w:webHidden/>
          </w:rPr>
          <w:fldChar w:fldCharType="separate"/>
        </w:r>
        <w:r w:rsidR="002439B9">
          <w:rPr>
            <w:noProof/>
            <w:webHidden/>
          </w:rPr>
          <w:t>12</w:t>
        </w:r>
        <w:r w:rsidR="004242C0">
          <w:rPr>
            <w:noProof/>
            <w:webHidden/>
          </w:rPr>
          <w:fldChar w:fldCharType="end"/>
        </w:r>
      </w:hyperlink>
    </w:p>
    <w:p w14:paraId="0609BCD8" w14:textId="5CFC48CA" w:rsidR="004242C0" w:rsidRDefault="00B1628C">
      <w:pPr>
        <w:pStyle w:val="Indicedellefigure"/>
        <w:tabs>
          <w:tab w:val="right" w:leader="dot" w:pos="9061"/>
        </w:tabs>
        <w:rPr>
          <w:rFonts w:asciiTheme="minorHAnsi" w:hAnsiTheme="minorHAnsi"/>
          <w:noProof/>
          <w:sz w:val="22"/>
          <w:szCs w:val="22"/>
          <w:lang w:eastAsia="it-IT"/>
        </w:rPr>
      </w:pPr>
      <w:hyperlink w:anchor="_Toc91081431" w:history="1">
        <w:r w:rsidR="004242C0" w:rsidRPr="0057402F">
          <w:rPr>
            <w:rStyle w:val="Collegamentoipertestuale"/>
            <w:noProof/>
          </w:rPr>
          <w:t>Tabella 5. Avanzamento degli assi FEASR - Area economica – fine 2020</w:t>
        </w:r>
        <w:r w:rsidR="004242C0">
          <w:rPr>
            <w:noProof/>
            <w:webHidden/>
          </w:rPr>
          <w:tab/>
        </w:r>
        <w:r w:rsidR="004242C0">
          <w:rPr>
            <w:noProof/>
            <w:webHidden/>
          </w:rPr>
          <w:fldChar w:fldCharType="begin"/>
        </w:r>
        <w:r w:rsidR="004242C0">
          <w:rPr>
            <w:noProof/>
            <w:webHidden/>
          </w:rPr>
          <w:instrText xml:space="preserve"> PAGEREF _Toc91081431 \h </w:instrText>
        </w:r>
        <w:r w:rsidR="004242C0">
          <w:rPr>
            <w:noProof/>
            <w:webHidden/>
          </w:rPr>
        </w:r>
        <w:r w:rsidR="004242C0">
          <w:rPr>
            <w:noProof/>
            <w:webHidden/>
          </w:rPr>
          <w:fldChar w:fldCharType="separate"/>
        </w:r>
        <w:r w:rsidR="002439B9">
          <w:rPr>
            <w:noProof/>
            <w:webHidden/>
          </w:rPr>
          <w:t>13</w:t>
        </w:r>
        <w:r w:rsidR="004242C0">
          <w:rPr>
            <w:noProof/>
            <w:webHidden/>
          </w:rPr>
          <w:fldChar w:fldCharType="end"/>
        </w:r>
      </w:hyperlink>
    </w:p>
    <w:p w14:paraId="3E9E5315" w14:textId="5C008298" w:rsidR="004242C0" w:rsidRDefault="00B1628C">
      <w:pPr>
        <w:pStyle w:val="Indicedellefigure"/>
        <w:tabs>
          <w:tab w:val="right" w:leader="dot" w:pos="9061"/>
        </w:tabs>
        <w:rPr>
          <w:rFonts w:asciiTheme="minorHAnsi" w:hAnsiTheme="minorHAnsi"/>
          <w:noProof/>
          <w:sz w:val="22"/>
          <w:szCs w:val="22"/>
          <w:lang w:eastAsia="it-IT"/>
        </w:rPr>
      </w:pPr>
      <w:hyperlink w:anchor="_Toc91081432" w:history="1">
        <w:r w:rsidR="004242C0" w:rsidRPr="0057402F">
          <w:rPr>
            <w:rStyle w:val="Collegamentoipertestuale"/>
            <w:noProof/>
          </w:rPr>
          <w:t>Tabella 6. Indicatori di output selezionati FESR – Area economica</w:t>
        </w:r>
        <w:r w:rsidR="004242C0">
          <w:rPr>
            <w:noProof/>
            <w:webHidden/>
          </w:rPr>
          <w:tab/>
        </w:r>
        <w:r w:rsidR="004242C0">
          <w:rPr>
            <w:noProof/>
            <w:webHidden/>
          </w:rPr>
          <w:fldChar w:fldCharType="begin"/>
        </w:r>
        <w:r w:rsidR="004242C0">
          <w:rPr>
            <w:noProof/>
            <w:webHidden/>
          </w:rPr>
          <w:instrText xml:space="preserve"> PAGEREF _Toc91081432 \h </w:instrText>
        </w:r>
        <w:r w:rsidR="004242C0">
          <w:rPr>
            <w:noProof/>
            <w:webHidden/>
          </w:rPr>
        </w:r>
        <w:r w:rsidR="004242C0">
          <w:rPr>
            <w:noProof/>
            <w:webHidden/>
          </w:rPr>
          <w:fldChar w:fldCharType="separate"/>
        </w:r>
        <w:r w:rsidR="002439B9">
          <w:rPr>
            <w:noProof/>
            <w:webHidden/>
          </w:rPr>
          <w:t>13</w:t>
        </w:r>
        <w:r w:rsidR="004242C0">
          <w:rPr>
            <w:noProof/>
            <w:webHidden/>
          </w:rPr>
          <w:fldChar w:fldCharType="end"/>
        </w:r>
      </w:hyperlink>
    </w:p>
    <w:p w14:paraId="5AE61156" w14:textId="5B5ABF37" w:rsidR="004242C0" w:rsidRDefault="00B1628C">
      <w:pPr>
        <w:pStyle w:val="Indicedellefigure"/>
        <w:tabs>
          <w:tab w:val="right" w:leader="dot" w:pos="9061"/>
        </w:tabs>
        <w:rPr>
          <w:rFonts w:asciiTheme="minorHAnsi" w:hAnsiTheme="minorHAnsi"/>
          <w:noProof/>
          <w:sz w:val="22"/>
          <w:szCs w:val="22"/>
          <w:lang w:eastAsia="it-IT"/>
        </w:rPr>
      </w:pPr>
      <w:hyperlink w:anchor="_Toc91081433" w:history="1">
        <w:r w:rsidR="004242C0" w:rsidRPr="0057402F">
          <w:rPr>
            <w:rStyle w:val="Collegamentoipertestuale"/>
            <w:noProof/>
          </w:rPr>
          <w:t>Tabella 7. Indicatori di risultato selezionati FESR – Area economica</w:t>
        </w:r>
        <w:r w:rsidR="004242C0">
          <w:rPr>
            <w:noProof/>
            <w:webHidden/>
          </w:rPr>
          <w:tab/>
        </w:r>
        <w:r w:rsidR="004242C0">
          <w:rPr>
            <w:noProof/>
            <w:webHidden/>
          </w:rPr>
          <w:fldChar w:fldCharType="begin"/>
        </w:r>
        <w:r w:rsidR="004242C0">
          <w:rPr>
            <w:noProof/>
            <w:webHidden/>
          </w:rPr>
          <w:instrText xml:space="preserve"> PAGEREF _Toc91081433 \h </w:instrText>
        </w:r>
        <w:r w:rsidR="004242C0">
          <w:rPr>
            <w:noProof/>
            <w:webHidden/>
          </w:rPr>
        </w:r>
        <w:r w:rsidR="004242C0">
          <w:rPr>
            <w:noProof/>
            <w:webHidden/>
          </w:rPr>
          <w:fldChar w:fldCharType="separate"/>
        </w:r>
        <w:r w:rsidR="002439B9">
          <w:rPr>
            <w:noProof/>
            <w:webHidden/>
          </w:rPr>
          <w:t>14</w:t>
        </w:r>
        <w:r w:rsidR="004242C0">
          <w:rPr>
            <w:noProof/>
            <w:webHidden/>
          </w:rPr>
          <w:fldChar w:fldCharType="end"/>
        </w:r>
      </w:hyperlink>
    </w:p>
    <w:p w14:paraId="4733FFBC" w14:textId="4EDE6C50" w:rsidR="004242C0" w:rsidRDefault="00B1628C">
      <w:pPr>
        <w:pStyle w:val="Indicedellefigure"/>
        <w:tabs>
          <w:tab w:val="right" w:leader="dot" w:pos="9061"/>
        </w:tabs>
        <w:rPr>
          <w:rFonts w:asciiTheme="minorHAnsi" w:hAnsiTheme="minorHAnsi"/>
          <w:noProof/>
          <w:sz w:val="22"/>
          <w:szCs w:val="22"/>
          <w:lang w:eastAsia="it-IT"/>
        </w:rPr>
      </w:pPr>
      <w:hyperlink w:anchor="_Toc91081434" w:history="1">
        <w:r w:rsidR="004242C0" w:rsidRPr="0057402F">
          <w:rPr>
            <w:rStyle w:val="Collegamentoipertestuale"/>
            <w:noProof/>
          </w:rPr>
          <w:t>Tabella 8. Indicatori target relativi alla Priorità 1 del PSR FEASR</w:t>
        </w:r>
        <w:r w:rsidR="004242C0">
          <w:rPr>
            <w:noProof/>
            <w:webHidden/>
          </w:rPr>
          <w:tab/>
        </w:r>
        <w:r w:rsidR="004242C0">
          <w:rPr>
            <w:noProof/>
            <w:webHidden/>
          </w:rPr>
          <w:fldChar w:fldCharType="begin"/>
        </w:r>
        <w:r w:rsidR="004242C0">
          <w:rPr>
            <w:noProof/>
            <w:webHidden/>
          </w:rPr>
          <w:instrText xml:space="preserve"> PAGEREF _Toc91081434 \h </w:instrText>
        </w:r>
        <w:r w:rsidR="004242C0">
          <w:rPr>
            <w:noProof/>
            <w:webHidden/>
          </w:rPr>
        </w:r>
        <w:r w:rsidR="004242C0">
          <w:rPr>
            <w:noProof/>
            <w:webHidden/>
          </w:rPr>
          <w:fldChar w:fldCharType="separate"/>
        </w:r>
        <w:r w:rsidR="002439B9">
          <w:rPr>
            <w:noProof/>
            <w:webHidden/>
          </w:rPr>
          <w:t>15</w:t>
        </w:r>
        <w:r w:rsidR="004242C0">
          <w:rPr>
            <w:noProof/>
            <w:webHidden/>
          </w:rPr>
          <w:fldChar w:fldCharType="end"/>
        </w:r>
      </w:hyperlink>
    </w:p>
    <w:p w14:paraId="30E6B3ED" w14:textId="59499A3C" w:rsidR="004242C0" w:rsidRDefault="00B1628C">
      <w:pPr>
        <w:pStyle w:val="Indicedellefigure"/>
        <w:tabs>
          <w:tab w:val="right" w:leader="dot" w:pos="9061"/>
        </w:tabs>
        <w:rPr>
          <w:rFonts w:asciiTheme="minorHAnsi" w:hAnsiTheme="minorHAnsi"/>
          <w:noProof/>
          <w:sz w:val="22"/>
          <w:szCs w:val="22"/>
          <w:lang w:eastAsia="it-IT"/>
        </w:rPr>
      </w:pPr>
      <w:hyperlink w:anchor="_Toc91081435" w:history="1">
        <w:r w:rsidR="004242C0" w:rsidRPr="0057402F">
          <w:rPr>
            <w:rStyle w:val="Collegamentoipertestuale"/>
            <w:noProof/>
          </w:rPr>
          <w:t>Tabella 9. Indicatori target relativi alla Priorità 2 del PSR FEASR</w:t>
        </w:r>
        <w:r w:rsidR="004242C0">
          <w:rPr>
            <w:noProof/>
            <w:webHidden/>
          </w:rPr>
          <w:tab/>
        </w:r>
        <w:r w:rsidR="004242C0">
          <w:rPr>
            <w:noProof/>
            <w:webHidden/>
          </w:rPr>
          <w:fldChar w:fldCharType="begin"/>
        </w:r>
        <w:r w:rsidR="004242C0">
          <w:rPr>
            <w:noProof/>
            <w:webHidden/>
          </w:rPr>
          <w:instrText xml:space="preserve"> PAGEREF _Toc91081435 \h </w:instrText>
        </w:r>
        <w:r w:rsidR="004242C0">
          <w:rPr>
            <w:noProof/>
            <w:webHidden/>
          </w:rPr>
        </w:r>
        <w:r w:rsidR="004242C0">
          <w:rPr>
            <w:noProof/>
            <w:webHidden/>
          </w:rPr>
          <w:fldChar w:fldCharType="separate"/>
        </w:r>
        <w:r w:rsidR="002439B9">
          <w:rPr>
            <w:noProof/>
            <w:webHidden/>
          </w:rPr>
          <w:t>16</w:t>
        </w:r>
        <w:r w:rsidR="004242C0">
          <w:rPr>
            <w:noProof/>
            <w:webHidden/>
          </w:rPr>
          <w:fldChar w:fldCharType="end"/>
        </w:r>
      </w:hyperlink>
    </w:p>
    <w:p w14:paraId="1D9162C4" w14:textId="0A7F811A" w:rsidR="004242C0" w:rsidRDefault="00B1628C">
      <w:pPr>
        <w:pStyle w:val="Indicedellefigure"/>
        <w:tabs>
          <w:tab w:val="right" w:leader="dot" w:pos="9061"/>
        </w:tabs>
        <w:rPr>
          <w:rFonts w:asciiTheme="minorHAnsi" w:hAnsiTheme="minorHAnsi"/>
          <w:noProof/>
          <w:sz w:val="22"/>
          <w:szCs w:val="22"/>
          <w:lang w:eastAsia="it-IT"/>
        </w:rPr>
      </w:pPr>
      <w:hyperlink w:anchor="_Toc91081436" w:history="1">
        <w:r w:rsidR="004242C0" w:rsidRPr="0057402F">
          <w:rPr>
            <w:rStyle w:val="Collegamentoipertestuale"/>
            <w:noProof/>
          </w:rPr>
          <w:t>Tabella 10. Indicatori target relativi alla Priorità 3 del PSR FEASR</w:t>
        </w:r>
        <w:r w:rsidR="004242C0">
          <w:rPr>
            <w:noProof/>
            <w:webHidden/>
          </w:rPr>
          <w:tab/>
        </w:r>
        <w:r w:rsidR="004242C0">
          <w:rPr>
            <w:noProof/>
            <w:webHidden/>
          </w:rPr>
          <w:fldChar w:fldCharType="begin"/>
        </w:r>
        <w:r w:rsidR="004242C0">
          <w:rPr>
            <w:noProof/>
            <w:webHidden/>
          </w:rPr>
          <w:instrText xml:space="preserve"> PAGEREF _Toc91081436 \h </w:instrText>
        </w:r>
        <w:r w:rsidR="004242C0">
          <w:rPr>
            <w:noProof/>
            <w:webHidden/>
          </w:rPr>
        </w:r>
        <w:r w:rsidR="004242C0">
          <w:rPr>
            <w:noProof/>
            <w:webHidden/>
          </w:rPr>
          <w:fldChar w:fldCharType="separate"/>
        </w:r>
        <w:r w:rsidR="002439B9">
          <w:rPr>
            <w:noProof/>
            <w:webHidden/>
          </w:rPr>
          <w:t>17</w:t>
        </w:r>
        <w:r w:rsidR="004242C0">
          <w:rPr>
            <w:noProof/>
            <w:webHidden/>
          </w:rPr>
          <w:fldChar w:fldCharType="end"/>
        </w:r>
      </w:hyperlink>
    </w:p>
    <w:p w14:paraId="6D86C09B" w14:textId="06AAAA34" w:rsidR="004242C0" w:rsidRDefault="00B1628C">
      <w:pPr>
        <w:pStyle w:val="Indicedellefigure"/>
        <w:tabs>
          <w:tab w:val="right" w:leader="dot" w:pos="9061"/>
        </w:tabs>
        <w:rPr>
          <w:rFonts w:asciiTheme="minorHAnsi" w:hAnsiTheme="minorHAnsi"/>
          <w:noProof/>
          <w:sz w:val="22"/>
          <w:szCs w:val="22"/>
          <w:lang w:eastAsia="it-IT"/>
        </w:rPr>
      </w:pPr>
      <w:hyperlink w:anchor="_Toc91081437" w:history="1">
        <w:r w:rsidR="004242C0" w:rsidRPr="0057402F">
          <w:rPr>
            <w:rStyle w:val="Collegamentoipertestuale"/>
            <w:noProof/>
          </w:rPr>
          <w:t>Tabella 11. Avanzamento degli assi FESR - Area territoriale – fine 2020</w:t>
        </w:r>
        <w:r w:rsidR="004242C0">
          <w:rPr>
            <w:noProof/>
            <w:webHidden/>
          </w:rPr>
          <w:tab/>
        </w:r>
        <w:r w:rsidR="004242C0">
          <w:rPr>
            <w:noProof/>
            <w:webHidden/>
          </w:rPr>
          <w:fldChar w:fldCharType="begin"/>
        </w:r>
        <w:r w:rsidR="004242C0">
          <w:rPr>
            <w:noProof/>
            <w:webHidden/>
          </w:rPr>
          <w:instrText xml:space="preserve"> PAGEREF _Toc91081437 \h </w:instrText>
        </w:r>
        <w:r w:rsidR="004242C0">
          <w:rPr>
            <w:noProof/>
            <w:webHidden/>
          </w:rPr>
        </w:r>
        <w:r w:rsidR="004242C0">
          <w:rPr>
            <w:noProof/>
            <w:webHidden/>
          </w:rPr>
          <w:fldChar w:fldCharType="separate"/>
        </w:r>
        <w:r w:rsidR="002439B9">
          <w:rPr>
            <w:noProof/>
            <w:webHidden/>
          </w:rPr>
          <w:t>20</w:t>
        </w:r>
        <w:r w:rsidR="004242C0">
          <w:rPr>
            <w:noProof/>
            <w:webHidden/>
          </w:rPr>
          <w:fldChar w:fldCharType="end"/>
        </w:r>
      </w:hyperlink>
    </w:p>
    <w:p w14:paraId="6597FE7B" w14:textId="0CCAF2F2" w:rsidR="004242C0" w:rsidRDefault="00B1628C">
      <w:pPr>
        <w:pStyle w:val="Indicedellefigure"/>
        <w:tabs>
          <w:tab w:val="right" w:leader="dot" w:pos="9061"/>
        </w:tabs>
        <w:rPr>
          <w:rFonts w:asciiTheme="minorHAnsi" w:hAnsiTheme="minorHAnsi"/>
          <w:noProof/>
          <w:sz w:val="22"/>
          <w:szCs w:val="22"/>
          <w:lang w:eastAsia="it-IT"/>
        </w:rPr>
      </w:pPr>
      <w:hyperlink w:anchor="_Toc91081438" w:history="1">
        <w:r w:rsidR="004242C0" w:rsidRPr="0057402F">
          <w:rPr>
            <w:rStyle w:val="Collegamentoipertestuale"/>
            <w:noProof/>
          </w:rPr>
          <w:t>Tabella 12. Avanzamento degli interventi FESR - Area territoriale – fine 2020</w:t>
        </w:r>
        <w:r w:rsidR="004242C0">
          <w:rPr>
            <w:noProof/>
            <w:webHidden/>
          </w:rPr>
          <w:tab/>
        </w:r>
        <w:r w:rsidR="004242C0">
          <w:rPr>
            <w:noProof/>
            <w:webHidden/>
          </w:rPr>
          <w:fldChar w:fldCharType="begin"/>
        </w:r>
        <w:r w:rsidR="004242C0">
          <w:rPr>
            <w:noProof/>
            <w:webHidden/>
          </w:rPr>
          <w:instrText xml:space="preserve"> PAGEREF _Toc91081438 \h </w:instrText>
        </w:r>
        <w:r w:rsidR="004242C0">
          <w:rPr>
            <w:noProof/>
            <w:webHidden/>
          </w:rPr>
        </w:r>
        <w:r w:rsidR="004242C0">
          <w:rPr>
            <w:noProof/>
            <w:webHidden/>
          </w:rPr>
          <w:fldChar w:fldCharType="separate"/>
        </w:r>
        <w:r w:rsidR="002439B9">
          <w:rPr>
            <w:noProof/>
            <w:webHidden/>
          </w:rPr>
          <w:t>20</w:t>
        </w:r>
        <w:r w:rsidR="004242C0">
          <w:rPr>
            <w:noProof/>
            <w:webHidden/>
          </w:rPr>
          <w:fldChar w:fldCharType="end"/>
        </w:r>
      </w:hyperlink>
    </w:p>
    <w:p w14:paraId="130A9E69" w14:textId="2FDEFC00" w:rsidR="004242C0" w:rsidRDefault="00B1628C">
      <w:pPr>
        <w:pStyle w:val="Indicedellefigure"/>
        <w:tabs>
          <w:tab w:val="right" w:leader="dot" w:pos="9061"/>
        </w:tabs>
        <w:rPr>
          <w:rFonts w:asciiTheme="minorHAnsi" w:hAnsiTheme="minorHAnsi"/>
          <w:noProof/>
          <w:sz w:val="22"/>
          <w:szCs w:val="22"/>
          <w:lang w:eastAsia="it-IT"/>
        </w:rPr>
      </w:pPr>
      <w:hyperlink w:anchor="_Toc91081439" w:history="1">
        <w:r w:rsidR="004242C0" w:rsidRPr="0057402F">
          <w:rPr>
            <w:rStyle w:val="Collegamentoipertestuale"/>
            <w:noProof/>
          </w:rPr>
          <w:t>Tabella 13. Avanzamento degli assi FEASR - Area territoriale – fine 2020</w:t>
        </w:r>
        <w:r w:rsidR="004242C0">
          <w:rPr>
            <w:noProof/>
            <w:webHidden/>
          </w:rPr>
          <w:tab/>
        </w:r>
        <w:r w:rsidR="004242C0">
          <w:rPr>
            <w:noProof/>
            <w:webHidden/>
          </w:rPr>
          <w:fldChar w:fldCharType="begin"/>
        </w:r>
        <w:r w:rsidR="004242C0">
          <w:rPr>
            <w:noProof/>
            <w:webHidden/>
          </w:rPr>
          <w:instrText xml:space="preserve"> PAGEREF _Toc91081439 \h </w:instrText>
        </w:r>
        <w:r w:rsidR="004242C0">
          <w:rPr>
            <w:noProof/>
            <w:webHidden/>
          </w:rPr>
        </w:r>
        <w:r w:rsidR="004242C0">
          <w:rPr>
            <w:noProof/>
            <w:webHidden/>
          </w:rPr>
          <w:fldChar w:fldCharType="separate"/>
        </w:r>
        <w:r w:rsidR="002439B9">
          <w:rPr>
            <w:noProof/>
            <w:webHidden/>
          </w:rPr>
          <w:t>20</w:t>
        </w:r>
        <w:r w:rsidR="004242C0">
          <w:rPr>
            <w:noProof/>
            <w:webHidden/>
          </w:rPr>
          <w:fldChar w:fldCharType="end"/>
        </w:r>
      </w:hyperlink>
    </w:p>
    <w:p w14:paraId="196BE0F0" w14:textId="0E761A14" w:rsidR="004242C0" w:rsidRDefault="00B1628C">
      <w:pPr>
        <w:pStyle w:val="Indicedellefigure"/>
        <w:tabs>
          <w:tab w:val="right" w:leader="dot" w:pos="9061"/>
        </w:tabs>
        <w:rPr>
          <w:rFonts w:asciiTheme="minorHAnsi" w:hAnsiTheme="minorHAnsi"/>
          <w:noProof/>
          <w:sz w:val="22"/>
          <w:szCs w:val="22"/>
          <w:lang w:eastAsia="it-IT"/>
        </w:rPr>
      </w:pPr>
      <w:hyperlink w:anchor="_Toc91081440" w:history="1">
        <w:r w:rsidR="004242C0" w:rsidRPr="0057402F">
          <w:rPr>
            <w:rStyle w:val="Collegamentoipertestuale"/>
            <w:noProof/>
          </w:rPr>
          <w:t>Tabella 14. Indicatori di output selezionati FESR – Area territoriale</w:t>
        </w:r>
        <w:r w:rsidR="004242C0">
          <w:rPr>
            <w:noProof/>
            <w:webHidden/>
          </w:rPr>
          <w:tab/>
        </w:r>
        <w:r w:rsidR="004242C0">
          <w:rPr>
            <w:noProof/>
            <w:webHidden/>
          </w:rPr>
          <w:fldChar w:fldCharType="begin"/>
        </w:r>
        <w:r w:rsidR="004242C0">
          <w:rPr>
            <w:noProof/>
            <w:webHidden/>
          </w:rPr>
          <w:instrText xml:space="preserve"> PAGEREF _Toc91081440 \h </w:instrText>
        </w:r>
        <w:r w:rsidR="004242C0">
          <w:rPr>
            <w:noProof/>
            <w:webHidden/>
          </w:rPr>
        </w:r>
        <w:r w:rsidR="004242C0">
          <w:rPr>
            <w:noProof/>
            <w:webHidden/>
          </w:rPr>
          <w:fldChar w:fldCharType="separate"/>
        </w:r>
        <w:r w:rsidR="002439B9">
          <w:rPr>
            <w:noProof/>
            <w:webHidden/>
          </w:rPr>
          <w:t>21</w:t>
        </w:r>
        <w:r w:rsidR="004242C0">
          <w:rPr>
            <w:noProof/>
            <w:webHidden/>
          </w:rPr>
          <w:fldChar w:fldCharType="end"/>
        </w:r>
      </w:hyperlink>
    </w:p>
    <w:p w14:paraId="5AA112E7" w14:textId="361E5FBB" w:rsidR="004242C0" w:rsidRDefault="00B1628C">
      <w:pPr>
        <w:pStyle w:val="Indicedellefigure"/>
        <w:tabs>
          <w:tab w:val="right" w:leader="dot" w:pos="9061"/>
        </w:tabs>
        <w:rPr>
          <w:rFonts w:asciiTheme="minorHAnsi" w:hAnsiTheme="minorHAnsi"/>
          <w:noProof/>
          <w:sz w:val="22"/>
          <w:szCs w:val="22"/>
          <w:lang w:eastAsia="it-IT"/>
        </w:rPr>
      </w:pPr>
      <w:hyperlink w:anchor="_Toc91081441" w:history="1">
        <w:r w:rsidR="004242C0" w:rsidRPr="0057402F">
          <w:rPr>
            <w:rStyle w:val="Collegamentoipertestuale"/>
            <w:noProof/>
          </w:rPr>
          <w:t>Tabella 15. Indicatori di risultato selezionati FESR – Area territoriale</w:t>
        </w:r>
        <w:r w:rsidR="004242C0">
          <w:rPr>
            <w:noProof/>
            <w:webHidden/>
          </w:rPr>
          <w:tab/>
        </w:r>
        <w:r w:rsidR="004242C0">
          <w:rPr>
            <w:noProof/>
            <w:webHidden/>
          </w:rPr>
          <w:fldChar w:fldCharType="begin"/>
        </w:r>
        <w:r w:rsidR="004242C0">
          <w:rPr>
            <w:noProof/>
            <w:webHidden/>
          </w:rPr>
          <w:instrText xml:space="preserve"> PAGEREF _Toc91081441 \h </w:instrText>
        </w:r>
        <w:r w:rsidR="004242C0">
          <w:rPr>
            <w:noProof/>
            <w:webHidden/>
          </w:rPr>
        </w:r>
        <w:r w:rsidR="004242C0">
          <w:rPr>
            <w:noProof/>
            <w:webHidden/>
          </w:rPr>
          <w:fldChar w:fldCharType="separate"/>
        </w:r>
        <w:r w:rsidR="002439B9">
          <w:rPr>
            <w:noProof/>
            <w:webHidden/>
          </w:rPr>
          <w:t>22</w:t>
        </w:r>
        <w:r w:rsidR="004242C0">
          <w:rPr>
            <w:noProof/>
            <w:webHidden/>
          </w:rPr>
          <w:fldChar w:fldCharType="end"/>
        </w:r>
      </w:hyperlink>
    </w:p>
    <w:p w14:paraId="705F1F34" w14:textId="5438E1B0" w:rsidR="004242C0" w:rsidRDefault="00B1628C">
      <w:pPr>
        <w:pStyle w:val="Indicedellefigure"/>
        <w:tabs>
          <w:tab w:val="right" w:leader="dot" w:pos="9061"/>
        </w:tabs>
        <w:rPr>
          <w:rFonts w:asciiTheme="minorHAnsi" w:hAnsiTheme="minorHAnsi"/>
          <w:noProof/>
          <w:sz w:val="22"/>
          <w:szCs w:val="22"/>
          <w:lang w:eastAsia="it-IT"/>
        </w:rPr>
      </w:pPr>
      <w:hyperlink w:anchor="_Toc91081442" w:history="1">
        <w:r w:rsidR="004242C0" w:rsidRPr="0057402F">
          <w:rPr>
            <w:rStyle w:val="Collegamentoipertestuale"/>
            <w:noProof/>
          </w:rPr>
          <w:t>Tabella 16. Indicatori target relativi alla Priorità 4 del PSR FEASR</w:t>
        </w:r>
        <w:r w:rsidR="004242C0">
          <w:rPr>
            <w:noProof/>
            <w:webHidden/>
          </w:rPr>
          <w:tab/>
        </w:r>
        <w:r w:rsidR="004242C0">
          <w:rPr>
            <w:noProof/>
            <w:webHidden/>
          </w:rPr>
          <w:fldChar w:fldCharType="begin"/>
        </w:r>
        <w:r w:rsidR="004242C0">
          <w:rPr>
            <w:noProof/>
            <w:webHidden/>
          </w:rPr>
          <w:instrText xml:space="preserve"> PAGEREF _Toc91081442 \h </w:instrText>
        </w:r>
        <w:r w:rsidR="004242C0">
          <w:rPr>
            <w:noProof/>
            <w:webHidden/>
          </w:rPr>
        </w:r>
        <w:r w:rsidR="004242C0">
          <w:rPr>
            <w:noProof/>
            <w:webHidden/>
          </w:rPr>
          <w:fldChar w:fldCharType="separate"/>
        </w:r>
        <w:r w:rsidR="002439B9">
          <w:rPr>
            <w:noProof/>
            <w:webHidden/>
          </w:rPr>
          <w:t>22</w:t>
        </w:r>
        <w:r w:rsidR="004242C0">
          <w:rPr>
            <w:noProof/>
            <w:webHidden/>
          </w:rPr>
          <w:fldChar w:fldCharType="end"/>
        </w:r>
      </w:hyperlink>
    </w:p>
    <w:p w14:paraId="0C3CEE54" w14:textId="4AC269A7" w:rsidR="004242C0" w:rsidRDefault="00B1628C">
      <w:pPr>
        <w:pStyle w:val="Indicedellefigure"/>
        <w:tabs>
          <w:tab w:val="right" w:leader="dot" w:pos="9061"/>
        </w:tabs>
        <w:rPr>
          <w:rFonts w:asciiTheme="minorHAnsi" w:hAnsiTheme="minorHAnsi"/>
          <w:noProof/>
          <w:sz w:val="22"/>
          <w:szCs w:val="22"/>
          <w:lang w:eastAsia="it-IT"/>
        </w:rPr>
      </w:pPr>
      <w:hyperlink w:anchor="_Toc91081443" w:history="1">
        <w:r w:rsidR="004242C0" w:rsidRPr="0057402F">
          <w:rPr>
            <w:rStyle w:val="Collegamentoipertestuale"/>
            <w:noProof/>
          </w:rPr>
          <w:t>Tabella 17. Indicatori target relativi alla Priorità 5 del PSR FEASR</w:t>
        </w:r>
        <w:r w:rsidR="004242C0">
          <w:rPr>
            <w:noProof/>
            <w:webHidden/>
          </w:rPr>
          <w:tab/>
        </w:r>
        <w:r w:rsidR="004242C0">
          <w:rPr>
            <w:noProof/>
            <w:webHidden/>
          </w:rPr>
          <w:fldChar w:fldCharType="begin"/>
        </w:r>
        <w:r w:rsidR="004242C0">
          <w:rPr>
            <w:noProof/>
            <w:webHidden/>
          </w:rPr>
          <w:instrText xml:space="preserve"> PAGEREF _Toc91081443 \h </w:instrText>
        </w:r>
        <w:r w:rsidR="004242C0">
          <w:rPr>
            <w:noProof/>
            <w:webHidden/>
          </w:rPr>
        </w:r>
        <w:r w:rsidR="004242C0">
          <w:rPr>
            <w:noProof/>
            <w:webHidden/>
          </w:rPr>
          <w:fldChar w:fldCharType="separate"/>
        </w:r>
        <w:r w:rsidR="002439B9">
          <w:rPr>
            <w:noProof/>
            <w:webHidden/>
          </w:rPr>
          <w:t>23</w:t>
        </w:r>
        <w:r w:rsidR="004242C0">
          <w:rPr>
            <w:noProof/>
            <w:webHidden/>
          </w:rPr>
          <w:fldChar w:fldCharType="end"/>
        </w:r>
      </w:hyperlink>
    </w:p>
    <w:p w14:paraId="188FB74D" w14:textId="271B6B9C" w:rsidR="004242C0" w:rsidRDefault="00B1628C">
      <w:pPr>
        <w:pStyle w:val="Indicedellefigure"/>
        <w:tabs>
          <w:tab w:val="right" w:leader="dot" w:pos="9061"/>
        </w:tabs>
        <w:rPr>
          <w:rFonts w:asciiTheme="minorHAnsi" w:hAnsiTheme="minorHAnsi"/>
          <w:noProof/>
          <w:sz w:val="22"/>
          <w:szCs w:val="22"/>
          <w:lang w:eastAsia="it-IT"/>
        </w:rPr>
      </w:pPr>
      <w:hyperlink w:anchor="_Toc91081444" w:history="1">
        <w:r w:rsidR="004242C0" w:rsidRPr="0057402F">
          <w:rPr>
            <w:rStyle w:val="Collegamentoipertestuale"/>
            <w:noProof/>
          </w:rPr>
          <w:t>Tabella 18. Avanzamento degli assi FSE - Area socio-economica – fine 2020</w:t>
        </w:r>
        <w:r w:rsidR="004242C0">
          <w:rPr>
            <w:noProof/>
            <w:webHidden/>
          </w:rPr>
          <w:tab/>
        </w:r>
        <w:r w:rsidR="004242C0">
          <w:rPr>
            <w:noProof/>
            <w:webHidden/>
          </w:rPr>
          <w:fldChar w:fldCharType="begin"/>
        </w:r>
        <w:r w:rsidR="004242C0">
          <w:rPr>
            <w:noProof/>
            <w:webHidden/>
          </w:rPr>
          <w:instrText xml:space="preserve"> PAGEREF _Toc91081444 \h </w:instrText>
        </w:r>
        <w:r w:rsidR="004242C0">
          <w:rPr>
            <w:noProof/>
            <w:webHidden/>
          </w:rPr>
        </w:r>
        <w:r w:rsidR="004242C0">
          <w:rPr>
            <w:noProof/>
            <w:webHidden/>
          </w:rPr>
          <w:fldChar w:fldCharType="separate"/>
        </w:r>
        <w:r w:rsidR="002439B9">
          <w:rPr>
            <w:noProof/>
            <w:webHidden/>
          </w:rPr>
          <w:t>26</w:t>
        </w:r>
        <w:r w:rsidR="004242C0">
          <w:rPr>
            <w:noProof/>
            <w:webHidden/>
          </w:rPr>
          <w:fldChar w:fldCharType="end"/>
        </w:r>
      </w:hyperlink>
    </w:p>
    <w:p w14:paraId="5C77D3F2" w14:textId="1BD3B1A6" w:rsidR="004242C0" w:rsidRDefault="00B1628C">
      <w:pPr>
        <w:pStyle w:val="Indicedellefigure"/>
        <w:tabs>
          <w:tab w:val="right" w:leader="dot" w:pos="9061"/>
        </w:tabs>
        <w:rPr>
          <w:rFonts w:asciiTheme="minorHAnsi" w:hAnsiTheme="minorHAnsi"/>
          <w:noProof/>
          <w:sz w:val="22"/>
          <w:szCs w:val="22"/>
          <w:lang w:eastAsia="it-IT"/>
        </w:rPr>
      </w:pPr>
      <w:hyperlink w:anchor="_Toc91081445" w:history="1">
        <w:r w:rsidR="004242C0" w:rsidRPr="0057402F">
          <w:rPr>
            <w:rStyle w:val="Collegamentoipertestuale"/>
            <w:noProof/>
          </w:rPr>
          <w:t>Tabella 19. Avanzamento degli interventi FSE - Area socio-economica – fine 2020</w:t>
        </w:r>
        <w:r w:rsidR="004242C0">
          <w:rPr>
            <w:noProof/>
            <w:webHidden/>
          </w:rPr>
          <w:tab/>
        </w:r>
        <w:r w:rsidR="004242C0">
          <w:rPr>
            <w:noProof/>
            <w:webHidden/>
          </w:rPr>
          <w:fldChar w:fldCharType="begin"/>
        </w:r>
        <w:r w:rsidR="004242C0">
          <w:rPr>
            <w:noProof/>
            <w:webHidden/>
          </w:rPr>
          <w:instrText xml:space="preserve"> PAGEREF _Toc91081445 \h </w:instrText>
        </w:r>
        <w:r w:rsidR="004242C0">
          <w:rPr>
            <w:noProof/>
            <w:webHidden/>
          </w:rPr>
        </w:r>
        <w:r w:rsidR="004242C0">
          <w:rPr>
            <w:noProof/>
            <w:webHidden/>
          </w:rPr>
          <w:fldChar w:fldCharType="separate"/>
        </w:r>
        <w:r w:rsidR="002439B9">
          <w:rPr>
            <w:noProof/>
            <w:webHidden/>
          </w:rPr>
          <w:t>26</w:t>
        </w:r>
        <w:r w:rsidR="004242C0">
          <w:rPr>
            <w:noProof/>
            <w:webHidden/>
          </w:rPr>
          <w:fldChar w:fldCharType="end"/>
        </w:r>
      </w:hyperlink>
    </w:p>
    <w:p w14:paraId="7C0AD5FC" w14:textId="3F9CD246" w:rsidR="004242C0" w:rsidRDefault="00B1628C">
      <w:pPr>
        <w:pStyle w:val="Indicedellefigure"/>
        <w:tabs>
          <w:tab w:val="right" w:leader="dot" w:pos="9061"/>
        </w:tabs>
        <w:rPr>
          <w:rFonts w:asciiTheme="minorHAnsi" w:hAnsiTheme="minorHAnsi"/>
          <w:noProof/>
          <w:sz w:val="22"/>
          <w:szCs w:val="22"/>
          <w:lang w:eastAsia="it-IT"/>
        </w:rPr>
      </w:pPr>
      <w:hyperlink w:anchor="_Toc91081446" w:history="1">
        <w:r w:rsidR="004242C0" w:rsidRPr="0057402F">
          <w:rPr>
            <w:rStyle w:val="Collegamentoipertestuale"/>
            <w:noProof/>
          </w:rPr>
          <w:t>Tabella 20. Avanzamento degli assi FESR - Area socio-economica – fine 2020</w:t>
        </w:r>
        <w:r w:rsidR="004242C0">
          <w:rPr>
            <w:noProof/>
            <w:webHidden/>
          </w:rPr>
          <w:tab/>
        </w:r>
        <w:r w:rsidR="004242C0">
          <w:rPr>
            <w:noProof/>
            <w:webHidden/>
          </w:rPr>
          <w:fldChar w:fldCharType="begin"/>
        </w:r>
        <w:r w:rsidR="004242C0">
          <w:rPr>
            <w:noProof/>
            <w:webHidden/>
          </w:rPr>
          <w:instrText xml:space="preserve"> PAGEREF _Toc91081446 \h </w:instrText>
        </w:r>
        <w:r w:rsidR="004242C0">
          <w:rPr>
            <w:noProof/>
            <w:webHidden/>
          </w:rPr>
        </w:r>
        <w:r w:rsidR="004242C0">
          <w:rPr>
            <w:noProof/>
            <w:webHidden/>
          </w:rPr>
          <w:fldChar w:fldCharType="separate"/>
        </w:r>
        <w:r w:rsidR="002439B9">
          <w:rPr>
            <w:noProof/>
            <w:webHidden/>
          </w:rPr>
          <w:t>28</w:t>
        </w:r>
        <w:r w:rsidR="004242C0">
          <w:rPr>
            <w:noProof/>
            <w:webHidden/>
          </w:rPr>
          <w:fldChar w:fldCharType="end"/>
        </w:r>
      </w:hyperlink>
    </w:p>
    <w:p w14:paraId="46C0140A" w14:textId="50B22538" w:rsidR="004242C0" w:rsidRDefault="00B1628C">
      <w:pPr>
        <w:pStyle w:val="Indicedellefigure"/>
        <w:tabs>
          <w:tab w:val="right" w:leader="dot" w:pos="9061"/>
        </w:tabs>
        <w:rPr>
          <w:rFonts w:asciiTheme="minorHAnsi" w:hAnsiTheme="minorHAnsi"/>
          <w:noProof/>
          <w:sz w:val="22"/>
          <w:szCs w:val="22"/>
          <w:lang w:eastAsia="it-IT"/>
        </w:rPr>
      </w:pPr>
      <w:hyperlink w:anchor="_Toc91081447" w:history="1">
        <w:r w:rsidR="004242C0" w:rsidRPr="0057402F">
          <w:rPr>
            <w:rStyle w:val="Collegamentoipertestuale"/>
            <w:noProof/>
          </w:rPr>
          <w:t>Tabella 21. Avanzamento degli interventi FESR - Area socio-economica – fine 2020</w:t>
        </w:r>
        <w:r w:rsidR="004242C0">
          <w:rPr>
            <w:noProof/>
            <w:webHidden/>
          </w:rPr>
          <w:tab/>
        </w:r>
        <w:r w:rsidR="004242C0">
          <w:rPr>
            <w:noProof/>
            <w:webHidden/>
          </w:rPr>
          <w:fldChar w:fldCharType="begin"/>
        </w:r>
        <w:r w:rsidR="004242C0">
          <w:rPr>
            <w:noProof/>
            <w:webHidden/>
          </w:rPr>
          <w:instrText xml:space="preserve"> PAGEREF _Toc91081447 \h </w:instrText>
        </w:r>
        <w:r w:rsidR="004242C0">
          <w:rPr>
            <w:noProof/>
            <w:webHidden/>
          </w:rPr>
        </w:r>
        <w:r w:rsidR="004242C0">
          <w:rPr>
            <w:noProof/>
            <w:webHidden/>
          </w:rPr>
          <w:fldChar w:fldCharType="separate"/>
        </w:r>
        <w:r w:rsidR="002439B9">
          <w:rPr>
            <w:noProof/>
            <w:webHidden/>
          </w:rPr>
          <w:t>28</w:t>
        </w:r>
        <w:r w:rsidR="004242C0">
          <w:rPr>
            <w:noProof/>
            <w:webHidden/>
          </w:rPr>
          <w:fldChar w:fldCharType="end"/>
        </w:r>
      </w:hyperlink>
    </w:p>
    <w:p w14:paraId="51CDA843" w14:textId="186B4A81" w:rsidR="004242C0" w:rsidRDefault="00B1628C">
      <w:pPr>
        <w:pStyle w:val="Indicedellefigure"/>
        <w:tabs>
          <w:tab w:val="right" w:leader="dot" w:pos="9061"/>
        </w:tabs>
        <w:rPr>
          <w:rFonts w:asciiTheme="minorHAnsi" w:hAnsiTheme="minorHAnsi"/>
          <w:noProof/>
          <w:sz w:val="22"/>
          <w:szCs w:val="22"/>
          <w:lang w:eastAsia="it-IT"/>
        </w:rPr>
      </w:pPr>
      <w:hyperlink w:anchor="_Toc91081448" w:history="1">
        <w:r w:rsidR="004242C0" w:rsidRPr="0057402F">
          <w:rPr>
            <w:rStyle w:val="Collegamentoipertestuale"/>
            <w:noProof/>
          </w:rPr>
          <w:t>Tabella 22. Avanzamento degli assi FEASR - Area socio-economica – fine 2020</w:t>
        </w:r>
        <w:r w:rsidR="004242C0">
          <w:rPr>
            <w:noProof/>
            <w:webHidden/>
          </w:rPr>
          <w:tab/>
        </w:r>
        <w:r w:rsidR="004242C0">
          <w:rPr>
            <w:noProof/>
            <w:webHidden/>
          </w:rPr>
          <w:fldChar w:fldCharType="begin"/>
        </w:r>
        <w:r w:rsidR="004242C0">
          <w:rPr>
            <w:noProof/>
            <w:webHidden/>
          </w:rPr>
          <w:instrText xml:space="preserve"> PAGEREF _Toc91081448 \h </w:instrText>
        </w:r>
        <w:r w:rsidR="004242C0">
          <w:rPr>
            <w:noProof/>
            <w:webHidden/>
          </w:rPr>
        </w:r>
        <w:r w:rsidR="004242C0">
          <w:rPr>
            <w:noProof/>
            <w:webHidden/>
          </w:rPr>
          <w:fldChar w:fldCharType="separate"/>
        </w:r>
        <w:r w:rsidR="002439B9">
          <w:rPr>
            <w:noProof/>
            <w:webHidden/>
          </w:rPr>
          <w:t>28</w:t>
        </w:r>
        <w:r w:rsidR="004242C0">
          <w:rPr>
            <w:noProof/>
            <w:webHidden/>
          </w:rPr>
          <w:fldChar w:fldCharType="end"/>
        </w:r>
      </w:hyperlink>
    </w:p>
    <w:p w14:paraId="59BCEA01" w14:textId="4F1699EA" w:rsidR="004242C0" w:rsidRDefault="00B1628C">
      <w:pPr>
        <w:pStyle w:val="Indicedellefigure"/>
        <w:tabs>
          <w:tab w:val="right" w:leader="dot" w:pos="9061"/>
        </w:tabs>
        <w:rPr>
          <w:rFonts w:asciiTheme="minorHAnsi" w:hAnsiTheme="minorHAnsi"/>
          <w:noProof/>
          <w:sz w:val="22"/>
          <w:szCs w:val="22"/>
          <w:lang w:eastAsia="it-IT"/>
        </w:rPr>
      </w:pPr>
      <w:hyperlink w:anchor="_Toc91081449" w:history="1">
        <w:r w:rsidR="004242C0" w:rsidRPr="0057402F">
          <w:rPr>
            <w:rStyle w:val="Collegamentoipertestuale"/>
            <w:noProof/>
          </w:rPr>
          <w:t>Tabella 23. Indicatori target relativi alla Priorità 6 del PSR FEASR</w:t>
        </w:r>
        <w:r w:rsidR="004242C0">
          <w:rPr>
            <w:noProof/>
            <w:webHidden/>
          </w:rPr>
          <w:tab/>
        </w:r>
        <w:r w:rsidR="004242C0">
          <w:rPr>
            <w:noProof/>
            <w:webHidden/>
          </w:rPr>
          <w:fldChar w:fldCharType="begin"/>
        </w:r>
        <w:r w:rsidR="004242C0">
          <w:rPr>
            <w:noProof/>
            <w:webHidden/>
          </w:rPr>
          <w:instrText xml:space="preserve"> PAGEREF _Toc91081449 \h </w:instrText>
        </w:r>
        <w:r w:rsidR="004242C0">
          <w:rPr>
            <w:noProof/>
            <w:webHidden/>
          </w:rPr>
        </w:r>
        <w:r w:rsidR="004242C0">
          <w:rPr>
            <w:noProof/>
            <w:webHidden/>
          </w:rPr>
          <w:fldChar w:fldCharType="separate"/>
        </w:r>
        <w:r w:rsidR="002439B9">
          <w:rPr>
            <w:noProof/>
            <w:webHidden/>
          </w:rPr>
          <w:t>31</w:t>
        </w:r>
        <w:r w:rsidR="004242C0">
          <w:rPr>
            <w:noProof/>
            <w:webHidden/>
          </w:rPr>
          <w:fldChar w:fldCharType="end"/>
        </w:r>
      </w:hyperlink>
    </w:p>
    <w:p w14:paraId="3F6A1622" w14:textId="0823EC93" w:rsidR="004242C0" w:rsidRDefault="00B1628C">
      <w:pPr>
        <w:pStyle w:val="Indicedellefigure"/>
        <w:tabs>
          <w:tab w:val="right" w:leader="dot" w:pos="9061"/>
        </w:tabs>
        <w:rPr>
          <w:rFonts w:asciiTheme="minorHAnsi" w:hAnsiTheme="minorHAnsi"/>
          <w:noProof/>
          <w:sz w:val="22"/>
          <w:szCs w:val="22"/>
          <w:lang w:eastAsia="it-IT"/>
        </w:rPr>
      </w:pPr>
      <w:hyperlink w:anchor="_Toc91081450" w:history="1">
        <w:r w:rsidR="004242C0" w:rsidRPr="0057402F">
          <w:rPr>
            <w:rStyle w:val="Collegamentoipertestuale"/>
            <w:noProof/>
          </w:rPr>
          <w:t>Tabella 24. Avanzamento degli assi FSE- Area istituzionale – fine 2020</w:t>
        </w:r>
        <w:r w:rsidR="004242C0">
          <w:rPr>
            <w:noProof/>
            <w:webHidden/>
          </w:rPr>
          <w:tab/>
        </w:r>
        <w:r w:rsidR="004242C0">
          <w:rPr>
            <w:noProof/>
            <w:webHidden/>
          </w:rPr>
          <w:fldChar w:fldCharType="begin"/>
        </w:r>
        <w:r w:rsidR="004242C0">
          <w:rPr>
            <w:noProof/>
            <w:webHidden/>
          </w:rPr>
          <w:instrText xml:space="preserve"> PAGEREF _Toc91081450 \h </w:instrText>
        </w:r>
        <w:r w:rsidR="004242C0">
          <w:rPr>
            <w:noProof/>
            <w:webHidden/>
          </w:rPr>
        </w:r>
        <w:r w:rsidR="004242C0">
          <w:rPr>
            <w:noProof/>
            <w:webHidden/>
          </w:rPr>
          <w:fldChar w:fldCharType="separate"/>
        </w:r>
        <w:r w:rsidR="002439B9">
          <w:rPr>
            <w:noProof/>
            <w:webHidden/>
          </w:rPr>
          <w:t>34</w:t>
        </w:r>
        <w:r w:rsidR="004242C0">
          <w:rPr>
            <w:noProof/>
            <w:webHidden/>
          </w:rPr>
          <w:fldChar w:fldCharType="end"/>
        </w:r>
      </w:hyperlink>
    </w:p>
    <w:p w14:paraId="63DFF429" w14:textId="1D42971E" w:rsidR="004242C0" w:rsidRDefault="00B1628C">
      <w:pPr>
        <w:pStyle w:val="Indicedellefigure"/>
        <w:tabs>
          <w:tab w:val="right" w:leader="dot" w:pos="9061"/>
        </w:tabs>
        <w:rPr>
          <w:rFonts w:asciiTheme="minorHAnsi" w:hAnsiTheme="minorHAnsi"/>
          <w:noProof/>
          <w:sz w:val="22"/>
          <w:szCs w:val="22"/>
          <w:lang w:eastAsia="it-IT"/>
        </w:rPr>
      </w:pPr>
      <w:hyperlink w:anchor="_Toc91081451" w:history="1">
        <w:r w:rsidR="004242C0" w:rsidRPr="0057402F">
          <w:rPr>
            <w:rStyle w:val="Collegamentoipertestuale"/>
            <w:noProof/>
          </w:rPr>
          <w:t>Tabella 25. Avanzamento degli interventi FSE - Area istituzionale – fine 2020</w:t>
        </w:r>
        <w:r w:rsidR="004242C0">
          <w:rPr>
            <w:noProof/>
            <w:webHidden/>
          </w:rPr>
          <w:tab/>
        </w:r>
        <w:r w:rsidR="004242C0">
          <w:rPr>
            <w:noProof/>
            <w:webHidden/>
          </w:rPr>
          <w:fldChar w:fldCharType="begin"/>
        </w:r>
        <w:r w:rsidR="004242C0">
          <w:rPr>
            <w:noProof/>
            <w:webHidden/>
          </w:rPr>
          <w:instrText xml:space="preserve"> PAGEREF _Toc91081451 \h </w:instrText>
        </w:r>
        <w:r w:rsidR="004242C0">
          <w:rPr>
            <w:noProof/>
            <w:webHidden/>
          </w:rPr>
        </w:r>
        <w:r w:rsidR="004242C0">
          <w:rPr>
            <w:noProof/>
            <w:webHidden/>
          </w:rPr>
          <w:fldChar w:fldCharType="separate"/>
        </w:r>
        <w:r w:rsidR="002439B9">
          <w:rPr>
            <w:noProof/>
            <w:webHidden/>
          </w:rPr>
          <w:t>34</w:t>
        </w:r>
        <w:r w:rsidR="004242C0">
          <w:rPr>
            <w:noProof/>
            <w:webHidden/>
          </w:rPr>
          <w:fldChar w:fldCharType="end"/>
        </w:r>
      </w:hyperlink>
    </w:p>
    <w:p w14:paraId="21A6B29F" w14:textId="4C24CF8B" w:rsidR="004242C0" w:rsidRDefault="00B1628C">
      <w:pPr>
        <w:pStyle w:val="Indicedellefigure"/>
        <w:tabs>
          <w:tab w:val="right" w:leader="dot" w:pos="9061"/>
        </w:tabs>
        <w:rPr>
          <w:rFonts w:asciiTheme="minorHAnsi" w:hAnsiTheme="minorHAnsi"/>
          <w:noProof/>
          <w:sz w:val="22"/>
          <w:szCs w:val="22"/>
          <w:lang w:eastAsia="it-IT"/>
        </w:rPr>
      </w:pPr>
      <w:hyperlink w:anchor="_Toc91081452" w:history="1">
        <w:r w:rsidR="004242C0" w:rsidRPr="0057402F">
          <w:rPr>
            <w:rStyle w:val="Collegamentoipertestuale"/>
            <w:noProof/>
          </w:rPr>
          <w:t>Tabella 26. Motivazioni alla base della scelta di diventare imprenditore: fattori progressivi e regressivi</w:t>
        </w:r>
        <w:r w:rsidR="004242C0">
          <w:rPr>
            <w:noProof/>
            <w:webHidden/>
          </w:rPr>
          <w:tab/>
        </w:r>
        <w:r w:rsidR="004242C0">
          <w:rPr>
            <w:noProof/>
            <w:webHidden/>
          </w:rPr>
          <w:fldChar w:fldCharType="begin"/>
        </w:r>
        <w:r w:rsidR="004242C0">
          <w:rPr>
            <w:noProof/>
            <w:webHidden/>
          </w:rPr>
          <w:instrText xml:space="preserve"> PAGEREF _Toc91081452 \h </w:instrText>
        </w:r>
        <w:r w:rsidR="004242C0">
          <w:rPr>
            <w:noProof/>
            <w:webHidden/>
          </w:rPr>
        </w:r>
        <w:r w:rsidR="004242C0">
          <w:rPr>
            <w:noProof/>
            <w:webHidden/>
          </w:rPr>
          <w:fldChar w:fldCharType="separate"/>
        </w:r>
        <w:r w:rsidR="002439B9">
          <w:rPr>
            <w:noProof/>
            <w:webHidden/>
          </w:rPr>
          <w:t>40</w:t>
        </w:r>
        <w:r w:rsidR="004242C0">
          <w:rPr>
            <w:noProof/>
            <w:webHidden/>
          </w:rPr>
          <w:fldChar w:fldCharType="end"/>
        </w:r>
      </w:hyperlink>
    </w:p>
    <w:p w14:paraId="131F3C8E" w14:textId="5D452D84" w:rsidR="004242C0" w:rsidRDefault="00B1628C">
      <w:pPr>
        <w:pStyle w:val="Indicedellefigure"/>
        <w:tabs>
          <w:tab w:val="right" w:leader="dot" w:pos="9061"/>
        </w:tabs>
        <w:rPr>
          <w:rFonts w:asciiTheme="minorHAnsi" w:hAnsiTheme="minorHAnsi"/>
          <w:noProof/>
          <w:sz w:val="22"/>
          <w:szCs w:val="22"/>
          <w:lang w:eastAsia="it-IT"/>
        </w:rPr>
      </w:pPr>
      <w:hyperlink w:anchor="_Toc91081453" w:history="1">
        <w:r w:rsidR="004242C0" w:rsidRPr="0057402F">
          <w:rPr>
            <w:rStyle w:val="Collegamentoipertestuale"/>
            <w:noProof/>
          </w:rPr>
          <w:t>Tabella 27. Caratteristiche ex-ante delle nuove imprese e impatto sulle performance ex-post</w:t>
        </w:r>
        <w:r w:rsidR="004242C0">
          <w:rPr>
            <w:noProof/>
            <w:webHidden/>
          </w:rPr>
          <w:tab/>
        </w:r>
        <w:r w:rsidR="004242C0">
          <w:rPr>
            <w:noProof/>
            <w:webHidden/>
          </w:rPr>
          <w:fldChar w:fldCharType="begin"/>
        </w:r>
        <w:r w:rsidR="004242C0">
          <w:rPr>
            <w:noProof/>
            <w:webHidden/>
          </w:rPr>
          <w:instrText xml:space="preserve"> PAGEREF _Toc91081453 \h </w:instrText>
        </w:r>
        <w:r w:rsidR="004242C0">
          <w:rPr>
            <w:noProof/>
            <w:webHidden/>
          </w:rPr>
        </w:r>
        <w:r w:rsidR="004242C0">
          <w:rPr>
            <w:noProof/>
            <w:webHidden/>
          </w:rPr>
          <w:fldChar w:fldCharType="separate"/>
        </w:r>
        <w:r w:rsidR="002439B9">
          <w:rPr>
            <w:noProof/>
            <w:webHidden/>
          </w:rPr>
          <w:t>42</w:t>
        </w:r>
        <w:r w:rsidR="004242C0">
          <w:rPr>
            <w:noProof/>
            <w:webHidden/>
          </w:rPr>
          <w:fldChar w:fldCharType="end"/>
        </w:r>
      </w:hyperlink>
    </w:p>
    <w:p w14:paraId="3062CF4E" w14:textId="3063792D" w:rsidR="004242C0" w:rsidRDefault="00B1628C">
      <w:pPr>
        <w:pStyle w:val="Indicedellefigure"/>
        <w:tabs>
          <w:tab w:val="right" w:leader="dot" w:pos="9061"/>
        </w:tabs>
        <w:rPr>
          <w:rFonts w:asciiTheme="minorHAnsi" w:hAnsiTheme="minorHAnsi"/>
          <w:noProof/>
          <w:sz w:val="22"/>
          <w:szCs w:val="22"/>
          <w:lang w:eastAsia="it-IT"/>
        </w:rPr>
      </w:pPr>
      <w:hyperlink w:anchor="_Toc91081454" w:history="1">
        <w:r w:rsidR="004242C0" w:rsidRPr="0057402F">
          <w:rPr>
            <w:rStyle w:val="Collegamentoipertestuale"/>
            <w:noProof/>
          </w:rPr>
          <w:t>Tabella 28. Barriere all’innovazione per le startup</w:t>
        </w:r>
        <w:r w:rsidR="004242C0">
          <w:rPr>
            <w:noProof/>
            <w:webHidden/>
          </w:rPr>
          <w:tab/>
        </w:r>
        <w:r w:rsidR="004242C0">
          <w:rPr>
            <w:noProof/>
            <w:webHidden/>
          </w:rPr>
          <w:fldChar w:fldCharType="begin"/>
        </w:r>
        <w:r w:rsidR="004242C0">
          <w:rPr>
            <w:noProof/>
            <w:webHidden/>
          </w:rPr>
          <w:instrText xml:space="preserve"> PAGEREF _Toc91081454 \h </w:instrText>
        </w:r>
        <w:r w:rsidR="004242C0">
          <w:rPr>
            <w:noProof/>
            <w:webHidden/>
          </w:rPr>
        </w:r>
        <w:r w:rsidR="004242C0">
          <w:rPr>
            <w:noProof/>
            <w:webHidden/>
          </w:rPr>
          <w:fldChar w:fldCharType="separate"/>
        </w:r>
        <w:r w:rsidR="002439B9">
          <w:rPr>
            <w:noProof/>
            <w:webHidden/>
          </w:rPr>
          <w:t>43</w:t>
        </w:r>
        <w:r w:rsidR="004242C0">
          <w:rPr>
            <w:noProof/>
            <w:webHidden/>
          </w:rPr>
          <w:fldChar w:fldCharType="end"/>
        </w:r>
      </w:hyperlink>
    </w:p>
    <w:p w14:paraId="59B7B442" w14:textId="0C629C72" w:rsidR="004242C0" w:rsidRDefault="00B1628C">
      <w:pPr>
        <w:pStyle w:val="Indicedellefigure"/>
        <w:tabs>
          <w:tab w:val="right" w:leader="dot" w:pos="9061"/>
        </w:tabs>
        <w:rPr>
          <w:rFonts w:asciiTheme="minorHAnsi" w:hAnsiTheme="minorHAnsi"/>
          <w:noProof/>
          <w:sz w:val="22"/>
          <w:szCs w:val="22"/>
          <w:lang w:eastAsia="it-IT"/>
        </w:rPr>
      </w:pPr>
      <w:hyperlink w:anchor="_Toc91081455" w:history="1">
        <w:r w:rsidR="004242C0" w:rsidRPr="0057402F">
          <w:rPr>
            <w:rStyle w:val="Collegamentoipertestuale"/>
            <w:noProof/>
          </w:rPr>
          <w:t>Tabella 29. Fasi del ciclo di vita di una nuova impresa</w:t>
        </w:r>
        <w:r w:rsidR="004242C0">
          <w:rPr>
            <w:noProof/>
            <w:webHidden/>
          </w:rPr>
          <w:tab/>
        </w:r>
        <w:r w:rsidR="004242C0">
          <w:rPr>
            <w:noProof/>
            <w:webHidden/>
          </w:rPr>
          <w:fldChar w:fldCharType="begin"/>
        </w:r>
        <w:r w:rsidR="004242C0">
          <w:rPr>
            <w:noProof/>
            <w:webHidden/>
          </w:rPr>
          <w:instrText xml:space="preserve"> PAGEREF _Toc91081455 \h </w:instrText>
        </w:r>
        <w:r w:rsidR="004242C0">
          <w:rPr>
            <w:noProof/>
            <w:webHidden/>
          </w:rPr>
        </w:r>
        <w:r w:rsidR="004242C0">
          <w:rPr>
            <w:noProof/>
            <w:webHidden/>
          </w:rPr>
          <w:fldChar w:fldCharType="separate"/>
        </w:r>
        <w:r w:rsidR="002439B9">
          <w:rPr>
            <w:noProof/>
            <w:webHidden/>
          </w:rPr>
          <w:t>45</w:t>
        </w:r>
        <w:r w:rsidR="004242C0">
          <w:rPr>
            <w:noProof/>
            <w:webHidden/>
          </w:rPr>
          <w:fldChar w:fldCharType="end"/>
        </w:r>
      </w:hyperlink>
    </w:p>
    <w:p w14:paraId="778B2868" w14:textId="4A632AD9" w:rsidR="004242C0" w:rsidRDefault="00B1628C">
      <w:pPr>
        <w:pStyle w:val="Indicedellefigure"/>
        <w:tabs>
          <w:tab w:val="right" w:leader="dot" w:pos="9061"/>
        </w:tabs>
        <w:rPr>
          <w:rFonts w:asciiTheme="minorHAnsi" w:hAnsiTheme="minorHAnsi"/>
          <w:noProof/>
          <w:sz w:val="22"/>
          <w:szCs w:val="22"/>
          <w:lang w:eastAsia="it-IT"/>
        </w:rPr>
      </w:pPr>
      <w:hyperlink w:anchor="_Toc91081456" w:history="1">
        <w:r w:rsidR="004242C0" w:rsidRPr="0057402F">
          <w:rPr>
            <w:rStyle w:val="Collegamentoipertestuale"/>
            <w:noProof/>
          </w:rPr>
          <w:t>Tabella 30. Distribuzione provinciale delle startup in Italia e in Lombardia</w:t>
        </w:r>
        <w:r w:rsidR="004242C0">
          <w:rPr>
            <w:noProof/>
            <w:webHidden/>
          </w:rPr>
          <w:tab/>
        </w:r>
        <w:r w:rsidR="004242C0">
          <w:rPr>
            <w:noProof/>
            <w:webHidden/>
          </w:rPr>
          <w:fldChar w:fldCharType="begin"/>
        </w:r>
        <w:r w:rsidR="004242C0">
          <w:rPr>
            <w:noProof/>
            <w:webHidden/>
          </w:rPr>
          <w:instrText xml:space="preserve"> PAGEREF _Toc91081456 \h </w:instrText>
        </w:r>
        <w:r w:rsidR="004242C0">
          <w:rPr>
            <w:noProof/>
            <w:webHidden/>
          </w:rPr>
        </w:r>
        <w:r w:rsidR="004242C0">
          <w:rPr>
            <w:noProof/>
            <w:webHidden/>
          </w:rPr>
          <w:fldChar w:fldCharType="separate"/>
        </w:r>
        <w:r w:rsidR="002439B9">
          <w:rPr>
            <w:noProof/>
            <w:webHidden/>
          </w:rPr>
          <w:t>65</w:t>
        </w:r>
        <w:r w:rsidR="004242C0">
          <w:rPr>
            <w:noProof/>
            <w:webHidden/>
          </w:rPr>
          <w:fldChar w:fldCharType="end"/>
        </w:r>
      </w:hyperlink>
    </w:p>
    <w:p w14:paraId="309A1538" w14:textId="280C93D5" w:rsidR="004242C0" w:rsidRDefault="00B1628C">
      <w:pPr>
        <w:pStyle w:val="Indicedellefigure"/>
        <w:tabs>
          <w:tab w:val="right" w:leader="dot" w:pos="9061"/>
        </w:tabs>
        <w:rPr>
          <w:rFonts w:asciiTheme="minorHAnsi" w:hAnsiTheme="minorHAnsi"/>
          <w:noProof/>
          <w:sz w:val="22"/>
          <w:szCs w:val="22"/>
          <w:lang w:eastAsia="it-IT"/>
        </w:rPr>
      </w:pPr>
      <w:hyperlink w:anchor="_Toc91081457" w:history="1">
        <w:r w:rsidR="004242C0" w:rsidRPr="0057402F">
          <w:rPr>
            <w:rStyle w:val="Collegamentoipertestuale"/>
            <w:noProof/>
          </w:rPr>
          <w:t>Tabella 31. Doti Autoimprenditorialità prese in carico e importi richiesti</w:t>
        </w:r>
        <w:r w:rsidR="004242C0">
          <w:rPr>
            <w:noProof/>
            <w:webHidden/>
          </w:rPr>
          <w:tab/>
        </w:r>
        <w:r w:rsidR="004242C0">
          <w:rPr>
            <w:noProof/>
            <w:webHidden/>
          </w:rPr>
          <w:fldChar w:fldCharType="begin"/>
        </w:r>
        <w:r w:rsidR="004242C0">
          <w:rPr>
            <w:noProof/>
            <w:webHidden/>
          </w:rPr>
          <w:instrText xml:space="preserve"> PAGEREF _Toc91081457 \h </w:instrText>
        </w:r>
        <w:r w:rsidR="004242C0">
          <w:rPr>
            <w:noProof/>
            <w:webHidden/>
          </w:rPr>
        </w:r>
        <w:r w:rsidR="004242C0">
          <w:rPr>
            <w:noProof/>
            <w:webHidden/>
          </w:rPr>
          <w:fldChar w:fldCharType="separate"/>
        </w:r>
        <w:r w:rsidR="002439B9">
          <w:rPr>
            <w:noProof/>
            <w:webHidden/>
          </w:rPr>
          <w:t>76</w:t>
        </w:r>
        <w:r w:rsidR="004242C0">
          <w:rPr>
            <w:noProof/>
            <w:webHidden/>
          </w:rPr>
          <w:fldChar w:fldCharType="end"/>
        </w:r>
      </w:hyperlink>
    </w:p>
    <w:p w14:paraId="222CCD80" w14:textId="06DAB392" w:rsidR="004242C0" w:rsidRDefault="00B1628C">
      <w:pPr>
        <w:pStyle w:val="Indicedellefigure"/>
        <w:tabs>
          <w:tab w:val="right" w:leader="dot" w:pos="9061"/>
        </w:tabs>
        <w:rPr>
          <w:rFonts w:asciiTheme="minorHAnsi" w:hAnsiTheme="minorHAnsi"/>
          <w:noProof/>
          <w:sz w:val="22"/>
          <w:szCs w:val="22"/>
          <w:lang w:eastAsia="it-IT"/>
        </w:rPr>
      </w:pPr>
      <w:hyperlink w:anchor="_Toc91081458" w:history="1">
        <w:r w:rsidR="004242C0" w:rsidRPr="0057402F">
          <w:rPr>
            <w:rStyle w:val="Collegamentoipertestuale"/>
            <w:noProof/>
          </w:rPr>
          <w:t>Tabella 32. Distribuzione doti prese in carico e importi per operatore</w:t>
        </w:r>
        <w:r w:rsidR="004242C0">
          <w:rPr>
            <w:noProof/>
            <w:webHidden/>
          </w:rPr>
          <w:tab/>
        </w:r>
        <w:r w:rsidR="004242C0">
          <w:rPr>
            <w:noProof/>
            <w:webHidden/>
          </w:rPr>
          <w:fldChar w:fldCharType="begin"/>
        </w:r>
        <w:r w:rsidR="004242C0">
          <w:rPr>
            <w:noProof/>
            <w:webHidden/>
          </w:rPr>
          <w:instrText xml:space="preserve"> PAGEREF _Toc91081458 \h </w:instrText>
        </w:r>
        <w:r w:rsidR="004242C0">
          <w:rPr>
            <w:noProof/>
            <w:webHidden/>
          </w:rPr>
        </w:r>
        <w:r w:rsidR="004242C0">
          <w:rPr>
            <w:noProof/>
            <w:webHidden/>
          </w:rPr>
          <w:fldChar w:fldCharType="separate"/>
        </w:r>
        <w:r w:rsidR="002439B9">
          <w:rPr>
            <w:noProof/>
            <w:webHidden/>
          </w:rPr>
          <w:t>77</w:t>
        </w:r>
        <w:r w:rsidR="004242C0">
          <w:rPr>
            <w:noProof/>
            <w:webHidden/>
          </w:rPr>
          <w:fldChar w:fldCharType="end"/>
        </w:r>
      </w:hyperlink>
    </w:p>
    <w:p w14:paraId="2BD47E45" w14:textId="7F1E1642" w:rsidR="004242C0" w:rsidRDefault="00B1628C">
      <w:pPr>
        <w:pStyle w:val="Indicedellefigure"/>
        <w:tabs>
          <w:tab w:val="right" w:leader="dot" w:pos="9061"/>
        </w:tabs>
        <w:rPr>
          <w:rFonts w:asciiTheme="minorHAnsi" w:hAnsiTheme="minorHAnsi"/>
          <w:noProof/>
          <w:sz w:val="22"/>
          <w:szCs w:val="22"/>
          <w:lang w:eastAsia="it-IT"/>
        </w:rPr>
      </w:pPr>
      <w:hyperlink w:anchor="_Toc91081459" w:history="1">
        <w:r w:rsidR="004242C0" w:rsidRPr="0057402F">
          <w:rPr>
            <w:rStyle w:val="Collegamentoipertestuale"/>
            <w:noProof/>
          </w:rPr>
          <w:t>Tabella 33. Metodologia della valutazione</w:t>
        </w:r>
        <w:r w:rsidR="004242C0">
          <w:rPr>
            <w:noProof/>
            <w:webHidden/>
          </w:rPr>
          <w:tab/>
        </w:r>
        <w:r w:rsidR="004242C0">
          <w:rPr>
            <w:noProof/>
            <w:webHidden/>
          </w:rPr>
          <w:fldChar w:fldCharType="begin"/>
        </w:r>
        <w:r w:rsidR="004242C0">
          <w:rPr>
            <w:noProof/>
            <w:webHidden/>
          </w:rPr>
          <w:instrText xml:space="preserve"> PAGEREF _Toc91081459 \h </w:instrText>
        </w:r>
        <w:r w:rsidR="004242C0">
          <w:rPr>
            <w:noProof/>
            <w:webHidden/>
          </w:rPr>
        </w:r>
        <w:r w:rsidR="004242C0">
          <w:rPr>
            <w:noProof/>
            <w:webHidden/>
          </w:rPr>
          <w:fldChar w:fldCharType="separate"/>
        </w:r>
        <w:r w:rsidR="002439B9">
          <w:rPr>
            <w:noProof/>
            <w:webHidden/>
          </w:rPr>
          <w:t>79</w:t>
        </w:r>
        <w:r w:rsidR="004242C0">
          <w:rPr>
            <w:noProof/>
            <w:webHidden/>
          </w:rPr>
          <w:fldChar w:fldCharType="end"/>
        </w:r>
      </w:hyperlink>
    </w:p>
    <w:p w14:paraId="11FCDD95" w14:textId="4592E20C" w:rsidR="004242C0" w:rsidRDefault="00B1628C">
      <w:pPr>
        <w:pStyle w:val="Indicedellefigure"/>
        <w:tabs>
          <w:tab w:val="right" w:leader="dot" w:pos="9061"/>
        </w:tabs>
        <w:rPr>
          <w:rFonts w:asciiTheme="minorHAnsi" w:hAnsiTheme="minorHAnsi"/>
          <w:noProof/>
          <w:sz w:val="22"/>
          <w:szCs w:val="22"/>
          <w:lang w:eastAsia="it-IT"/>
        </w:rPr>
      </w:pPr>
      <w:hyperlink w:anchor="_Toc91081460" w:history="1">
        <w:r w:rsidR="004242C0" w:rsidRPr="0057402F">
          <w:rPr>
            <w:rStyle w:val="Collegamentoipertestuale"/>
            <w:noProof/>
          </w:rPr>
          <w:t>Tabella 34. Caratteristiche dei destinatari DUL Autoimprenditorialità Fase II</w:t>
        </w:r>
        <w:r w:rsidR="004242C0">
          <w:rPr>
            <w:noProof/>
            <w:webHidden/>
          </w:rPr>
          <w:tab/>
        </w:r>
        <w:r w:rsidR="004242C0">
          <w:rPr>
            <w:noProof/>
            <w:webHidden/>
          </w:rPr>
          <w:fldChar w:fldCharType="begin"/>
        </w:r>
        <w:r w:rsidR="004242C0">
          <w:rPr>
            <w:noProof/>
            <w:webHidden/>
          </w:rPr>
          <w:instrText xml:space="preserve"> PAGEREF _Toc91081460 \h </w:instrText>
        </w:r>
        <w:r w:rsidR="004242C0">
          <w:rPr>
            <w:noProof/>
            <w:webHidden/>
          </w:rPr>
        </w:r>
        <w:r w:rsidR="004242C0">
          <w:rPr>
            <w:noProof/>
            <w:webHidden/>
          </w:rPr>
          <w:fldChar w:fldCharType="separate"/>
        </w:r>
        <w:r w:rsidR="002439B9">
          <w:rPr>
            <w:noProof/>
            <w:webHidden/>
          </w:rPr>
          <w:t>80</w:t>
        </w:r>
        <w:r w:rsidR="004242C0">
          <w:rPr>
            <w:noProof/>
            <w:webHidden/>
          </w:rPr>
          <w:fldChar w:fldCharType="end"/>
        </w:r>
      </w:hyperlink>
    </w:p>
    <w:p w14:paraId="2CCD5FAB" w14:textId="49F364D0" w:rsidR="004242C0" w:rsidRDefault="00B1628C">
      <w:pPr>
        <w:pStyle w:val="Indicedellefigure"/>
        <w:tabs>
          <w:tab w:val="right" w:leader="dot" w:pos="9061"/>
        </w:tabs>
        <w:rPr>
          <w:rFonts w:asciiTheme="minorHAnsi" w:hAnsiTheme="minorHAnsi"/>
          <w:noProof/>
          <w:sz w:val="22"/>
          <w:szCs w:val="22"/>
          <w:lang w:eastAsia="it-IT"/>
        </w:rPr>
      </w:pPr>
      <w:hyperlink w:anchor="_Toc91081461" w:history="1">
        <w:r w:rsidR="004242C0" w:rsidRPr="0057402F">
          <w:rPr>
            <w:rStyle w:val="Collegamentoipertestuale"/>
            <w:noProof/>
          </w:rPr>
          <w:t>Tabella 35. Tasso di conclusione del percorso DUL Autoimprenditorialità</w:t>
        </w:r>
        <w:r w:rsidR="004242C0">
          <w:rPr>
            <w:noProof/>
            <w:webHidden/>
          </w:rPr>
          <w:tab/>
        </w:r>
        <w:r w:rsidR="004242C0">
          <w:rPr>
            <w:noProof/>
            <w:webHidden/>
          </w:rPr>
          <w:fldChar w:fldCharType="begin"/>
        </w:r>
        <w:r w:rsidR="004242C0">
          <w:rPr>
            <w:noProof/>
            <w:webHidden/>
          </w:rPr>
          <w:instrText xml:space="preserve"> PAGEREF _Toc91081461 \h </w:instrText>
        </w:r>
        <w:r w:rsidR="004242C0">
          <w:rPr>
            <w:noProof/>
            <w:webHidden/>
          </w:rPr>
        </w:r>
        <w:r w:rsidR="004242C0">
          <w:rPr>
            <w:noProof/>
            <w:webHidden/>
          </w:rPr>
          <w:fldChar w:fldCharType="separate"/>
        </w:r>
        <w:r w:rsidR="002439B9">
          <w:rPr>
            <w:noProof/>
            <w:webHidden/>
          </w:rPr>
          <w:t>81</w:t>
        </w:r>
        <w:r w:rsidR="004242C0">
          <w:rPr>
            <w:noProof/>
            <w:webHidden/>
          </w:rPr>
          <w:fldChar w:fldCharType="end"/>
        </w:r>
      </w:hyperlink>
    </w:p>
    <w:p w14:paraId="5DDBE1FC" w14:textId="60806DAF" w:rsidR="004242C0" w:rsidRDefault="00B1628C">
      <w:pPr>
        <w:pStyle w:val="Indicedellefigure"/>
        <w:tabs>
          <w:tab w:val="right" w:leader="dot" w:pos="9061"/>
        </w:tabs>
        <w:rPr>
          <w:rFonts w:asciiTheme="minorHAnsi" w:hAnsiTheme="minorHAnsi"/>
          <w:noProof/>
          <w:sz w:val="22"/>
          <w:szCs w:val="22"/>
          <w:lang w:eastAsia="it-IT"/>
        </w:rPr>
      </w:pPr>
      <w:hyperlink w:anchor="_Toc91081462" w:history="1">
        <w:r w:rsidR="004242C0" w:rsidRPr="0057402F">
          <w:rPr>
            <w:rStyle w:val="Collegamentoipertestuale"/>
            <w:noProof/>
          </w:rPr>
          <w:t>Tabella 36. Tasso di sopravvivenza delle attività finanziate dalla DUL (al 31/12/2020)</w:t>
        </w:r>
        <w:r w:rsidR="004242C0">
          <w:rPr>
            <w:noProof/>
            <w:webHidden/>
          </w:rPr>
          <w:tab/>
        </w:r>
        <w:r w:rsidR="004242C0">
          <w:rPr>
            <w:noProof/>
            <w:webHidden/>
          </w:rPr>
          <w:fldChar w:fldCharType="begin"/>
        </w:r>
        <w:r w:rsidR="004242C0">
          <w:rPr>
            <w:noProof/>
            <w:webHidden/>
          </w:rPr>
          <w:instrText xml:space="preserve"> PAGEREF _Toc91081462 \h </w:instrText>
        </w:r>
        <w:r w:rsidR="004242C0">
          <w:rPr>
            <w:noProof/>
            <w:webHidden/>
          </w:rPr>
        </w:r>
        <w:r w:rsidR="004242C0">
          <w:rPr>
            <w:noProof/>
            <w:webHidden/>
          </w:rPr>
          <w:fldChar w:fldCharType="separate"/>
        </w:r>
        <w:r w:rsidR="002439B9">
          <w:rPr>
            <w:noProof/>
            <w:webHidden/>
          </w:rPr>
          <w:t>82</w:t>
        </w:r>
        <w:r w:rsidR="004242C0">
          <w:rPr>
            <w:noProof/>
            <w:webHidden/>
          </w:rPr>
          <w:fldChar w:fldCharType="end"/>
        </w:r>
      </w:hyperlink>
    </w:p>
    <w:p w14:paraId="57796998" w14:textId="2D77CFCB" w:rsidR="004242C0" w:rsidRDefault="00B1628C">
      <w:pPr>
        <w:pStyle w:val="Indicedellefigure"/>
        <w:tabs>
          <w:tab w:val="right" w:leader="dot" w:pos="9061"/>
        </w:tabs>
        <w:rPr>
          <w:rFonts w:asciiTheme="minorHAnsi" w:hAnsiTheme="minorHAnsi"/>
          <w:noProof/>
          <w:sz w:val="22"/>
          <w:szCs w:val="22"/>
          <w:lang w:eastAsia="it-IT"/>
        </w:rPr>
      </w:pPr>
      <w:hyperlink w:anchor="_Toc91081463" w:history="1">
        <w:r w:rsidR="004242C0" w:rsidRPr="0057402F">
          <w:rPr>
            <w:rStyle w:val="Collegamentoipertestuale"/>
            <w:noProof/>
          </w:rPr>
          <w:t>Tabella 37. Esiti delle doti prese in carico</w:t>
        </w:r>
        <w:r w:rsidR="004242C0">
          <w:rPr>
            <w:noProof/>
            <w:webHidden/>
          </w:rPr>
          <w:tab/>
        </w:r>
        <w:r w:rsidR="004242C0">
          <w:rPr>
            <w:noProof/>
            <w:webHidden/>
          </w:rPr>
          <w:fldChar w:fldCharType="begin"/>
        </w:r>
        <w:r w:rsidR="004242C0">
          <w:rPr>
            <w:noProof/>
            <w:webHidden/>
          </w:rPr>
          <w:instrText xml:space="preserve"> PAGEREF _Toc91081463 \h </w:instrText>
        </w:r>
        <w:r w:rsidR="004242C0">
          <w:rPr>
            <w:noProof/>
            <w:webHidden/>
          </w:rPr>
        </w:r>
        <w:r w:rsidR="004242C0">
          <w:rPr>
            <w:noProof/>
            <w:webHidden/>
          </w:rPr>
          <w:fldChar w:fldCharType="separate"/>
        </w:r>
        <w:r w:rsidR="002439B9">
          <w:rPr>
            <w:noProof/>
            <w:webHidden/>
          </w:rPr>
          <w:t>85</w:t>
        </w:r>
        <w:r w:rsidR="004242C0">
          <w:rPr>
            <w:noProof/>
            <w:webHidden/>
          </w:rPr>
          <w:fldChar w:fldCharType="end"/>
        </w:r>
      </w:hyperlink>
    </w:p>
    <w:p w14:paraId="67D4DF62" w14:textId="7C125A47" w:rsidR="004242C0" w:rsidRDefault="00B1628C">
      <w:pPr>
        <w:pStyle w:val="Indicedellefigure"/>
        <w:tabs>
          <w:tab w:val="right" w:leader="dot" w:pos="9061"/>
        </w:tabs>
        <w:rPr>
          <w:rFonts w:asciiTheme="minorHAnsi" w:hAnsiTheme="minorHAnsi"/>
          <w:noProof/>
          <w:sz w:val="22"/>
          <w:szCs w:val="22"/>
          <w:lang w:eastAsia="it-IT"/>
        </w:rPr>
      </w:pPr>
      <w:hyperlink w:anchor="_Toc91081464" w:history="1">
        <w:r w:rsidR="004242C0" w:rsidRPr="0057402F">
          <w:rPr>
            <w:rStyle w:val="Collegamentoipertestuale"/>
            <w:noProof/>
          </w:rPr>
          <w:t>Tabella 38. Caratteristiche dei progetti finanziati</w:t>
        </w:r>
        <w:r w:rsidR="004242C0">
          <w:rPr>
            <w:noProof/>
            <w:webHidden/>
          </w:rPr>
          <w:tab/>
        </w:r>
        <w:r w:rsidR="004242C0">
          <w:rPr>
            <w:noProof/>
            <w:webHidden/>
          </w:rPr>
          <w:fldChar w:fldCharType="begin"/>
        </w:r>
        <w:r w:rsidR="004242C0">
          <w:rPr>
            <w:noProof/>
            <w:webHidden/>
          </w:rPr>
          <w:instrText xml:space="preserve"> PAGEREF _Toc91081464 \h </w:instrText>
        </w:r>
        <w:r w:rsidR="004242C0">
          <w:rPr>
            <w:noProof/>
            <w:webHidden/>
          </w:rPr>
        </w:r>
        <w:r w:rsidR="004242C0">
          <w:rPr>
            <w:noProof/>
            <w:webHidden/>
          </w:rPr>
          <w:fldChar w:fldCharType="separate"/>
        </w:r>
        <w:r w:rsidR="002439B9">
          <w:rPr>
            <w:noProof/>
            <w:webHidden/>
          </w:rPr>
          <w:t>87</w:t>
        </w:r>
        <w:r w:rsidR="004242C0">
          <w:rPr>
            <w:noProof/>
            <w:webHidden/>
          </w:rPr>
          <w:fldChar w:fldCharType="end"/>
        </w:r>
      </w:hyperlink>
    </w:p>
    <w:p w14:paraId="6C8A9368" w14:textId="0E243403" w:rsidR="004242C0" w:rsidRDefault="00B1628C">
      <w:pPr>
        <w:pStyle w:val="Indicedellefigure"/>
        <w:tabs>
          <w:tab w:val="right" w:leader="dot" w:pos="9061"/>
        </w:tabs>
        <w:rPr>
          <w:rFonts w:asciiTheme="minorHAnsi" w:hAnsiTheme="minorHAnsi"/>
          <w:noProof/>
          <w:sz w:val="22"/>
          <w:szCs w:val="22"/>
          <w:lang w:eastAsia="it-IT"/>
        </w:rPr>
      </w:pPr>
      <w:hyperlink w:anchor="_Toc91081465" w:history="1">
        <w:r w:rsidR="004242C0" w:rsidRPr="0057402F">
          <w:rPr>
            <w:rStyle w:val="Collegamentoipertestuale"/>
            <w:noProof/>
          </w:rPr>
          <w:t>Tabella 39. Caratteristiche dei destinatari coinvolti</w:t>
        </w:r>
        <w:r w:rsidR="004242C0">
          <w:rPr>
            <w:noProof/>
            <w:webHidden/>
          </w:rPr>
          <w:tab/>
        </w:r>
        <w:r w:rsidR="004242C0">
          <w:rPr>
            <w:noProof/>
            <w:webHidden/>
          </w:rPr>
          <w:fldChar w:fldCharType="begin"/>
        </w:r>
        <w:r w:rsidR="004242C0">
          <w:rPr>
            <w:noProof/>
            <w:webHidden/>
          </w:rPr>
          <w:instrText xml:space="preserve"> PAGEREF _Toc91081465 \h </w:instrText>
        </w:r>
        <w:r w:rsidR="004242C0">
          <w:rPr>
            <w:noProof/>
            <w:webHidden/>
          </w:rPr>
        </w:r>
        <w:r w:rsidR="004242C0">
          <w:rPr>
            <w:noProof/>
            <w:webHidden/>
          </w:rPr>
          <w:fldChar w:fldCharType="separate"/>
        </w:r>
        <w:r w:rsidR="002439B9">
          <w:rPr>
            <w:noProof/>
            <w:webHidden/>
          </w:rPr>
          <w:t>88</w:t>
        </w:r>
        <w:r w:rsidR="004242C0">
          <w:rPr>
            <w:noProof/>
            <w:webHidden/>
          </w:rPr>
          <w:fldChar w:fldCharType="end"/>
        </w:r>
      </w:hyperlink>
    </w:p>
    <w:p w14:paraId="1B45F0B3" w14:textId="019AE2A8" w:rsidR="004242C0" w:rsidRDefault="00B1628C">
      <w:pPr>
        <w:pStyle w:val="Indicedellefigure"/>
        <w:tabs>
          <w:tab w:val="right" w:leader="dot" w:pos="9061"/>
        </w:tabs>
        <w:rPr>
          <w:rFonts w:asciiTheme="minorHAnsi" w:hAnsiTheme="minorHAnsi"/>
          <w:noProof/>
          <w:sz w:val="22"/>
          <w:szCs w:val="22"/>
          <w:lang w:eastAsia="it-IT"/>
        </w:rPr>
      </w:pPr>
      <w:hyperlink w:anchor="_Toc91081466" w:history="1">
        <w:r w:rsidR="004242C0" w:rsidRPr="0057402F">
          <w:rPr>
            <w:rStyle w:val="Collegamentoipertestuale"/>
            <w:noProof/>
          </w:rPr>
          <w:t>Tabella 40. criteri di premialità volti a incentivare il coinvolgimento delle donne nei progetti cofinanziati dal FESR</w:t>
        </w:r>
        <w:r w:rsidR="004242C0">
          <w:rPr>
            <w:noProof/>
            <w:webHidden/>
          </w:rPr>
          <w:tab/>
        </w:r>
        <w:r w:rsidR="004242C0">
          <w:rPr>
            <w:noProof/>
            <w:webHidden/>
          </w:rPr>
          <w:fldChar w:fldCharType="begin"/>
        </w:r>
        <w:r w:rsidR="004242C0">
          <w:rPr>
            <w:noProof/>
            <w:webHidden/>
          </w:rPr>
          <w:instrText xml:space="preserve"> PAGEREF _Toc91081466 \h </w:instrText>
        </w:r>
        <w:r w:rsidR="004242C0">
          <w:rPr>
            <w:noProof/>
            <w:webHidden/>
          </w:rPr>
        </w:r>
        <w:r w:rsidR="004242C0">
          <w:rPr>
            <w:noProof/>
            <w:webHidden/>
          </w:rPr>
          <w:fldChar w:fldCharType="separate"/>
        </w:r>
        <w:r w:rsidR="002439B9">
          <w:rPr>
            <w:noProof/>
            <w:webHidden/>
          </w:rPr>
          <w:t>96</w:t>
        </w:r>
        <w:r w:rsidR="004242C0">
          <w:rPr>
            <w:noProof/>
            <w:webHidden/>
          </w:rPr>
          <w:fldChar w:fldCharType="end"/>
        </w:r>
      </w:hyperlink>
    </w:p>
    <w:p w14:paraId="652FB680" w14:textId="4FC08899" w:rsidR="004242C0" w:rsidRDefault="00B1628C">
      <w:pPr>
        <w:pStyle w:val="Indicedellefigure"/>
        <w:tabs>
          <w:tab w:val="right" w:leader="dot" w:pos="9061"/>
        </w:tabs>
        <w:rPr>
          <w:rFonts w:asciiTheme="minorHAnsi" w:hAnsiTheme="minorHAnsi"/>
          <w:noProof/>
          <w:sz w:val="22"/>
          <w:szCs w:val="22"/>
          <w:lang w:eastAsia="it-IT"/>
        </w:rPr>
      </w:pPr>
      <w:hyperlink w:anchor="_Toc91081467" w:history="1">
        <w:r w:rsidR="004242C0" w:rsidRPr="0057402F">
          <w:rPr>
            <w:rStyle w:val="Collegamentoipertestuale"/>
            <w:noProof/>
          </w:rPr>
          <w:t>Tabella 41. Raggruppamento bandi FESR alla base dell’analisi proposta nel Capitolo 2</w:t>
        </w:r>
        <w:r w:rsidR="004242C0">
          <w:rPr>
            <w:noProof/>
            <w:webHidden/>
          </w:rPr>
          <w:tab/>
        </w:r>
        <w:r w:rsidR="004242C0">
          <w:rPr>
            <w:noProof/>
            <w:webHidden/>
          </w:rPr>
          <w:fldChar w:fldCharType="begin"/>
        </w:r>
        <w:r w:rsidR="004242C0">
          <w:rPr>
            <w:noProof/>
            <w:webHidden/>
          </w:rPr>
          <w:instrText xml:space="preserve"> PAGEREF _Toc91081467 \h </w:instrText>
        </w:r>
        <w:r w:rsidR="004242C0">
          <w:rPr>
            <w:noProof/>
            <w:webHidden/>
          </w:rPr>
        </w:r>
        <w:r w:rsidR="004242C0">
          <w:rPr>
            <w:noProof/>
            <w:webHidden/>
          </w:rPr>
          <w:fldChar w:fldCharType="separate"/>
        </w:r>
        <w:r w:rsidR="002439B9">
          <w:rPr>
            <w:noProof/>
            <w:webHidden/>
          </w:rPr>
          <w:t>102</w:t>
        </w:r>
        <w:r w:rsidR="004242C0">
          <w:rPr>
            <w:noProof/>
            <w:webHidden/>
          </w:rPr>
          <w:fldChar w:fldCharType="end"/>
        </w:r>
      </w:hyperlink>
    </w:p>
    <w:p w14:paraId="72794488" w14:textId="03346D0C" w:rsidR="004242C0" w:rsidRDefault="00B1628C">
      <w:pPr>
        <w:pStyle w:val="Indicedellefigure"/>
        <w:tabs>
          <w:tab w:val="right" w:leader="dot" w:pos="9061"/>
        </w:tabs>
        <w:rPr>
          <w:rFonts w:asciiTheme="minorHAnsi" w:hAnsiTheme="minorHAnsi"/>
          <w:noProof/>
          <w:sz w:val="22"/>
          <w:szCs w:val="22"/>
          <w:lang w:eastAsia="it-IT"/>
        </w:rPr>
      </w:pPr>
      <w:hyperlink w:anchor="_Toc91081468" w:history="1">
        <w:r w:rsidR="004242C0" w:rsidRPr="0057402F">
          <w:rPr>
            <w:rStyle w:val="Collegamentoipertestuale"/>
            <w:noProof/>
          </w:rPr>
          <w:t>Tabella 42. Raggruppamento bandi FSE utilizzato nell’analisi del Capitolo 2</w:t>
        </w:r>
        <w:r w:rsidR="004242C0">
          <w:rPr>
            <w:noProof/>
            <w:webHidden/>
          </w:rPr>
          <w:tab/>
        </w:r>
        <w:r w:rsidR="004242C0">
          <w:rPr>
            <w:noProof/>
            <w:webHidden/>
          </w:rPr>
          <w:fldChar w:fldCharType="begin"/>
        </w:r>
        <w:r w:rsidR="004242C0">
          <w:rPr>
            <w:noProof/>
            <w:webHidden/>
          </w:rPr>
          <w:instrText xml:space="preserve"> PAGEREF _Toc91081468 \h </w:instrText>
        </w:r>
        <w:r w:rsidR="004242C0">
          <w:rPr>
            <w:noProof/>
            <w:webHidden/>
          </w:rPr>
        </w:r>
        <w:r w:rsidR="004242C0">
          <w:rPr>
            <w:noProof/>
            <w:webHidden/>
          </w:rPr>
          <w:fldChar w:fldCharType="separate"/>
        </w:r>
        <w:r w:rsidR="002439B9">
          <w:rPr>
            <w:noProof/>
            <w:webHidden/>
          </w:rPr>
          <w:t>102</w:t>
        </w:r>
        <w:r w:rsidR="004242C0">
          <w:rPr>
            <w:noProof/>
            <w:webHidden/>
          </w:rPr>
          <w:fldChar w:fldCharType="end"/>
        </w:r>
      </w:hyperlink>
    </w:p>
    <w:p w14:paraId="31471529" w14:textId="21919F8F" w:rsidR="004242C0" w:rsidRDefault="00B1628C">
      <w:pPr>
        <w:pStyle w:val="Indicedellefigure"/>
        <w:tabs>
          <w:tab w:val="right" w:leader="dot" w:pos="9061"/>
        </w:tabs>
        <w:rPr>
          <w:rFonts w:asciiTheme="minorHAnsi" w:hAnsiTheme="minorHAnsi"/>
          <w:noProof/>
          <w:sz w:val="22"/>
          <w:szCs w:val="22"/>
          <w:lang w:eastAsia="it-IT"/>
        </w:rPr>
      </w:pPr>
      <w:hyperlink w:anchor="_Toc91081469" w:history="1">
        <w:r w:rsidR="004242C0" w:rsidRPr="0057402F">
          <w:rPr>
            <w:rStyle w:val="Collegamentoipertestuale"/>
            <w:noProof/>
          </w:rPr>
          <w:t>Tabella 43. Statistiche sulle 595 offerte di equity crowdfunding del campione: target di raccolta (euro)</w:t>
        </w:r>
        <w:r w:rsidR="004242C0">
          <w:rPr>
            <w:noProof/>
            <w:webHidden/>
          </w:rPr>
          <w:tab/>
        </w:r>
        <w:r w:rsidR="004242C0">
          <w:rPr>
            <w:noProof/>
            <w:webHidden/>
          </w:rPr>
          <w:fldChar w:fldCharType="begin"/>
        </w:r>
        <w:r w:rsidR="004242C0">
          <w:rPr>
            <w:noProof/>
            <w:webHidden/>
          </w:rPr>
          <w:instrText xml:space="preserve"> PAGEREF _Toc91081469 \h </w:instrText>
        </w:r>
        <w:r w:rsidR="004242C0">
          <w:rPr>
            <w:noProof/>
            <w:webHidden/>
          </w:rPr>
        </w:r>
        <w:r w:rsidR="004242C0">
          <w:rPr>
            <w:noProof/>
            <w:webHidden/>
          </w:rPr>
          <w:fldChar w:fldCharType="separate"/>
        </w:r>
        <w:r w:rsidR="002439B9">
          <w:rPr>
            <w:noProof/>
            <w:webHidden/>
          </w:rPr>
          <w:t>106</w:t>
        </w:r>
        <w:r w:rsidR="004242C0">
          <w:rPr>
            <w:noProof/>
            <w:webHidden/>
          </w:rPr>
          <w:fldChar w:fldCharType="end"/>
        </w:r>
      </w:hyperlink>
    </w:p>
    <w:p w14:paraId="1EB31161" w14:textId="0F039433" w:rsidR="002E2F1F" w:rsidRDefault="004E6566" w:rsidP="002E2F1F">
      <w:r>
        <w:fldChar w:fldCharType="end"/>
      </w:r>
    </w:p>
    <w:p w14:paraId="56AE79BF" w14:textId="77777777" w:rsidR="002E2F1F" w:rsidRDefault="002E2F1F" w:rsidP="002E2F1F"/>
    <w:p w14:paraId="7E818779" w14:textId="77777777" w:rsidR="00C260B5" w:rsidRDefault="00C260B5">
      <w:pPr>
        <w:spacing w:after="320" w:line="300" w:lineRule="auto"/>
        <w:jc w:val="left"/>
      </w:pPr>
      <w:r>
        <w:br w:type="page"/>
      </w:r>
    </w:p>
    <w:p w14:paraId="4A372D29" w14:textId="77777777" w:rsidR="002E2F1F" w:rsidRPr="00275A3E" w:rsidRDefault="002E2F1F" w:rsidP="002E2F1F">
      <w:pPr>
        <w:rPr>
          <w:b/>
          <w:bCs/>
          <w:color w:val="FF0000"/>
        </w:rPr>
      </w:pPr>
      <w:r w:rsidRPr="002E2F1F">
        <w:rPr>
          <w:b/>
          <w:bCs/>
          <w:color w:val="FF0000"/>
        </w:rPr>
        <w:t>Indice delle figure</w:t>
      </w:r>
    </w:p>
    <w:p w14:paraId="41CC4FA4" w14:textId="77777777" w:rsidR="002E2F1F" w:rsidRDefault="002E2F1F" w:rsidP="002E2F1F"/>
    <w:p w14:paraId="71425016" w14:textId="0646FD9E" w:rsidR="004242C0" w:rsidRDefault="004E6566">
      <w:pPr>
        <w:pStyle w:val="Indicedellefigure"/>
        <w:tabs>
          <w:tab w:val="right" w:leader="dot" w:pos="9061"/>
        </w:tabs>
        <w:rPr>
          <w:rFonts w:asciiTheme="minorHAnsi" w:hAnsiTheme="minorHAnsi"/>
          <w:noProof/>
          <w:sz w:val="22"/>
          <w:szCs w:val="22"/>
          <w:lang w:eastAsia="it-IT"/>
        </w:rPr>
      </w:pPr>
      <w:r>
        <w:fldChar w:fldCharType="begin"/>
      </w:r>
      <w:r w:rsidR="002E2F1F">
        <w:instrText xml:space="preserve"> TOC \h \z \c "Figura" </w:instrText>
      </w:r>
      <w:r>
        <w:fldChar w:fldCharType="separate"/>
      </w:r>
      <w:hyperlink w:anchor="_Toc91081470" w:history="1">
        <w:r w:rsidR="004242C0" w:rsidRPr="00F76988">
          <w:rPr>
            <w:rStyle w:val="Collegamentoipertestuale"/>
            <w:noProof/>
          </w:rPr>
          <w:t>Figura 1. Operatori e strumenti del mercato dei capitali privati in relazione alle fasi del ciclo di vita delle startup</w:t>
        </w:r>
        <w:r w:rsidR="004242C0">
          <w:rPr>
            <w:noProof/>
            <w:webHidden/>
          </w:rPr>
          <w:tab/>
        </w:r>
        <w:r w:rsidR="004242C0">
          <w:rPr>
            <w:noProof/>
            <w:webHidden/>
          </w:rPr>
          <w:fldChar w:fldCharType="begin"/>
        </w:r>
        <w:r w:rsidR="004242C0">
          <w:rPr>
            <w:noProof/>
            <w:webHidden/>
          </w:rPr>
          <w:instrText xml:space="preserve"> PAGEREF _Toc91081470 \h </w:instrText>
        </w:r>
        <w:r w:rsidR="004242C0">
          <w:rPr>
            <w:noProof/>
            <w:webHidden/>
          </w:rPr>
        </w:r>
        <w:r w:rsidR="004242C0">
          <w:rPr>
            <w:noProof/>
            <w:webHidden/>
          </w:rPr>
          <w:fldChar w:fldCharType="separate"/>
        </w:r>
        <w:r w:rsidR="002439B9">
          <w:rPr>
            <w:noProof/>
            <w:webHidden/>
          </w:rPr>
          <w:t>47</w:t>
        </w:r>
        <w:r w:rsidR="004242C0">
          <w:rPr>
            <w:noProof/>
            <w:webHidden/>
          </w:rPr>
          <w:fldChar w:fldCharType="end"/>
        </w:r>
      </w:hyperlink>
    </w:p>
    <w:p w14:paraId="18074186" w14:textId="77E5BFA3" w:rsidR="004242C0" w:rsidRDefault="00B1628C">
      <w:pPr>
        <w:pStyle w:val="Indicedellefigure"/>
        <w:tabs>
          <w:tab w:val="right" w:leader="dot" w:pos="9061"/>
        </w:tabs>
        <w:rPr>
          <w:rFonts w:asciiTheme="minorHAnsi" w:hAnsiTheme="minorHAnsi"/>
          <w:noProof/>
          <w:sz w:val="22"/>
          <w:szCs w:val="22"/>
          <w:lang w:eastAsia="it-IT"/>
        </w:rPr>
      </w:pPr>
      <w:hyperlink w:anchor="_Toc91081471" w:history="1">
        <w:r w:rsidR="004242C0" w:rsidRPr="00F76988">
          <w:rPr>
            <w:rStyle w:val="Collegamentoipertestuale"/>
            <w:noProof/>
          </w:rPr>
          <w:t>Figura 2. Ammontare annuo investito (in milioni di euro) dai Business Angels</w:t>
        </w:r>
        <w:r w:rsidR="004242C0">
          <w:rPr>
            <w:noProof/>
            <w:webHidden/>
          </w:rPr>
          <w:tab/>
        </w:r>
        <w:r w:rsidR="004242C0">
          <w:rPr>
            <w:noProof/>
            <w:webHidden/>
          </w:rPr>
          <w:fldChar w:fldCharType="begin"/>
        </w:r>
        <w:r w:rsidR="004242C0">
          <w:rPr>
            <w:noProof/>
            <w:webHidden/>
          </w:rPr>
          <w:instrText xml:space="preserve"> PAGEREF _Toc91081471 \h </w:instrText>
        </w:r>
        <w:r w:rsidR="004242C0">
          <w:rPr>
            <w:noProof/>
            <w:webHidden/>
          </w:rPr>
        </w:r>
        <w:r w:rsidR="004242C0">
          <w:rPr>
            <w:noProof/>
            <w:webHidden/>
          </w:rPr>
          <w:fldChar w:fldCharType="separate"/>
        </w:r>
        <w:r w:rsidR="002439B9">
          <w:rPr>
            <w:noProof/>
            <w:webHidden/>
          </w:rPr>
          <w:t>48</w:t>
        </w:r>
        <w:r w:rsidR="004242C0">
          <w:rPr>
            <w:noProof/>
            <w:webHidden/>
          </w:rPr>
          <w:fldChar w:fldCharType="end"/>
        </w:r>
      </w:hyperlink>
    </w:p>
    <w:p w14:paraId="696969F3" w14:textId="4854EA1A" w:rsidR="004242C0" w:rsidRDefault="00B1628C">
      <w:pPr>
        <w:pStyle w:val="Indicedellefigure"/>
        <w:tabs>
          <w:tab w:val="right" w:leader="dot" w:pos="9061"/>
        </w:tabs>
        <w:rPr>
          <w:rFonts w:asciiTheme="minorHAnsi" w:hAnsiTheme="minorHAnsi"/>
          <w:noProof/>
          <w:sz w:val="22"/>
          <w:szCs w:val="22"/>
          <w:lang w:eastAsia="it-IT"/>
        </w:rPr>
      </w:pPr>
      <w:hyperlink w:anchor="_Toc91081472" w:history="1">
        <w:r w:rsidR="004242C0" w:rsidRPr="00F76988">
          <w:rPr>
            <w:rStyle w:val="Collegamentoipertestuale"/>
            <w:noProof/>
          </w:rPr>
          <w:t>Figura 3. Percentuale degli investimenti dei business angels in relazione all’importo dell’investimento, nel 2019</w:t>
        </w:r>
        <w:r w:rsidR="004242C0">
          <w:rPr>
            <w:noProof/>
            <w:webHidden/>
          </w:rPr>
          <w:tab/>
        </w:r>
        <w:r w:rsidR="004242C0">
          <w:rPr>
            <w:noProof/>
            <w:webHidden/>
          </w:rPr>
          <w:fldChar w:fldCharType="begin"/>
        </w:r>
        <w:r w:rsidR="004242C0">
          <w:rPr>
            <w:noProof/>
            <w:webHidden/>
          </w:rPr>
          <w:instrText xml:space="preserve"> PAGEREF _Toc91081472 \h </w:instrText>
        </w:r>
        <w:r w:rsidR="004242C0">
          <w:rPr>
            <w:noProof/>
            <w:webHidden/>
          </w:rPr>
        </w:r>
        <w:r w:rsidR="004242C0">
          <w:rPr>
            <w:noProof/>
            <w:webHidden/>
          </w:rPr>
          <w:fldChar w:fldCharType="separate"/>
        </w:r>
        <w:r w:rsidR="002439B9">
          <w:rPr>
            <w:noProof/>
            <w:webHidden/>
          </w:rPr>
          <w:t>49</w:t>
        </w:r>
        <w:r w:rsidR="004242C0">
          <w:rPr>
            <w:noProof/>
            <w:webHidden/>
          </w:rPr>
          <w:fldChar w:fldCharType="end"/>
        </w:r>
      </w:hyperlink>
    </w:p>
    <w:p w14:paraId="0C1278EE" w14:textId="7C769063" w:rsidR="004242C0" w:rsidRDefault="00B1628C">
      <w:pPr>
        <w:pStyle w:val="Indicedellefigure"/>
        <w:tabs>
          <w:tab w:val="right" w:leader="dot" w:pos="9061"/>
        </w:tabs>
        <w:rPr>
          <w:rFonts w:asciiTheme="minorHAnsi" w:hAnsiTheme="minorHAnsi"/>
          <w:noProof/>
          <w:sz w:val="22"/>
          <w:szCs w:val="22"/>
          <w:lang w:eastAsia="it-IT"/>
        </w:rPr>
      </w:pPr>
      <w:hyperlink w:anchor="_Toc91081473" w:history="1">
        <w:r w:rsidR="004242C0" w:rsidRPr="00F76988">
          <w:rPr>
            <w:rStyle w:val="Collegamentoipertestuale"/>
            <w:noProof/>
          </w:rPr>
          <w:t>Figura 4. Percentuale degli investimenti dei business angels, nel 2019, in relazione alla fase di sviluppo del ciclo di vita dell’impresa</w:t>
        </w:r>
        <w:r w:rsidR="004242C0">
          <w:rPr>
            <w:noProof/>
            <w:webHidden/>
          </w:rPr>
          <w:tab/>
        </w:r>
        <w:r w:rsidR="004242C0">
          <w:rPr>
            <w:noProof/>
            <w:webHidden/>
          </w:rPr>
          <w:fldChar w:fldCharType="begin"/>
        </w:r>
        <w:r w:rsidR="004242C0">
          <w:rPr>
            <w:noProof/>
            <w:webHidden/>
          </w:rPr>
          <w:instrText xml:space="preserve"> PAGEREF _Toc91081473 \h </w:instrText>
        </w:r>
        <w:r w:rsidR="004242C0">
          <w:rPr>
            <w:noProof/>
            <w:webHidden/>
          </w:rPr>
        </w:r>
        <w:r w:rsidR="004242C0">
          <w:rPr>
            <w:noProof/>
            <w:webHidden/>
          </w:rPr>
          <w:fldChar w:fldCharType="separate"/>
        </w:r>
        <w:r w:rsidR="002439B9">
          <w:rPr>
            <w:noProof/>
            <w:webHidden/>
          </w:rPr>
          <w:t>49</w:t>
        </w:r>
        <w:r w:rsidR="004242C0">
          <w:rPr>
            <w:noProof/>
            <w:webHidden/>
          </w:rPr>
          <w:fldChar w:fldCharType="end"/>
        </w:r>
      </w:hyperlink>
    </w:p>
    <w:p w14:paraId="3BB5FA48" w14:textId="48F33F01" w:rsidR="004242C0" w:rsidRDefault="00B1628C">
      <w:pPr>
        <w:pStyle w:val="Indicedellefigure"/>
        <w:tabs>
          <w:tab w:val="right" w:leader="dot" w:pos="9061"/>
        </w:tabs>
        <w:rPr>
          <w:rFonts w:asciiTheme="minorHAnsi" w:hAnsiTheme="minorHAnsi"/>
          <w:noProof/>
          <w:sz w:val="22"/>
          <w:szCs w:val="22"/>
          <w:lang w:eastAsia="it-IT"/>
        </w:rPr>
      </w:pPr>
      <w:hyperlink w:anchor="_Toc91081474" w:history="1">
        <w:r w:rsidR="004242C0" w:rsidRPr="00F76988">
          <w:rPr>
            <w:rStyle w:val="Collegamentoipertestuale"/>
            <w:noProof/>
          </w:rPr>
          <w:t>Figura 5. Distribuzione percentuale della rilevanza dei fattori per la valutazione di una startup da parte dei business angels, nel 2019</w:t>
        </w:r>
        <w:r w:rsidR="004242C0">
          <w:rPr>
            <w:noProof/>
            <w:webHidden/>
          </w:rPr>
          <w:tab/>
        </w:r>
        <w:r w:rsidR="004242C0">
          <w:rPr>
            <w:noProof/>
            <w:webHidden/>
          </w:rPr>
          <w:fldChar w:fldCharType="begin"/>
        </w:r>
        <w:r w:rsidR="004242C0">
          <w:rPr>
            <w:noProof/>
            <w:webHidden/>
          </w:rPr>
          <w:instrText xml:space="preserve"> PAGEREF _Toc91081474 \h </w:instrText>
        </w:r>
        <w:r w:rsidR="004242C0">
          <w:rPr>
            <w:noProof/>
            <w:webHidden/>
          </w:rPr>
        </w:r>
        <w:r w:rsidR="004242C0">
          <w:rPr>
            <w:noProof/>
            <w:webHidden/>
          </w:rPr>
          <w:fldChar w:fldCharType="separate"/>
        </w:r>
        <w:r w:rsidR="002439B9">
          <w:rPr>
            <w:noProof/>
            <w:webHidden/>
          </w:rPr>
          <w:t>50</w:t>
        </w:r>
        <w:r w:rsidR="004242C0">
          <w:rPr>
            <w:noProof/>
            <w:webHidden/>
          </w:rPr>
          <w:fldChar w:fldCharType="end"/>
        </w:r>
      </w:hyperlink>
    </w:p>
    <w:p w14:paraId="4F4F825C" w14:textId="39D458FF" w:rsidR="004242C0" w:rsidRDefault="00B1628C">
      <w:pPr>
        <w:pStyle w:val="Indicedellefigure"/>
        <w:tabs>
          <w:tab w:val="right" w:leader="dot" w:pos="9061"/>
        </w:tabs>
        <w:rPr>
          <w:rFonts w:asciiTheme="minorHAnsi" w:hAnsiTheme="minorHAnsi"/>
          <w:noProof/>
          <w:sz w:val="22"/>
          <w:szCs w:val="22"/>
          <w:lang w:eastAsia="it-IT"/>
        </w:rPr>
      </w:pPr>
      <w:hyperlink w:anchor="_Toc91081475" w:history="1">
        <w:r w:rsidR="004242C0" w:rsidRPr="00F76988">
          <w:rPr>
            <w:rStyle w:val="Collegamentoipertestuale"/>
            <w:noProof/>
          </w:rPr>
          <w:t>Figura 6. Distribuzione geografica degli investimenti dei business angels nel 2019</w:t>
        </w:r>
        <w:r w:rsidR="004242C0">
          <w:rPr>
            <w:noProof/>
            <w:webHidden/>
          </w:rPr>
          <w:tab/>
        </w:r>
        <w:r w:rsidR="004242C0">
          <w:rPr>
            <w:noProof/>
            <w:webHidden/>
          </w:rPr>
          <w:fldChar w:fldCharType="begin"/>
        </w:r>
        <w:r w:rsidR="004242C0">
          <w:rPr>
            <w:noProof/>
            <w:webHidden/>
          </w:rPr>
          <w:instrText xml:space="preserve"> PAGEREF _Toc91081475 \h </w:instrText>
        </w:r>
        <w:r w:rsidR="004242C0">
          <w:rPr>
            <w:noProof/>
            <w:webHidden/>
          </w:rPr>
        </w:r>
        <w:r w:rsidR="004242C0">
          <w:rPr>
            <w:noProof/>
            <w:webHidden/>
          </w:rPr>
          <w:fldChar w:fldCharType="separate"/>
        </w:r>
        <w:r w:rsidR="002439B9">
          <w:rPr>
            <w:noProof/>
            <w:webHidden/>
          </w:rPr>
          <w:t>50</w:t>
        </w:r>
        <w:r w:rsidR="004242C0">
          <w:rPr>
            <w:noProof/>
            <w:webHidden/>
          </w:rPr>
          <w:fldChar w:fldCharType="end"/>
        </w:r>
      </w:hyperlink>
    </w:p>
    <w:p w14:paraId="3848D3F8" w14:textId="62DD2319" w:rsidR="004242C0" w:rsidRDefault="00B1628C">
      <w:pPr>
        <w:pStyle w:val="Indicedellefigure"/>
        <w:tabs>
          <w:tab w:val="right" w:leader="dot" w:pos="9061"/>
        </w:tabs>
        <w:rPr>
          <w:rFonts w:asciiTheme="minorHAnsi" w:hAnsiTheme="minorHAnsi"/>
          <w:noProof/>
          <w:sz w:val="22"/>
          <w:szCs w:val="22"/>
          <w:lang w:eastAsia="it-IT"/>
        </w:rPr>
      </w:pPr>
      <w:hyperlink w:anchor="_Toc91081476" w:history="1">
        <w:r w:rsidR="004242C0" w:rsidRPr="00F76988">
          <w:rPr>
            <w:rStyle w:val="Collegamentoipertestuale"/>
            <w:noProof/>
          </w:rPr>
          <w:t>Figura 7. Percentuale degli investimenti per settore, nel 2019</w:t>
        </w:r>
        <w:r w:rsidR="004242C0">
          <w:rPr>
            <w:noProof/>
            <w:webHidden/>
          </w:rPr>
          <w:tab/>
        </w:r>
        <w:r w:rsidR="004242C0">
          <w:rPr>
            <w:noProof/>
            <w:webHidden/>
          </w:rPr>
          <w:fldChar w:fldCharType="begin"/>
        </w:r>
        <w:r w:rsidR="004242C0">
          <w:rPr>
            <w:noProof/>
            <w:webHidden/>
          </w:rPr>
          <w:instrText xml:space="preserve"> PAGEREF _Toc91081476 \h </w:instrText>
        </w:r>
        <w:r w:rsidR="004242C0">
          <w:rPr>
            <w:noProof/>
            <w:webHidden/>
          </w:rPr>
        </w:r>
        <w:r w:rsidR="004242C0">
          <w:rPr>
            <w:noProof/>
            <w:webHidden/>
          </w:rPr>
          <w:fldChar w:fldCharType="separate"/>
        </w:r>
        <w:r w:rsidR="002439B9">
          <w:rPr>
            <w:noProof/>
            <w:webHidden/>
          </w:rPr>
          <w:t>51</w:t>
        </w:r>
        <w:r w:rsidR="004242C0">
          <w:rPr>
            <w:noProof/>
            <w:webHidden/>
          </w:rPr>
          <w:fldChar w:fldCharType="end"/>
        </w:r>
      </w:hyperlink>
    </w:p>
    <w:p w14:paraId="5CF8B50C" w14:textId="690D8213" w:rsidR="004242C0" w:rsidRDefault="00B1628C">
      <w:pPr>
        <w:pStyle w:val="Indicedellefigure"/>
        <w:tabs>
          <w:tab w:val="right" w:leader="dot" w:pos="9061"/>
        </w:tabs>
        <w:rPr>
          <w:rFonts w:asciiTheme="minorHAnsi" w:hAnsiTheme="minorHAnsi"/>
          <w:noProof/>
          <w:sz w:val="22"/>
          <w:szCs w:val="22"/>
          <w:lang w:eastAsia="it-IT"/>
        </w:rPr>
      </w:pPr>
      <w:hyperlink w:anchor="_Toc91081477" w:history="1">
        <w:r w:rsidR="004242C0" w:rsidRPr="00F76988">
          <w:rPr>
            <w:rStyle w:val="Collegamentoipertestuale"/>
            <w:noProof/>
          </w:rPr>
          <w:t>Figura 8. Distribuzione % per natura giuridica dei 212 incubatori/acceleratori italiani</w:t>
        </w:r>
        <w:r w:rsidR="004242C0">
          <w:rPr>
            <w:noProof/>
            <w:webHidden/>
          </w:rPr>
          <w:tab/>
        </w:r>
        <w:r w:rsidR="004242C0">
          <w:rPr>
            <w:noProof/>
            <w:webHidden/>
          </w:rPr>
          <w:fldChar w:fldCharType="begin"/>
        </w:r>
        <w:r w:rsidR="004242C0">
          <w:rPr>
            <w:noProof/>
            <w:webHidden/>
          </w:rPr>
          <w:instrText xml:space="preserve"> PAGEREF _Toc91081477 \h </w:instrText>
        </w:r>
        <w:r w:rsidR="004242C0">
          <w:rPr>
            <w:noProof/>
            <w:webHidden/>
          </w:rPr>
        </w:r>
        <w:r w:rsidR="004242C0">
          <w:rPr>
            <w:noProof/>
            <w:webHidden/>
          </w:rPr>
          <w:fldChar w:fldCharType="separate"/>
        </w:r>
        <w:r w:rsidR="002439B9">
          <w:rPr>
            <w:noProof/>
            <w:webHidden/>
          </w:rPr>
          <w:t>52</w:t>
        </w:r>
        <w:r w:rsidR="004242C0">
          <w:rPr>
            <w:noProof/>
            <w:webHidden/>
          </w:rPr>
          <w:fldChar w:fldCharType="end"/>
        </w:r>
      </w:hyperlink>
    </w:p>
    <w:p w14:paraId="4C467309" w14:textId="37A17DE7" w:rsidR="004242C0" w:rsidRDefault="00B1628C">
      <w:pPr>
        <w:pStyle w:val="Indicedellefigure"/>
        <w:tabs>
          <w:tab w:val="right" w:leader="dot" w:pos="9061"/>
        </w:tabs>
        <w:rPr>
          <w:rFonts w:asciiTheme="minorHAnsi" w:hAnsiTheme="minorHAnsi"/>
          <w:noProof/>
          <w:sz w:val="22"/>
          <w:szCs w:val="22"/>
          <w:lang w:eastAsia="it-IT"/>
        </w:rPr>
      </w:pPr>
      <w:hyperlink w:anchor="_Toc91081478" w:history="1">
        <w:r w:rsidR="004242C0" w:rsidRPr="00F76988">
          <w:rPr>
            <w:rStyle w:val="Collegamentoipertestuale"/>
            <w:noProof/>
          </w:rPr>
          <w:t>Figura 9. Rilevanza dei servizi offerti dagli incubatori/acceleratori</w:t>
        </w:r>
        <w:r w:rsidR="004242C0">
          <w:rPr>
            <w:noProof/>
            <w:webHidden/>
          </w:rPr>
          <w:tab/>
        </w:r>
        <w:r w:rsidR="004242C0">
          <w:rPr>
            <w:noProof/>
            <w:webHidden/>
          </w:rPr>
          <w:fldChar w:fldCharType="begin"/>
        </w:r>
        <w:r w:rsidR="004242C0">
          <w:rPr>
            <w:noProof/>
            <w:webHidden/>
          </w:rPr>
          <w:instrText xml:space="preserve"> PAGEREF _Toc91081478 \h </w:instrText>
        </w:r>
        <w:r w:rsidR="004242C0">
          <w:rPr>
            <w:noProof/>
            <w:webHidden/>
          </w:rPr>
        </w:r>
        <w:r w:rsidR="004242C0">
          <w:rPr>
            <w:noProof/>
            <w:webHidden/>
          </w:rPr>
          <w:fldChar w:fldCharType="separate"/>
        </w:r>
        <w:r w:rsidR="002439B9">
          <w:rPr>
            <w:noProof/>
            <w:webHidden/>
          </w:rPr>
          <w:t>52</w:t>
        </w:r>
        <w:r w:rsidR="004242C0">
          <w:rPr>
            <w:noProof/>
            <w:webHidden/>
          </w:rPr>
          <w:fldChar w:fldCharType="end"/>
        </w:r>
      </w:hyperlink>
    </w:p>
    <w:p w14:paraId="45B80CC4" w14:textId="2F54991A" w:rsidR="004242C0" w:rsidRDefault="00B1628C">
      <w:pPr>
        <w:pStyle w:val="Indicedellefigure"/>
        <w:tabs>
          <w:tab w:val="right" w:leader="dot" w:pos="9061"/>
        </w:tabs>
        <w:rPr>
          <w:rFonts w:asciiTheme="minorHAnsi" w:hAnsiTheme="minorHAnsi"/>
          <w:noProof/>
          <w:sz w:val="22"/>
          <w:szCs w:val="22"/>
          <w:lang w:eastAsia="it-IT"/>
        </w:rPr>
      </w:pPr>
      <w:hyperlink w:anchor="_Toc91081479" w:history="1">
        <w:r w:rsidR="004242C0" w:rsidRPr="00F76988">
          <w:rPr>
            <w:rStyle w:val="Collegamentoipertestuale"/>
            <w:noProof/>
          </w:rPr>
          <w:t>Figura 10. Distribuzione percentuale degli incubatori/acceleratori che acquisiscono quote societarie nelle organizzazioni supportate</w:t>
        </w:r>
        <w:r w:rsidR="004242C0">
          <w:rPr>
            <w:noProof/>
            <w:webHidden/>
          </w:rPr>
          <w:tab/>
        </w:r>
        <w:r w:rsidR="004242C0">
          <w:rPr>
            <w:noProof/>
            <w:webHidden/>
          </w:rPr>
          <w:fldChar w:fldCharType="begin"/>
        </w:r>
        <w:r w:rsidR="004242C0">
          <w:rPr>
            <w:noProof/>
            <w:webHidden/>
          </w:rPr>
          <w:instrText xml:space="preserve"> PAGEREF _Toc91081479 \h </w:instrText>
        </w:r>
        <w:r w:rsidR="004242C0">
          <w:rPr>
            <w:noProof/>
            <w:webHidden/>
          </w:rPr>
        </w:r>
        <w:r w:rsidR="004242C0">
          <w:rPr>
            <w:noProof/>
            <w:webHidden/>
          </w:rPr>
          <w:fldChar w:fldCharType="separate"/>
        </w:r>
        <w:r w:rsidR="002439B9">
          <w:rPr>
            <w:noProof/>
            <w:webHidden/>
          </w:rPr>
          <w:t>53</w:t>
        </w:r>
        <w:r w:rsidR="004242C0">
          <w:rPr>
            <w:noProof/>
            <w:webHidden/>
          </w:rPr>
          <w:fldChar w:fldCharType="end"/>
        </w:r>
      </w:hyperlink>
    </w:p>
    <w:p w14:paraId="40CE95A4" w14:textId="2E676E8B" w:rsidR="004242C0" w:rsidRDefault="00B1628C">
      <w:pPr>
        <w:pStyle w:val="Indicedellefigure"/>
        <w:tabs>
          <w:tab w:val="right" w:leader="dot" w:pos="9061"/>
        </w:tabs>
        <w:rPr>
          <w:rFonts w:asciiTheme="minorHAnsi" w:hAnsiTheme="minorHAnsi"/>
          <w:noProof/>
          <w:sz w:val="22"/>
          <w:szCs w:val="22"/>
          <w:lang w:eastAsia="it-IT"/>
        </w:rPr>
      </w:pPr>
      <w:hyperlink w:anchor="_Toc91081480" w:history="1">
        <w:r w:rsidR="004242C0" w:rsidRPr="00F76988">
          <w:rPr>
            <w:rStyle w:val="Collegamentoipertestuale"/>
            <w:noProof/>
          </w:rPr>
          <w:t>Figura 11. Distribuzione geografica delle startup incubate/accelerate nel 2020</w:t>
        </w:r>
        <w:r w:rsidR="004242C0">
          <w:rPr>
            <w:noProof/>
            <w:webHidden/>
          </w:rPr>
          <w:tab/>
        </w:r>
        <w:r w:rsidR="004242C0">
          <w:rPr>
            <w:noProof/>
            <w:webHidden/>
          </w:rPr>
          <w:fldChar w:fldCharType="begin"/>
        </w:r>
        <w:r w:rsidR="004242C0">
          <w:rPr>
            <w:noProof/>
            <w:webHidden/>
          </w:rPr>
          <w:instrText xml:space="preserve"> PAGEREF _Toc91081480 \h </w:instrText>
        </w:r>
        <w:r w:rsidR="004242C0">
          <w:rPr>
            <w:noProof/>
            <w:webHidden/>
          </w:rPr>
        </w:r>
        <w:r w:rsidR="004242C0">
          <w:rPr>
            <w:noProof/>
            <w:webHidden/>
          </w:rPr>
          <w:fldChar w:fldCharType="separate"/>
        </w:r>
        <w:r w:rsidR="002439B9">
          <w:rPr>
            <w:noProof/>
            <w:webHidden/>
          </w:rPr>
          <w:t>53</w:t>
        </w:r>
        <w:r w:rsidR="004242C0">
          <w:rPr>
            <w:noProof/>
            <w:webHidden/>
          </w:rPr>
          <w:fldChar w:fldCharType="end"/>
        </w:r>
      </w:hyperlink>
    </w:p>
    <w:p w14:paraId="504F97A2" w14:textId="50BB29C3" w:rsidR="004242C0" w:rsidRDefault="00B1628C">
      <w:pPr>
        <w:pStyle w:val="Indicedellefigure"/>
        <w:tabs>
          <w:tab w:val="right" w:leader="dot" w:pos="9061"/>
        </w:tabs>
        <w:rPr>
          <w:rFonts w:asciiTheme="minorHAnsi" w:hAnsiTheme="minorHAnsi"/>
          <w:noProof/>
          <w:sz w:val="22"/>
          <w:szCs w:val="22"/>
          <w:lang w:eastAsia="it-IT"/>
        </w:rPr>
      </w:pPr>
      <w:hyperlink w:anchor="_Toc91081481" w:history="1">
        <w:r w:rsidR="004242C0" w:rsidRPr="00F76988">
          <w:rPr>
            <w:rStyle w:val="Collegamentoipertestuale"/>
            <w:noProof/>
          </w:rPr>
          <w:t>Figura 12. Distribuzione % delle startup incubate/accelerate in relazione al settore ATECO</w:t>
        </w:r>
        <w:r w:rsidR="004242C0">
          <w:rPr>
            <w:noProof/>
            <w:webHidden/>
          </w:rPr>
          <w:tab/>
        </w:r>
        <w:r w:rsidR="004242C0">
          <w:rPr>
            <w:noProof/>
            <w:webHidden/>
          </w:rPr>
          <w:fldChar w:fldCharType="begin"/>
        </w:r>
        <w:r w:rsidR="004242C0">
          <w:rPr>
            <w:noProof/>
            <w:webHidden/>
          </w:rPr>
          <w:instrText xml:space="preserve"> PAGEREF _Toc91081481 \h </w:instrText>
        </w:r>
        <w:r w:rsidR="004242C0">
          <w:rPr>
            <w:noProof/>
            <w:webHidden/>
          </w:rPr>
        </w:r>
        <w:r w:rsidR="004242C0">
          <w:rPr>
            <w:noProof/>
            <w:webHidden/>
          </w:rPr>
          <w:fldChar w:fldCharType="separate"/>
        </w:r>
        <w:r w:rsidR="002439B9">
          <w:rPr>
            <w:noProof/>
            <w:webHidden/>
          </w:rPr>
          <w:t>54</w:t>
        </w:r>
        <w:r w:rsidR="004242C0">
          <w:rPr>
            <w:noProof/>
            <w:webHidden/>
          </w:rPr>
          <w:fldChar w:fldCharType="end"/>
        </w:r>
      </w:hyperlink>
    </w:p>
    <w:p w14:paraId="187900A3" w14:textId="60E60DC7" w:rsidR="004242C0" w:rsidRDefault="00B1628C">
      <w:pPr>
        <w:pStyle w:val="Indicedellefigure"/>
        <w:tabs>
          <w:tab w:val="right" w:leader="dot" w:pos="9061"/>
        </w:tabs>
        <w:rPr>
          <w:rFonts w:asciiTheme="minorHAnsi" w:hAnsiTheme="minorHAnsi"/>
          <w:noProof/>
          <w:sz w:val="22"/>
          <w:szCs w:val="22"/>
          <w:lang w:eastAsia="it-IT"/>
        </w:rPr>
      </w:pPr>
      <w:hyperlink w:anchor="_Toc91081482" w:history="1">
        <w:r w:rsidR="004242C0" w:rsidRPr="00F76988">
          <w:rPr>
            <w:rStyle w:val="Collegamentoipertestuale"/>
            <w:noProof/>
          </w:rPr>
          <w:t>Figura 13. Distribuzione % degli operatori di Venture Capital attivi nelle diverse fasi di attività nel 2019</w:t>
        </w:r>
        <w:r w:rsidR="004242C0">
          <w:rPr>
            <w:noProof/>
            <w:webHidden/>
          </w:rPr>
          <w:tab/>
        </w:r>
        <w:r w:rsidR="004242C0">
          <w:rPr>
            <w:noProof/>
            <w:webHidden/>
          </w:rPr>
          <w:fldChar w:fldCharType="begin"/>
        </w:r>
        <w:r w:rsidR="004242C0">
          <w:rPr>
            <w:noProof/>
            <w:webHidden/>
          </w:rPr>
          <w:instrText xml:space="preserve"> PAGEREF _Toc91081482 \h </w:instrText>
        </w:r>
        <w:r w:rsidR="004242C0">
          <w:rPr>
            <w:noProof/>
            <w:webHidden/>
          </w:rPr>
        </w:r>
        <w:r w:rsidR="004242C0">
          <w:rPr>
            <w:noProof/>
            <w:webHidden/>
          </w:rPr>
          <w:fldChar w:fldCharType="separate"/>
        </w:r>
        <w:r w:rsidR="002439B9">
          <w:rPr>
            <w:noProof/>
            <w:webHidden/>
          </w:rPr>
          <w:t>55</w:t>
        </w:r>
        <w:r w:rsidR="004242C0">
          <w:rPr>
            <w:noProof/>
            <w:webHidden/>
          </w:rPr>
          <w:fldChar w:fldCharType="end"/>
        </w:r>
      </w:hyperlink>
    </w:p>
    <w:p w14:paraId="751A3E6F" w14:textId="6E08DE62" w:rsidR="004242C0" w:rsidRDefault="00B1628C">
      <w:pPr>
        <w:pStyle w:val="Indicedellefigure"/>
        <w:tabs>
          <w:tab w:val="right" w:leader="dot" w:pos="9061"/>
        </w:tabs>
        <w:rPr>
          <w:rFonts w:asciiTheme="minorHAnsi" w:hAnsiTheme="minorHAnsi"/>
          <w:noProof/>
          <w:sz w:val="22"/>
          <w:szCs w:val="22"/>
          <w:lang w:eastAsia="it-IT"/>
        </w:rPr>
      </w:pPr>
      <w:hyperlink w:anchor="_Toc91081483" w:history="1">
        <w:r w:rsidR="004242C0" w:rsidRPr="00F76988">
          <w:rPr>
            <w:rStyle w:val="Collegamentoipertestuale"/>
            <w:noProof/>
          </w:rPr>
          <w:t>Figura 14. Evoluzione dei capitali raccolti da Venture Capital (Euro Mln)</w:t>
        </w:r>
        <w:r w:rsidR="004242C0">
          <w:rPr>
            <w:noProof/>
            <w:webHidden/>
          </w:rPr>
          <w:tab/>
        </w:r>
        <w:r w:rsidR="004242C0">
          <w:rPr>
            <w:noProof/>
            <w:webHidden/>
          </w:rPr>
          <w:fldChar w:fldCharType="begin"/>
        </w:r>
        <w:r w:rsidR="004242C0">
          <w:rPr>
            <w:noProof/>
            <w:webHidden/>
          </w:rPr>
          <w:instrText xml:space="preserve"> PAGEREF _Toc91081483 \h </w:instrText>
        </w:r>
        <w:r w:rsidR="004242C0">
          <w:rPr>
            <w:noProof/>
            <w:webHidden/>
          </w:rPr>
        </w:r>
        <w:r w:rsidR="004242C0">
          <w:rPr>
            <w:noProof/>
            <w:webHidden/>
          </w:rPr>
          <w:fldChar w:fldCharType="separate"/>
        </w:r>
        <w:r w:rsidR="002439B9">
          <w:rPr>
            <w:noProof/>
            <w:webHidden/>
          </w:rPr>
          <w:t>55</w:t>
        </w:r>
        <w:r w:rsidR="004242C0">
          <w:rPr>
            <w:noProof/>
            <w:webHidden/>
          </w:rPr>
          <w:fldChar w:fldCharType="end"/>
        </w:r>
      </w:hyperlink>
    </w:p>
    <w:p w14:paraId="0ADA24A2" w14:textId="21CEA012" w:rsidR="004242C0" w:rsidRDefault="00B1628C">
      <w:pPr>
        <w:pStyle w:val="Indicedellefigure"/>
        <w:tabs>
          <w:tab w:val="right" w:leader="dot" w:pos="9061"/>
        </w:tabs>
        <w:rPr>
          <w:rFonts w:asciiTheme="minorHAnsi" w:hAnsiTheme="minorHAnsi"/>
          <w:noProof/>
          <w:sz w:val="22"/>
          <w:szCs w:val="22"/>
          <w:lang w:eastAsia="it-IT"/>
        </w:rPr>
      </w:pPr>
      <w:hyperlink w:anchor="_Toc91081484" w:history="1">
        <w:r w:rsidR="004242C0" w:rsidRPr="00F76988">
          <w:rPr>
            <w:rStyle w:val="Collegamentoipertestuale"/>
            <w:noProof/>
          </w:rPr>
          <w:t>Figura 15. Origine dei capitali raccolti sul mercato (Venture Capital e Private Equity) per tipologie di fonte, nel 2019</w:t>
        </w:r>
        <w:r w:rsidR="004242C0">
          <w:rPr>
            <w:noProof/>
            <w:webHidden/>
          </w:rPr>
          <w:tab/>
        </w:r>
        <w:r w:rsidR="004242C0">
          <w:rPr>
            <w:noProof/>
            <w:webHidden/>
          </w:rPr>
          <w:fldChar w:fldCharType="begin"/>
        </w:r>
        <w:r w:rsidR="004242C0">
          <w:rPr>
            <w:noProof/>
            <w:webHidden/>
          </w:rPr>
          <w:instrText xml:space="preserve"> PAGEREF _Toc91081484 \h </w:instrText>
        </w:r>
        <w:r w:rsidR="004242C0">
          <w:rPr>
            <w:noProof/>
            <w:webHidden/>
          </w:rPr>
        </w:r>
        <w:r w:rsidR="004242C0">
          <w:rPr>
            <w:noProof/>
            <w:webHidden/>
          </w:rPr>
          <w:fldChar w:fldCharType="separate"/>
        </w:r>
        <w:r w:rsidR="002439B9">
          <w:rPr>
            <w:noProof/>
            <w:webHidden/>
          </w:rPr>
          <w:t>56</w:t>
        </w:r>
        <w:r w:rsidR="004242C0">
          <w:rPr>
            <w:noProof/>
            <w:webHidden/>
          </w:rPr>
          <w:fldChar w:fldCharType="end"/>
        </w:r>
      </w:hyperlink>
    </w:p>
    <w:p w14:paraId="6DBC1B83" w14:textId="314D2BCE" w:rsidR="004242C0" w:rsidRDefault="00B1628C">
      <w:pPr>
        <w:pStyle w:val="Indicedellefigure"/>
        <w:tabs>
          <w:tab w:val="right" w:leader="dot" w:pos="9061"/>
        </w:tabs>
        <w:rPr>
          <w:rFonts w:asciiTheme="minorHAnsi" w:hAnsiTheme="minorHAnsi"/>
          <w:noProof/>
          <w:sz w:val="22"/>
          <w:szCs w:val="22"/>
          <w:lang w:eastAsia="it-IT"/>
        </w:rPr>
      </w:pPr>
      <w:hyperlink w:anchor="_Toc91081485" w:history="1">
        <w:r w:rsidR="004242C0" w:rsidRPr="00F76988">
          <w:rPr>
            <w:rStyle w:val="Collegamentoipertestuale"/>
            <w:noProof/>
          </w:rPr>
          <w:t>Figura 16. Distribuzione geografica dell’ammontare investito nel 2019 (Venture Capital)</w:t>
        </w:r>
        <w:r w:rsidR="004242C0">
          <w:rPr>
            <w:noProof/>
            <w:webHidden/>
          </w:rPr>
          <w:tab/>
        </w:r>
        <w:r w:rsidR="004242C0">
          <w:rPr>
            <w:noProof/>
            <w:webHidden/>
          </w:rPr>
          <w:fldChar w:fldCharType="begin"/>
        </w:r>
        <w:r w:rsidR="004242C0">
          <w:rPr>
            <w:noProof/>
            <w:webHidden/>
          </w:rPr>
          <w:instrText xml:space="preserve"> PAGEREF _Toc91081485 \h </w:instrText>
        </w:r>
        <w:r w:rsidR="004242C0">
          <w:rPr>
            <w:noProof/>
            <w:webHidden/>
          </w:rPr>
        </w:r>
        <w:r w:rsidR="004242C0">
          <w:rPr>
            <w:noProof/>
            <w:webHidden/>
          </w:rPr>
          <w:fldChar w:fldCharType="separate"/>
        </w:r>
        <w:r w:rsidR="002439B9">
          <w:rPr>
            <w:noProof/>
            <w:webHidden/>
          </w:rPr>
          <w:t>56</w:t>
        </w:r>
        <w:r w:rsidR="004242C0">
          <w:rPr>
            <w:noProof/>
            <w:webHidden/>
          </w:rPr>
          <w:fldChar w:fldCharType="end"/>
        </w:r>
      </w:hyperlink>
    </w:p>
    <w:p w14:paraId="6478676D" w14:textId="3A3E3E90" w:rsidR="004242C0" w:rsidRDefault="00B1628C">
      <w:pPr>
        <w:pStyle w:val="Indicedellefigure"/>
        <w:tabs>
          <w:tab w:val="right" w:leader="dot" w:pos="9061"/>
        </w:tabs>
        <w:rPr>
          <w:rFonts w:asciiTheme="minorHAnsi" w:hAnsiTheme="minorHAnsi"/>
          <w:noProof/>
          <w:sz w:val="22"/>
          <w:szCs w:val="22"/>
          <w:lang w:eastAsia="it-IT"/>
        </w:rPr>
      </w:pPr>
      <w:hyperlink w:anchor="_Toc91081486" w:history="1">
        <w:r w:rsidR="004242C0" w:rsidRPr="00F76988">
          <w:rPr>
            <w:rStyle w:val="Collegamentoipertestuale"/>
            <w:noProof/>
          </w:rPr>
          <w:t>Figura 17. Distribuzione settoriale della percentuale di investimenti realizzati nel 2019 (Venture Capital e Private Equity)</w:t>
        </w:r>
        <w:r w:rsidR="004242C0">
          <w:rPr>
            <w:noProof/>
            <w:webHidden/>
          </w:rPr>
          <w:tab/>
        </w:r>
        <w:r w:rsidR="004242C0">
          <w:rPr>
            <w:noProof/>
            <w:webHidden/>
          </w:rPr>
          <w:fldChar w:fldCharType="begin"/>
        </w:r>
        <w:r w:rsidR="004242C0">
          <w:rPr>
            <w:noProof/>
            <w:webHidden/>
          </w:rPr>
          <w:instrText xml:space="preserve"> PAGEREF _Toc91081486 \h </w:instrText>
        </w:r>
        <w:r w:rsidR="004242C0">
          <w:rPr>
            <w:noProof/>
            <w:webHidden/>
          </w:rPr>
        </w:r>
        <w:r w:rsidR="004242C0">
          <w:rPr>
            <w:noProof/>
            <w:webHidden/>
          </w:rPr>
          <w:fldChar w:fldCharType="separate"/>
        </w:r>
        <w:r w:rsidR="002439B9">
          <w:rPr>
            <w:noProof/>
            <w:webHidden/>
          </w:rPr>
          <w:t>57</w:t>
        </w:r>
        <w:r w:rsidR="004242C0">
          <w:rPr>
            <w:noProof/>
            <w:webHidden/>
          </w:rPr>
          <w:fldChar w:fldCharType="end"/>
        </w:r>
      </w:hyperlink>
    </w:p>
    <w:p w14:paraId="7A249DBB" w14:textId="0495C1F2" w:rsidR="004242C0" w:rsidRDefault="00B1628C">
      <w:pPr>
        <w:pStyle w:val="Indicedellefigure"/>
        <w:tabs>
          <w:tab w:val="right" w:leader="dot" w:pos="9061"/>
        </w:tabs>
        <w:rPr>
          <w:rFonts w:asciiTheme="minorHAnsi" w:hAnsiTheme="minorHAnsi"/>
          <w:noProof/>
          <w:sz w:val="22"/>
          <w:szCs w:val="22"/>
          <w:lang w:eastAsia="it-IT"/>
        </w:rPr>
      </w:pPr>
      <w:hyperlink w:anchor="_Toc91081487" w:history="1">
        <w:r w:rsidR="004242C0" w:rsidRPr="00F76988">
          <w:rPr>
            <w:rStyle w:val="Collegamentoipertestuale"/>
            <w:noProof/>
          </w:rPr>
          <w:t>Figura 18</w:t>
        </w:r>
        <w:r w:rsidR="004242C0" w:rsidRPr="00F76988">
          <w:rPr>
            <w:rStyle w:val="Collegamentoipertestuale"/>
            <w:bCs/>
            <w:noProof/>
          </w:rPr>
          <w:t>. Flusso temporale delle 595 campagne di equity crowdfunding in Italia</w:t>
        </w:r>
        <w:r w:rsidR="004242C0">
          <w:rPr>
            <w:noProof/>
            <w:webHidden/>
          </w:rPr>
          <w:tab/>
        </w:r>
        <w:r w:rsidR="004242C0">
          <w:rPr>
            <w:noProof/>
            <w:webHidden/>
          </w:rPr>
          <w:fldChar w:fldCharType="begin"/>
        </w:r>
        <w:r w:rsidR="004242C0">
          <w:rPr>
            <w:noProof/>
            <w:webHidden/>
          </w:rPr>
          <w:instrText xml:space="preserve"> PAGEREF _Toc91081487 \h </w:instrText>
        </w:r>
        <w:r w:rsidR="004242C0">
          <w:rPr>
            <w:noProof/>
            <w:webHidden/>
          </w:rPr>
        </w:r>
        <w:r w:rsidR="004242C0">
          <w:rPr>
            <w:noProof/>
            <w:webHidden/>
          </w:rPr>
          <w:fldChar w:fldCharType="separate"/>
        </w:r>
        <w:r w:rsidR="002439B9">
          <w:rPr>
            <w:noProof/>
            <w:webHidden/>
          </w:rPr>
          <w:t>58</w:t>
        </w:r>
        <w:r w:rsidR="004242C0">
          <w:rPr>
            <w:noProof/>
            <w:webHidden/>
          </w:rPr>
          <w:fldChar w:fldCharType="end"/>
        </w:r>
      </w:hyperlink>
    </w:p>
    <w:p w14:paraId="69C406AB" w14:textId="693C5683" w:rsidR="004242C0" w:rsidRDefault="00B1628C">
      <w:pPr>
        <w:pStyle w:val="Indicedellefigure"/>
        <w:tabs>
          <w:tab w:val="right" w:leader="dot" w:pos="9061"/>
        </w:tabs>
        <w:rPr>
          <w:rFonts w:asciiTheme="minorHAnsi" w:hAnsiTheme="minorHAnsi"/>
          <w:noProof/>
          <w:sz w:val="22"/>
          <w:szCs w:val="22"/>
          <w:lang w:eastAsia="it-IT"/>
        </w:rPr>
      </w:pPr>
      <w:hyperlink w:anchor="_Toc91081488" w:history="1">
        <w:r w:rsidR="004242C0" w:rsidRPr="00F76988">
          <w:rPr>
            <w:rStyle w:val="Collegamentoipertestuale"/>
            <w:noProof/>
          </w:rPr>
          <w:t>Figura 19. Flusso di raccolta annuale delle 402 campagne di equity crowdfunding chiuse con successo. Valori in € milioni. L’anno di riferimento è quello di chiusura della campagna</w:t>
        </w:r>
        <w:r w:rsidR="004242C0">
          <w:rPr>
            <w:noProof/>
            <w:webHidden/>
          </w:rPr>
          <w:tab/>
        </w:r>
        <w:r w:rsidR="004242C0">
          <w:rPr>
            <w:noProof/>
            <w:webHidden/>
          </w:rPr>
          <w:fldChar w:fldCharType="begin"/>
        </w:r>
        <w:r w:rsidR="004242C0">
          <w:rPr>
            <w:noProof/>
            <w:webHidden/>
          </w:rPr>
          <w:instrText xml:space="preserve"> PAGEREF _Toc91081488 \h </w:instrText>
        </w:r>
        <w:r w:rsidR="004242C0">
          <w:rPr>
            <w:noProof/>
            <w:webHidden/>
          </w:rPr>
        </w:r>
        <w:r w:rsidR="004242C0">
          <w:rPr>
            <w:noProof/>
            <w:webHidden/>
          </w:rPr>
          <w:fldChar w:fldCharType="separate"/>
        </w:r>
        <w:r w:rsidR="002439B9">
          <w:rPr>
            <w:noProof/>
            <w:webHidden/>
          </w:rPr>
          <w:t>58</w:t>
        </w:r>
        <w:r w:rsidR="004242C0">
          <w:rPr>
            <w:noProof/>
            <w:webHidden/>
          </w:rPr>
          <w:fldChar w:fldCharType="end"/>
        </w:r>
      </w:hyperlink>
    </w:p>
    <w:p w14:paraId="2040B227" w14:textId="202AD27F" w:rsidR="004242C0" w:rsidRDefault="00B1628C">
      <w:pPr>
        <w:pStyle w:val="Indicedellefigure"/>
        <w:tabs>
          <w:tab w:val="right" w:leader="dot" w:pos="9061"/>
        </w:tabs>
        <w:rPr>
          <w:rFonts w:asciiTheme="minorHAnsi" w:hAnsiTheme="minorHAnsi"/>
          <w:noProof/>
          <w:sz w:val="22"/>
          <w:szCs w:val="22"/>
          <w:lang w:eastAsia="it-IT"/>
        </w:rPr>
      </w:pPr>
      <w:hyperlink w:anchor="_Toc91081489" w:history="1">
        <w:r w:rsidR="004242C0" w:rsidRPr="00F76988">
          <w:rPr>
            <w:rStyle w:val="Collegamentoipertestuale"/>
            <w:noProof/>
          </w:rPr>
          <w:t>Figura 20. Tipologia delle 177 imprese protagoniste di una campagna di crowdfunding su portali autorizzati da Consob negli ultimi 12 mesi fino al 30/06/2020</w:t>
        </w:r>
        <w:r w:rsidR="004242C0">
          <w:rPr>
            <w:noProof/>
            <w:webHidden/>
          </w:rPr>
          <w:tab/>
        </w:r>
        <w:r w:rsidR="004242C0">
          <w:rPr>
            <w:noProof/>
            <w:webHidden/>
          </w:rPr>
          <w:fldChar w:fldCharType="begin"/>
        </w:r>
        <w:r w:rsidR="004242C0">
          <w:rPr>
            <w:noProof/>
            <w:webHidden/>
          </w:rPr>
          <w:instrText xml:space="preserve"> PAGEREF _Toc91081489 \h </w:instrText>
        </w:r>
        <w:r w:rsidR="004242C0">
          <w:rPr>
            <w:noProof/>
            <w:webHidden/>
          </w:rPr>
        </w:r>
        <w:r w:rsidR="004242C0">
          <w:rPr>
            <w:noProof/>
            <w:webHidden/>
          </w:rPr>
          <w:fldChar w:fldCharType="separate"/>
        </w:r>
        <w:r w:rsidR="002439B9">
          <w:rPr>
            <w:noProof/>
            <w:webHidden/>
          </w:rPr>
          <w:t>59</w:t>
        </w:r>
        <w:r w:rsidR="004242C0">
          <w:rPr>
            <w:noProof/>
            <w:webHidden/>
          </w:rPr>
          <w:fldChar w:fldCharType="end"/>
        </w:r>
      </w:hyperlink>
    </w:p>
    <w:p w14:paraId="6CFF4873" w14:textId="381349D6" w:rsidR="004242C0" w:rsidRDefault="00B1628C">
      <w:pPr>
        <w:pStyle w:val="Indicedellefigure"/>
        <w:tabs>
          <w:tab w:val="right" w:leader="dot" w:pos="9061"/>
        </w:tabs>
        <w:rPr>
          <w:rFonts w:asciiTheme="minorHAnsi" w:hAnsiTheme="minorHAnsi"/>
          <w:noProof/>
          <w:sz w:val="22"/>
          <w:szCs w:val="22"/>
          <w:lang w:eastAsia="it-IT"/>
        </w:rPr>
      </w:pPr>
      <w:hyperlink w:anchor="_Toc91081490" w:history="1">
        <w:r w:rsidR="004242C0" w:rsidRPr="00F76988">
          <w:rPr>
            <w:rStyle w:val="Collegamentoipertestuale"/>
            <w:noProof/>
          </w:rPr>
          <w:t>Figura 21. Distribuzione geografica delle imprese protagoniste di una campagna di equity crowdfunding su portali autorizzati da Consob negli ultimi 12 mesi fino al 30/06/2020</w:t>
        </w:r>
        <w:r w:rsidR="004242C0">
          <w:rPr>
            <w:noProof/>
            <w:webHidden/>
          </w:rPr>
          <w:tab/>
        </w:r>
        <w:r w:rsidR="004242C0">
          <w:rPr>
            <w:noProof/>
            <w:webHidden/>
          </w:rPr>
          <w:fldChar w:fldCharType="begin"/>
        </w:r>
        <w:r w:rsidR="004242C0">
          <w:rPr>
            <w:noProof/>
            <w:webHidden/>
          </w:rPr>
          <w:instrText xml:space="preserve"> PAGEREF _Toc91081490 \h </w:instrText>
        </w:r>
        <w:r w:rsidR="004242C0">
          <w:rPr>
            <w:noProof/>
            <w:webHidden/>
          </w:rPr>
        </w:r>
        <w:r w:rsidR="004242C0">
          <w:rPr>
            <w:noProof/>
            <w:webHidden/>
          </w:rPr>
          <w:fldChar w:fldCharType="separate"/>
        </w:r>
        <w:r w:rsidR="002439B9">
          <w:rPr>
            <w:noProof/>
            <w:webHidden/>
          </w:rPr>
          <w:t>59</w:t>
        </w:r>
        <w:r w:rsidR="004242C0">
          <w:rPr>
            <w:noProof/>
            <w:webHidden/>
          </w:rPr>
          <w:fldChar w:fldCharType="end"/>
        </w:r>
      </w:hyperlink>
    </w:p>
    <w:p w14:paraId="188B4C28" w14:textId="60ECAF76" w:rsidR="004242C0" w:rsidRDefault="00B1628C">
      <w:pPr>
        <w:pStyle w:val="Indicedellefigure"/>
        <w:tabs>
          <w:tab w:val="right" w:leader="dot" w:pos="9061"/>
        </w:tabs>
        <w:rPr>
          <w:rFonts w:asciiTheme="minorHAnsi" w:hAnsiTheme="minorHAnsi"/>
          <w:noProof/>
          <w:sz w:val="22"/>
          <w:szCs w:val="22"/>
          <w:lang w:eastAsia="it-IT"/>
        </w:rPr>
      </w:pPr>
      <w:hyperlink w:anchor="_Toc91081491" w:history="1">
        <w:r w:rsidR="004242C0" w:rsidRPr="00F76988">
          <w:rPr>
            <w:rStyle w:val="Collegamentoipertestuale"/>
            <w:noProof/>
          </w:rPr>
          <w:t>Figura 22. Classificazione ATECO delle imprese protagoniste di una campagna di equity crowdfunding su portali autorizzati da Consob negli ultimi 12 mesi fino al 30/06/2020</w:t>
        </w:r>
        <w:r w:rsidR="004242C0">
          <w:rPr>
            <w:noProof/>
            <w:webHidden/>
          </w:rPr>
          <w:tab/>
        </w:r>
        <w:r w:rsidR="004242C0">
          <w:rPr>
            <w:noProof/>
            <w:webHidden/>
          </w:rPr>
          <w:fldChar w:fldCharType="begin"/>
        </w:r>
        <w:r w:rsidR="004242C0">
          <w:rPr>
            <w:noProof/>
            <w:webHidden/>
          </w:rPr>
          <w:instrText xml:space="preserve"> PAGEREF _Toc91081491 \h </w:instrText>
        </w:r>
        <w:r w:rsidR="004242C0">
          <w:rPr>
            <w:noProof/>
            <w:webHidden/>
          </w:rPr>
        </w:r>
        <w:r w:rsidR="004242C0">
          <w:rPr>
            <w:noProof/>
            <w:webHidden/>
          </w:rPr>
          <w:fldChar w:fldCharType="separate"/>
        </w:r>
        <w:r w:rsidR="002439B9">
          <w:rPr>
            <w:noProof/>
            <w:webHidden/>
          </w:rPr>
          <w:t>60</w:t>
        </w:r>
        <w:r w:rsidR="004242C0">
          <w:rPr>
            <w:noProof/>
            <w:webHidden/>
          </w:rPr>
          <w:fldChar w:fldCharType="end"/>
        </w:r>
      </w:hyperlink>
    </w:p>
    <w:p w14:paraId="32F54F0F" w14:textId="69A23072" w:rsidR="004242C0" w:rsidRDefault="00B1628C">
      <w:pPr>
        <w:pStyle w:val="Indicedellefigure"/>
        <w:tabs>
          <w:tab w:val="right" w:leader="dot" w:pos="9061"/>
        </w:tabs>
        <w:rPr>
          <w:rFonts w:asciiTheme="minorHAnsi" w:hAnsiTheme="minorHAnsi"/>
          <w:noProof/>
          <w:sz w:val="22"/>
          <w:szCs w:val="22"/>
          <w:lang w:eastAsia="it-IT"/>
        </w:rPr>
      </w:pPr>
      <w:hyperlink w:anchor="_Toc91081492" w:history="1">
        <w:r w:rsidR="004242C0" w:rsidRPr="00F76988">
          <w:rPr>
            <w:rStyle w:val="Collegamentoipertestuale"/>
            <w:noProof/>
          </w:rPr>
          <w:t>Figura 23. Obiettivi di investimento citati dalle imprese protagoniste di una campagna di equity crowdfunding su portali autorizzati da Consob fino al 30/06/2020</w:t>
        </w:r>
        <w:r w:rsidR="004242C0">
          <w:rPr>
            <w:noProof/>
            <w:webHidden/>
          </w:rPr>
          <w:tab/>
        </w:r>
        <w:r w:rsidR="004242C0">
          <w:rPr>
            <w:noProof/>
            <w:webHidden/>
          </w:rPr>
          <w:fldChar w:fldCharType="begin"/>
        </w:r>
        <w:r w:rsidR="004242C0">
          <w:rPr>
            <w:noProof/>
            <w:webHidden/>
          </w:rPr>
          <w:instrText xml:space="preserve"> PAGEREF _Toc91081492 \h </w:instrText>
        </w:r>
        <w:r w:rsidR="004242C0">
          <w:rPr>
            <w:noProof/>
            <w:webHidden/>
          </w:rPr>
        </w:r>
        <w:r w:rsidR="004242C0">
          <w:rPr>
            <w:noProof/>
            <w:webHidden/>
          </w:rPr>
          <w:fldChar w:fldCharType="separate"/>
        </w:r>
        <w:r w:rsidR="002439B9">
          <w:rPr>
            <w:noProof/>
            <w:webHidden/>
          </w:rPr>
          <w:t>60</w:t>
        </w:r>
        <w:r w:rsidR="004242C0">
          <w:rPr>
            <w:noProof/>
            <w:webHidden/>
          </w:rPr>
          <w:fldChar w:fldCharType="end"/>
        </w:r>
      </w:hyperlink>
    </w:p>
    <w:p w14:paraId="07E6B297" w14:textId="6501493B" w:rsidR="004242C0" w:rsidRDefault="00B1628C">
      <w:pPr>
        <w:pStyle w:val="Indicedellefigure"/>
        <w:tabs>
          <w:tab w:val="right" w:leader="dot" w:pos="9061"/>
        </w:tabs>
        <w:rPr>
          <w:rFonts w:asciiTheme="minorHAnsi" w:hAnsiTheme="minorHAnsi"/>
          <w:noProof/>
          <w:sz w:val="22"/>
          <w:szCs w:val="22"/>
          <w:lang w:eastAsia="it-IT"/>
        </w:rPr>
      </w:pPr>
      <w:hyperlink w:anchor="_Toc91081493" w:history="1">
        <w:r w:rsidR="004242C0" w:rsidRPr="00F76988">
          <w:rPr>
            <w:rStyle w:val="Collegamentoipertestuale"/>
            <w:noProof/>
          </w:rPr>
          <w:t>Figura 24. Evoluzione del numero di nuove iscrizioni e numero di imprese fuoriuscite dal registro, 2013-2020</w:t>
        </w:r>
        <w:r w:rsidR="004242C0">
          <w:rPr>
            <w:noProof/>
            <w:webHidden/>
          </w:rPr>
          <w:tab/>
        </w:r>
        <w:r w:rsidR="004242C0">
          <w:rPr>
            <w:noProof/>
            <w:webHidden/>
          </w:rPr>
          <w:fldChar w:fldCharType="begin"/>
        </w:r>
        <w:r w:rsidR="004242C0">
          <w:rPr>
            <w:noProof/>
            <w:webHidden/>
          </w:rPr>
          <w:instrText xml:space="preserve"> PAGEREF _Toc91081493 \h </w:instrText>
        </w:r>
        <w:r w:rsidR="004242C0">
          <w:rPr>
            <w:noProof/>
            <w:webHidden/>
          </w:rPr>
        </w:r>
        <w:r w:rsidR="004242C0">
          <w:rPr>
            <w:noProof/>
            <w:webHidden/>
          </w:rPr>
          <w:fldChar w:fldCharType="separate"/>
        </w:r>
        <w:r w:rsidR="002439B9">
          <w:rPr>
            <w:noProof/>
            <w:webHidden/>
          </w:rPr>
          <w:t>64</w:t>
        </w:r>
        <w:r w:rsidR="004242C0">
          <w:rPr>
            <w:noProof/>
            <w:webHidden/>
          </w:rPr>
          <w:fldChar w:fldCharType="end"/>
        </w:r>
      </w:hyperlink>
    </w:p>
    <w:p w14:paraId="385E10EA" w14:textId="64D7CE10" w:rsidR="004242C0" w:rsidRDefault="00B1628C">
      <w:pPr>
        <w:pStyle w:val="Indicedellefigure"/>
        <w:tabs>
          <w:tab w:val="right" w:leader="dot" w:pos="9061"/>
        </w:tabs>
        <w:rPr>
          <w:rFonts w:asciiTheme="minorHAnsi" w:hAnsiTheme="minorHAnsi"/>
          <w:noProof/>
          <w:sz w:val="22"/>
          <w:szCs w:val="22"/>
          <w:lang w:eastAsia="it-IT"/>
        </w:rPr>
      </w:pPr>
      <w:hyperlink w:anchor="_Toc91081494" w:history="1">
        <w:r w:rsidR="004242C0" w:rsidRPr="00F76988">
          <w:rPr>
            <w:rStyle w:val="Collegamentoipertestuale"/>
            <w:noProof/>
          </w:rPr>
          <w:t>Figura 25. Distribuzione del numero di startup iscritte al registro che risultavano attive a febbraio 2021, livello regionale</w:t>
        </w:r>
        <w:r w:rsidR="004242C0">
          <w:rPr>
            <w:noProof/>
            <w:webHidden/>
          </w:rPr>
          <w:tab/>
        </w:r>
        <w:r w:rsidR="004242C0">
          <w:rPr>
            <w:noProof/>
            <w:webHidden/>
          </w:rPr>
          <w:fldChar w:fldCharType="begin"/>
        </w:r>
        <w:r w:rsidR="004242C0">
          <w:rPr>
            <w:noProof/>
            <w:webHidden/>
          </w:rPr>
          <w:instrText xml:space="preserve"> PAGEREF _Toc91081494 \h </w:instrText>
        </w:r>
        <w:r w:rsidR="004242C0">
          <w:rPr>
            <w:noProof/>
            <w:webHidden/>
          </w:rPr>
        </w:r>
        <w:r w:rsidR="004242C0">
          <w:rPr>
            <w:noProof/>
            <w:webHidden/>
          </w:rPr>
          <w:fldChar w:fldCharType="separate"/>
        </w:r>
        <w:r w:rsidR="002439B9">
          <w:rPr>
            <w:noProof/>
            <w:webHidden/>
          </w:rPr>
          <w:t>64</w:t>
        </w:r>
        <w:r w:rsidR="004242C0">
          <w:rPr>
            <w:noProof/>
            <w:webHidden/>
          </w:rPr>
          <w:fldChar w:fldCharType="end"/>
        </w:r>
      </w:hyperlink>
    </w:p>
    <w:p w14:paraId="0BBBB47B" w14:textId="66C6EB5F" w:rsidR="004242C0" w:rsidRDefault="00B1628C">
      <w:pPr>
        <w:pStyle w:val="Indicedellefigure"/>
        <w:tabs>
          <w:tab w:val="right" w:leader="dot" w:pos="9061"/>
        </w:tabs>
        <w:rPr>
          <w:rFonts w:asciiTheme="minorHAnsi" w:hAnsiTheme="minorHAnsi"/>
          <w:noProof/>
          <w:sz w:val="22"/>
          <w:szCs w:val="22"/>
          <w:lang w:eastAsia="it-IT"/>
        </w:rPr>
      </w:pPr>
      <w:hyperlink w:anchor="_Toc91081495" w:history="1">
        <w:r w:rsidR="004242C0" w:rsidRPr="00F76988">
          <w:rPr>
            <w:rStyle w:val="Collegamentoipertestuale"/>
            <w:noProof/>
          </w:rPr>
          <w:t>Figura 26. Distribuzione delle startup lombarde per stato di attività</w:t>
        </w:r>
        <w:r w:rsidR="004242C0">
          <w:rPr>
            <w:noProof/>
            <w:webHidden/>
          </w:rPr>
          <w:tab/>
        </w:r>
        <w:r w:rsidR="004242C0">
          <w:rPr>
            <w:noProof/>
            <w:webHidden/>
          </w:rPr>
          <w:fldChar w:fldCharType="begin"/>
        </w:r>
        <w:r w:rsidR="004242C0">
          <w:rPr>
            <w:noProof/>
            <w:webHidden/>
          </w:rPr>
          <w:instrText xml:space="preserve"> PAGEREF _Toc91081495 \h </w:instrText>
        </w:r>
        <w:r w:rsidR="004242C0">
          <w:rPr>
            <w:noProof/>
            <w:webHidden/>
          </w:rPr>
        </w:r>
        <w:r w:rsidR="004242C0">
          <w:rPr>
            <w:noProof/>
            <w:webHidden/>
          </w:rPr>
          <w:fldChar w:fldCharType="separate"/>
        </w:r>
        <w:r w:rsidR="002439B9">
          <w:rPr>
            <w:noProof/>
            <w:webHidden/>
          </w:rPr>
          <w:t>66</w:t>
        </w:r>
        <w:r w:rsidR="004242C0">
          <w:rPr>
            <w:noProof/>
            <w:webHidden/>
          </w:rPr>
          <w:fldChar w:fldCharType="end"/>
        </w:r>
      </w:hyperlink>
    </w:p>
    <w:p w14:paraId="3B07937F" w14:textId="5E1BF5C2" w:rsidR="004242C0" w:rsidRDefault="00B1628C">
      <w:pPr>
        <w:pStyle w:val="Indicedellefigure"/>
        <w:tabs>
          <w:tab w:val="right" w:leader="dot" w:pos="9061"/>
        </w:tabs>
        <w:rPr>
          <w:rFonts w:asciiTheme="minorHAnsi" w:hAnsiTheme="minorHAnsi"/>
          <w:noProof/>
          <w:sz w:val="22"/>
          <w:szCs w:val="22"/>
          <w:lang w:eastAsia="it-IT"/>
        </w:rPr>
      </w:pPr>
      <w:hyperlink w:anchor="_Toc91081496" w:history="1">
        <w:r w:rsidR="004242C0" w:rsidRPr="00F76988">
          <w:rPr>
            <w:rStyle w:val="Collegamentoipertestuale"/>
            <w:noProof/>
          </w:rPr>
          <w:t>Figura 27. Tasso di mortalità delle startup innovative per regione</w:t>
        </w:r>
        <w:r w:rsidR="004242C0">
          <w:rPr>
            <w:noProof/>
            <w:webHidden/>
          </w:rPr>
          <w:tab/>
        </w:r>
        <w:r w:rsidR="004242C0">
          <w:rPr>
            <w:noProof/>
            <w:webHidden/>
          </w:rPr>
          <w:fldChar w:fldCharType="begin"/>
        </w:r>
        <w:r w:rsidR="004242C0">
          <w:rPr>
            <w:noProof/>
            <w:webHidden/>
          </w:rPr>
          <w:instrText xml:space="preserve"> PAGEREF _Toc91081496 \h </w:instrText>
        </w:r>
        <w:r w:rsidR="004242C0">
          <w:rPr>
            <w:noProof/>
            <w:webHidden/>
          </w:rPr>
        </w:r>
        <w:r w:rsidR="004242C0">
          <w:rPr>
            <w:noProof/>
            <w:webHidden/>
          </w:rPr>
          <w:fldChar w:fldCharType="separate"/>
        </w:r>
        <w:r w:rsidR="002439B9">
          <w:rPr>
            <w:noProof/>
            <w:webHidden/>
          </w:rPr>
          <w:t>66</w:t>
        </w:r>
        <w:r w:rsidR="004242C0">
          <w:rPr>
            <w:noProof/>
            <w:webHidden/>
          </w:rPr>
          <w:fldChar w:fldCharType="end"/>
        </w:r>
      </w:hyperlink>
    </w:p>
    <w:p w14:paraId="2CB24D8C" w14:textId="0951DE82" w:rsidR="004242C0" w:rsidRDefault="00B1628C">
      <w:pPr>
        <w:pStyle w:val="Indicedellefigure"/>
        <w:tabs>
          <w:tab w:val="right" w:leader="dot" w:pos="9061"/>
        </w:tabs>
        <w:rPr>
          <w:rFonts w:asciiTheme="minorHAnsi" w:hAnsiTheme="minorHAnsi"/>
          <w:noProof/>
          <w:sz w:val="22"/>
          <w:szCs w:val="22"/>
          <w:lang w:eastAsia="it-IT"/>
        </w:rPr>
      </w:pPr>
      <w:hyperlink w:anchor="_Toc91081497" w:history="1">
        <w:r w:rsidR="004242C0" w:rsidRPr="00F76988">
          <w:rPr>
            <w:rStyle w:val="Collegamentoipertestuale"/>
            <w:noProof/>
          </w:rPr>
          <w:t>Figura 28. Distribuzione per settore di attività delle imprese attive iscritte alla sezione speciale delle startup innovative a febbraio 2021</w:t>
        </w:r>
        <w:r w:rsidR="004242C0">
          <w:rPr>
            <w:noProof/>
            <w:webHidden/>
          </w:rPr>
          <w:tab/>
        </w:r>
        <w:r w:rsidR="004242C0">
          <w:rPr>
            <w:noProof/>
            <w:webHidden/>
          </w:rPr>
          <w:fldChar w:fldCharType="begin"/>
        </w:r>
        <w:r w:rsidR="004242C0">
          <w:rPr>
            <w:noProof/>
            <w:webHidden/>
          </w:rPr>
          <w:instrText xml:space="preserve"> PAGEREF _Toc91081497 \h </w:instrText>
        </w:r>
        <w:r w:rsidR="004242C0">
          <w:rPr>
            <w:noProof/>
            <w:webHidden/>
          </w:rPr>
        </w:r>
        <w:r w:rsidR="004242C0">
          <w:rPr>
            <w:noProof/>
            <w:webHidden/>
          </w:rPr>
          <w:fldChar w:fldCharType="separate"/>
        </w:r>
        <w:r w:rsidR="002439B9">
          <w:rPr>
            <w:noProof/>
            <w:webHidden/>
          </w:rPr>
          <w:t>67</w:t>
        </w:r>
        <w:r w:rsidR="004242C0">
          <w:rPr>
            <w:noProof/>
            <w:webHidden/>
          </w:rPr>
          <w:fldChar w:fldCharType="end"/>
        </w:r>
      </w:hyperlink>
    </w:p>
    <w:p w14:paraId="4F55C89A" w14:textId="2380308B" w:rsidR="004242C0" w:rsidRDefault="00B1628C">
      <w:pPr>
        <w:pStyle w:val="Indicedellefigure"/>
        <w:tabs>
          <w:tab w:val="right" w:leader="dot" w:pos="9061"/>
        </w:tabs>
        <w:rPr>
          <w:rFonts w:asciiTheme="minorHAnsi" w:hAnsiTheme="minorHAnsi"/>
          <w:noProof/>
          <w:sz w:val="22"/>
          <w:szCs w:val="22"/>
          <w:lang w:eastAsia="it-IT"/>
        </w:rPr>
      </w:pPr>
      <w:hyperlink w:anchor="_Toc91081498" w:history="1">
        <w:r w:rsidR="004242C0" w:rsidRPr="00F76988">
          <w:rPr>
            <w:rStyle w:val="Collegamentoipertestuale"/>
            <w:noProof/>
          </w:rPr>
          <w:t>Figura 29. Caratteristiche delle imprese iscritte nel registro: giovani e donne</w:t>
        </w:r>
        <w:r w:rsidR="004242C0">
          <w:rPr>
            <w:noProof/>
            <w:webHidden/>
          </w:rPr>
          <w:tab/>
        </w:r>
        <w:r w:rsidR="004242C0">
          <w:rPr>
            <w:noProof/>
            <w:webHidden/>
          </w:rPr>
          <w:fldChar w:fldCharType="begin"/>
        </w:r>
        <w:r w:rsidR="004242C0">
          <w:rPr>
            <w:noProof/>
            <w:webHidden/>
          </w:rPr>
          <w:instrText xml:space="preserve"> PAGEREF _Toc91081498 \h </w:instrText>
        </w:r>
        <w:r w:rsidR="004242C0">
          <w:rPr>
            <w:noProof/>
            <w:webHidden/>
          </w:rPr>
        </w:r>
        <w:r w:rsidR="004242C0">
          <w:rPr>
            <w:noProof/>
            <w:webHidden/>
          </w:rPr>
          <w:fldChar w:fldCharType="separate"/>
        </w:r>
        <w:r w:rsidR="002439B9">
          <w:rPr>
            <w:noProof/>
            <w:webHidden/>
          </w:rPr>
          <w:t>68</w:t>
        </w:r>
        <w:r w:rsidR="004242C0">
          <w:rPr>
            <w:noProof/>
            <w:webHidden/>
          </w:rPr>
          <w:fldChar w:fldCharType="end"/>
        </w:r>
      </w:hyperlink>
    </w:p>
    <w:p w14:paraId="28FDA67F" w14:textId="4728F2F8" w:rsidR="004242C0" w:rsidRDefault="00B1628C">
      <w:pPr>
        <w:pStyle w:val="Indicedellefigure"/>
        <w:tabs>
          <w:tab w:val="right" w:leader="dot" w:pos="9061"/>
        </w:tabs>
        <w:rPr>
          <w:rFonts w:asciiTheme="minorHAnsi" w:hAnsiTheme="minorHAnsi"/>
          <w:noProof/>
          <w:sz w:val="22"/>
          <w:szCs w:val="22"/>
          <w:lang w:eastAsia="it-IT"/>
        </w:rPr>
      </w:pPr>
      <w:hyperlink w:anchor="_Toc91081499" w:history="1">
        <w:r w:rsidR="004242C0" w:rsidRPr="00F76988">
          <w:rPr>
            <w:rStyle w:val="Collegamentoipertestuale"/>
            <w:noProof/>
          </w:rPr>
          <w:t>Figura 30. Caratteristiche delle imprese iscritte nel registro: dipendenti, valore della produzione, capitale sociale, anni di attività</w:t>
        </w:r>
        <w:r w:rsidR="004242C0">
          <w:rPr>
            <w:noProof/>
            <w:webHidden/>
          </w:rPr>
          <w:tab/>
        </w:r>
        <w:r w:rsidR="004242C0">
          <w:rPr>
            <w:noProof/>
            <w:webHidden/>
          </w:rPr>
          <w:fldChar w:fldCharType="begin"/>
        </w:r>
        <w:r w:rsidR="004242C0">
          <w:rPr>
            <w:noProof/>
            <w:webHidden/>
          </w:rPr>
          <w:instrText xml:space="preserve"> PAGEREF _Toc91081499 \h </w:instrText>
        </w:r>
        <w:r w:rsidR="004242C0">
          <w:rPr>
            <w:noProof/>
            <w:webHidden/>
          </w:rPr>
        </w:r>
        <w:r w:rsidR="004242C0">
          <w:rPr>
            <w:noProof/>
            <w:webHidden/>
          </w:rPr>
          <w:fldChar w:fldCharType="separate"/>
        </w:r>
        <w:r w:rsidR="002439B9">
          <w:rPr>
            <w:noProof/>
            <w:webHidden/>
          </w:rPr>
          <w:t>69</w:t>
        </w:r>
        <w:r w:rsidR="004242C0">
          <w:rPr>
            <w:noProof/>
            <w:webHidden/>
          </w:rPr>
          <w:fldChar w:fldCharType="end"/>
        </w:r>
      </w:hyperlink>
    </w:p>
    <w:p w14:paraId="25E914DB" w14:textId="106FBD92" w:rsidR="004242C0" w:rsidRDefault="00B1628C">
      <w:pPr>
        <w:pStyle w:val="Indicedellefigure"/>
        <w:tabs>
          <w:tab w:val="right" w:leader="dot" w:pos="9061"/>
        </w:tabs>
        <w:rPr>
          <w:rFonts w:asciiTheme="minorHAnsi" w:hAnsiTheme="minorHAnsi"/>
          <w:noProof/>
          <w:sz w:val="22"/>
          <w:szCs w:val="22"/>
          <w:lang w:eastAsia="it-IT"/>
        </w:rPr>
      </w:pPr>
      <w:hyperlink w:anchor="_Toc91081500" w:history="1">
        <w:r w:rsidR="004242C0" w:rsidRPr="00F76988">
          <w:rPr>
            <w:rStyle w:val="Collegamentoipertestuale"/>
            <w:noProof/>
          </w:rPr>
          <w:t>Figura 31. Distribuzione per provincia delle attività avviate e ancora attive</w:t>
        </w:r>
        <w:r w:rsidR="004242C0">
          <w:rPr>
            <w:noProof/>
            <w:webHidden/>
          </w:rPr>
          <w:tab/>
        </w:r>
        <w:r w:rsidR="004242C0">
          <w:rPr>
            <w:noProof/>
            <w:webHidden/>
          </w:rPr>
          <w:fldChar w:fldCharType="begin"/>
        </w:r>
        <w:r w:rsidR="004242C0">
          <w:rPr>
            <w:noProof/>
            <w:webHidden/>
          </w:rPr>
          <w:instrText xml:space="preserve"> PAGEREF _Toc91081500 \h </w:instrText>
        </w:r>
        <w:r w:rsidR="004242C0">
          <w:rPr>
            <w:noProof/>
            <w:webHidden/>
          </w:rPr>
        </w:r>
        <w:r w:rsidR="004242C0">
          <w:rPr>
            <w:noProof/>
            <w:webHidden/>
          </w:rPr>
          <w:fldChar w:fldCharType="separate"/>
        </w:r>
        <w:r w:rsidR="002439B9">
          <w:rPr>
            <w:noProof/>
            <w:webHidden/>
          </w:rPr>
          <w:t>83</w:t>
        </w:r>
        <w:r w:rsidR="004242C0">
          <w:rPr>
            <w:noProof/>
            <w:webHidden/>
          </w:rPr>
          <w:fldChar w:fldCharType="end"/>
        </w:r>
      </w:hyperlink>
    </w:p>
    <w:p w14:paraId="79D1CA4E" w14:textId="003D9607" w:rsidR="004242C0" w:rsidRDefault="00B1628C">
      <w:pPr>
        <w:pStyle w:val="Indicedellefigure"/>
        <w:tabs>
          <w:tab w:val="right" w:leader="dot" w:pos="9061"/>
        </w:tabs>
        <w:rPr>
          <w:rFonts w:asciiTheme="minorHAnsi" w:hAnsiTheme="minorHAnsi"/>
          <w:noProof/>
          <w:sz w:val="22"/>
          <w:szCs w:val="22"/>
          <w:lang w:eastAsia="it-IT"/>
        </w:rPr>
      </w:pPr>
      <w:hyperlink w:anchor="_Toc91081501" w:history="1">
        <w:r w:rsidR="004242C0" w:rsidRPr="00F76988">
          <w:rPr>
            <w:rStyle w:val="Collegamentoipertestuale"/>
            <w:noProof/>
          </w:rPr>
          <w:t>Figura 32. Settore di attività delle imprese e attività autonome avviate e ancora attive</w:t>
        </w:r>
        <w:r w:rsidR="004242C0">
          <w:rPr>
            <w:noProof/>
            <w:webHidden/>
          </w:rPr>
          <w:tab/>
        </w:r>
        <w:r w:rsidR="004242C0">
          <w:rPr>
            <w:noProof/>
            <w:webHidden/>
          </w:rPr>
          <w:fldChar w:fldCharType="begin"/>
        </w:r>
        <w:r w:rsidR="004242C0">
          <w:rPr>
            <w:noProof/>
            <w:webHidden/>
          </w:rPr>
          <w:instrText xml:space="preserve"> PAGEREF _Toc91081501 \h </w:instrText>
        </w:r>
        <w:r w:rsidR="004242C0">
          <w:rPr>
            <w:noProof/>
            <w:webHidden/>
          </w:rPr>
        </w:r>
        <w:r w:rsidR="004242C0">
          <w:rPr>
            <w:noProof/>
            <w:webHidden/>
          </w:rPr>
          <w:fldChar w:fldCharType="separate"/>
        </w:r>
        <w:r w:rsidR="002439B9">
          <w:rPr>
            <w:noProof/>
            <w:webHidden/>
          </w:rPr>
          <w:t>83</w:t>
        </w:r>
        <w:r w:rsidR="004242C0">
          <w:rPr>
            <w:noProof/>
            <w:webHidden/>
          </w:rPr>
          <w:fldChar w:fldCharType="end"/>
        </w:r>
      </w:hyperlink>
    </w:p>
    <w:p w14:paraId="004B0DBF" w14:textId="0C3A90C5" w:rsidR="004242C0" w:rsidRDefault="00B1628C">
      <w:pPr>
        <w:pStyle w:val="Indicedellefigure"/>
        <w:tabs>
          <w:tab w:val="right" w:leader="dot" w:pos="9061"/>
        </w:tabs>
        <w:rPr>
          <w:rFonts w:asciiTheme="minorHAnsi" w:hAnsiTheme="minorHAnsi"/>
          <w:noProof/>
          <w:sz w:val="22"/>
          <w:szCs w:val="22"/>
          <w:lang w:eastAsia="it-IT"/>
        </w:rPr>
      </w:pPr>
      <w:hyperlink w:anchor="_Toc91081502" w:history="1">
        <w:r w:rsidR="004242C0" w:rsidRPr="00F76988">
          <w:rPr>
            <w:rStyle w:val="Collegamentoipertestuale"/>
            <w:noProof/>
          </w:rPr>
          <w:t>Figura 33. Evoluzione dell’attività di investimento (Venture Capital e Private Equity)</w:t>
        </w:r>
        <w:r w:rsidR="004242C0">
          <w:rPr>
            <w:noProof/>
            <w:webHidden/>
          </w:rPr>
          <w:tab/>
        </w:r>
        <w:r w:rsidR="004242C0">
          <w:rPr>
            <w:noProof/>
            <w:webHidden/>
          </w:rPr>
          <w:fldChar w:fldCharType="begin"/>
        </w:r>
        <w:r w:rsidR="004242C0">
          <w:rPr>
            <w:noProof/>
            <w:webHidden/>
          </w:rPr>
          <w:instrText xml:space="preserve"> PAGEREF _Toc91081502 \h </w:instrText>
        </w:r>
        <w:r w:rsidR="004242C0">
          <w:rPr>
            <w:noProof/>
            <w:webHidden/>
          </w:rPr>
        </w:r>
        <w:r w:rsidR="004242C0">
          <w:rPr>
            <w:noProof/>
            <w:webHidden/>
          </w:rPr>
          <w:fldChar w:fldCharType="separate"/>
        </w:r>
        <w:r w:rsidR="002439B9">
          <w:rPr>
            <w:noProof/>
            <w:webHidden/>
          </w:rPr>
          <w:t>105</w:t>
        </w:r>
        <w:r w:rsidR="004242C0">
          <w:rPr>
            <w:noProof/>
            <w:webHidden/>
          </w:rPr>
          <w:fldChar w:fldCharType="end"/>
        </w:r>
      </w:hyperlink>
    </w:p>
    <w:p w14:paraId="5A5B1228" w14:textId="02DE8B6A" w:rsidR="004242C0" w:rsidRDefault="00B1628C">
      <w:pPr>
        <w:pStyle w:val="Indicedellefigure"/>
        <w:tabs>
          <w:tab w:val="right" w:leader="dot" w:pos="9061"/>
        </w:tabs>
        <w:rPr>
          <w:rFonts w:asciiTheme="minorHAnsi" w:hAnsiTheme="minorHAnsi"/>
          <w:noProof/>
          <w:sz w:val="22"/>
          <w:szCs w:val="22"/>
          <w:lang w:eastAsia="it-IT"/>
        </w:rPr>
      </w:pPr>
      <w:hyperlink w:anchor="_Toc91081503" w:history="1">
        <w:r w:rsidR="004242C0" w:rsidRPr="00F76988">
          <w:rPr>
            <w:rStyle w:val="Collegamentoipertestuale"/>
            <w:noProof/>
          </w:rPr>
          <w:t>Figura 34. Evoluzione dell’ammontare investito (Venture Capital e Private Equity) per dimensione dell’operazione</w:t>
        </w:r>
        <w:r w:rsidR="004242C0">
          <w:rPr>
            <w:noProof/>
            <w:webHidden/>
          </w:rPr>
          <w:tab/>
        </w:r>
        <w:r w:rsidR="004242C0">
          <w:rPr>
            <w:noProof/>
            <w:webHidden/>
          </w:rPr>
          <w:fldChar w:fldCharType="begin"/>
        </w:r>
        <w:r w:rsidR="004242C0">
          <w:rPr>
            <w:noProof/>
            <w:webHidden/>
          </w:rPr>
          <w:instrText xml:space="preserve"> PAGEREF _Toc91081503 \h </w:instrText>
        </w:r>
        <w:r w:rsidR="004242C0">
          <w:rPr>
            <w:noProof/>
            <w:webHidden/>
          </w:rPr>
        </w:r>
        <w:r w:rsidR="004242C0">
          <w:rPr>
            <w:noProof/>
            <w:webHidden/>
          </w:rPr>
          <w:fldChar w:fldCharType="separate"/>
        </w:r>
        <w:r w:rsidR="002439B9">
          <w:rPr>
            <w:noProof/>
            <w:webHidden/>
          </w:rPr>
          <w:t>105</w:t>
        </w:r>
        <w:r w:rsidR="004242C0">
          <w:rPr>
            <w:noProof/>
            <w:webHidden/>
          </w:rPr>
          <w:fldChar w:fldCharType="end"/>
        </w:r>
      </w:hyperlink>
    </w:p>
    <w:p w14:paraId="72D46418" w14:textId="7665C9B3" w:rsidR="004242C0" w:rsidRDefault="00B1628C">
      <w:pPr>
        <w:pStyle w:val="Indicedellefigure"/>
        <w:tabs>
          <w:tab w:val="right" w:leader="dot" w:pos="9061"/>
        </w:tabs>
        <w:rPr>
          <w:rFonts w:asciiTheme="minorHAnsi" w:hAnsiTheme="minorHAnsi"/>
          <w:noProof/>
          <w:sz w:val="22"/>
          <w:szCs w:val="22"/>
          <w:lang w:eastAsia="it-IT"/>
        </w:rPr>
      </w:pPr>
      <w:hyperlink w:anchor="_Toc91081504" w:history="1">
        <w:r w:rsidR="004242C0" w:rsidRPr="00F76988">
          <w:rPr>
            <w:rStyle w:val="Collegamentoipertestuale"/>
            <w:noProof/>
          </w:rPr>
          <w:t>Figura 35. imprese fuoriuscite dalla sezione speciale delle startup innovative iscritte alla sezione speciale delle PMI innovative, per regione (%)</w:t>
        </w:r>
        <w:r w:rsidR="004242C0">
          <w:rPr>
            <w:noProof/>
            <w:webHidden/>
          </w:rPr>
          <w:tab/>
        </w:r>
        <w:r w:rsidR="004242C0">
          <w:rPr>
            <w:noProof/>
            <w:webHidden/>
          </w:rPr>
          <w:fldChar w:fldCharType="begin"/>
        </w:r>
        <w:r w:rsidR="004242C0">
          <w:rPr>
            <w:noProof/>
            <w:webHidden/>
          </w:rPr>
          <w:instrText xml:space="preserve"> PAGEREF _Toc91081504 \h </w:instrText>
        </w:r>
        <w:r w:rsidR="004242C0">
          <w:rPr>
            <w:noProof/>
            <w:webHidden/>
          </w:rPr>
        </w:r>
        <w:r w:rsidR="004242C0">
          <w:rPr>
            <w:noProof/>
            <w:webHidden/>
          </w:rPr>
          <w:fldChar w:fldCharType="separate"/>
        </w:r>
        <w:r w:rsidR="002439B9">
          <w:rPr>
            <w:noProof/>
            <w:webHidden/>
          </w:rPr>
          <w:t>106</w:t>
        </w:r>
        <w:r w:rsidR="004242C0">
          <w:rPr>
            <w:noProof/>
            <w:webHidden/>
          </w:rPr>
          <w:fldChar w:fldCharType="end"/>
        </w:r>
      </w:hyperlink>
    </w:p>
    <w:p w14:paraId="5910D398" w14:textId="72719526" w:rsidR="004242C0" w:rsidRDefault="00B1628C">
      <w:pPr>
        <w:pStyle w:val="Indicedellefigure"/>
        <w:tabs>
          <w:tab w:val="right" w:leader="dot" w:pos="9061"/>
        </w:tabs>
        <w:rPr>
          <w:rFonts w:asciiTheme="minorHAnsi" w:hAnsiTheme="minorHAnsi"/>
          <w:noProof/>
          <w:sz w:val="22"/>
          <w:szCs w:val="22"/>
          <w:lang w:eastAsia="it-IT"/>
        </w:rPr>
      </w:pPr>
      <w:hyperlink w:anchor="_Toc91081505" w:history="1">
        <w:r w:rsidR="004242C0" w:rsidRPr="00F76988">
          <w:rPr>
            <w:rStyle w:val="Collegamentoipertestuale"/>
            <w:noProof/>
          </w:rPr>
          <w:t>Figura 36. Percentuale di imprese a prevalenza femminile, iscritte e attive per regione, febbraio 2021</w:t>
        </w:r>
        <w:r w:rsidR="004242C0">
          <w:rPr>
            <w:noProof/>
            <w:webHidden/>
          </w:rPr>
          <w:tab/>
        </w:r>
        <w:r w:rsidR="004242C0">
          <w:rPr>
            <w:noProof/>
            <w:webHidden/>
          </w:rPr>
          <w:fldChar w:fldCharType="begin"/>
        </w:r>
        <w:r w:rsidR="004242C0">
          <w:rPr>
            <w:noProof/>
            <w:webHidden/>
          </w:rPr>
          <w:instrText xml:space="preserve"> PAGEREF _Toc91081505 \h </w:instrText>
        </w:r>
        <w:r w:rsidR="004242C0">
          <w:rPr>
            <w:noProof/>
            <w:webHidden/>
          </w:rPr>
        </w:r>
        <w:r w:rsidR="004242C0">
          <w:rPr>
            <w:noProof/>
            <w:webHidden/>
          </w:rPr>
          <w:fldChar w:fldCharType="separate"/>
        </w:r>
        <w:r w:rsidR="002439B9">
          <w:rPr>
            <w:noProof/>
            <w:webHidden/>
          </w:rPr>
          <w:t>107</w:t>
        </w:r>
        <w:r w:rsidR="004242C0">
          <w:rPr>
            <w:noProof/>
            <w:webHidden/>
          </w:rPr>
          <w:fldChar w:fldCharType="end"/>
        </w:r>
      </w:hyperlink>
    </w:p>
    <w:p w14:paraId="75925731" w14:textId="165EFD7A" w:rsidR="004242C0" w:rsidRDefault="00B1628C">
      <w:pPr>
        <w:pStyle w:val="Indicedellefigure"/>
        <w:tabs>
          <w:tab w:val="right" w:leader="dot" w:pos="9061"/>
        </w:tabs>
        <w:rPr>
          <w:rFonts w:asciiTheme="minorHAnsi" w:hAnsiTheme="minorHAnsi"/>
          <w:noProof/>
          <w:sz w:val="22"/>
          <w:szCs w:val="22"/>
          <w:lang w:eastAsia="it-IT"/>
        </w:rPr>
      </w:pPr>
      <w:hyperlink w:anchor="_Toc91081506" w:history="1">
        <w:r w:rsidR="004242C0" w:rsidRPr="00F76988">
          <w:rPr>
            <w:rStyle w:val="Collegamentoipertestuale"/>
            <w:noProof/>
          </w:rPr>
          <w:t>Figura 37. Percentuale di imprese a prevalenza giovanile, iscritte e attive per regione, febbraio 2021</w:t>
        </w:r>
        <w:r w:rsidR="004242C0">
          <w:rPr>
            <w:noProof/>
            <w:webHidden/>
          </w:rPr>
          <w:tab/>
        </w:r>
        <w:r w:rsidR="004242C0">
          <w:rPr>
            <w:noProof/>
            <w:webHidden/>
          </w:rPr>
          <w:fldChar w:fldCharType="begin"/>
        </w:r>
        <w:r w:rsidR="004242C0">
          <w:rPr>
            <w:noProof/>
            <w:webHidden/>
          </w:rPr>
          <w:instrText xml:space="preserve"> PAGEREF _Toc91081506 \h </w:instrText>
        </w:r>
        <w:r w:rsidR="004242C0">
          <w:rPr>
            <w:noProof/>
            <w:webHidden/>
          </w:rPr>
        </w:r>
        <w:r w:rsidR="004242C0">
          <w:rPr>
            <w:noProof/>
            <w:webHidden/>
          </w:rPr>
          <w:fldChar w:fldCharType="separate"/>
        </w:r>
        <w:r w:rsidR="002439B9">
          <w:rPr>
            <w:noProof/>
            <w:webHidden/>
          </w:rPr>
          <w:t>107</w:t>
        </w:r>
        <w:r w:rsidR="004242C0">
          <w:rPr>
            <w:noProof/>
            <w:webHidden/>
          </w:rPr>
          <w:fldChar w:fldCharType="end"/>
        </w:r>
      </w:hyperlink>
    </w:p>
    <w:p w14:paraId="6DB04483" w14:textId="0A27DF00" w:rsidR="002E2F1F" w:rsidRPr="002E2F1F" w:rsidRDefault="004E6566" w:rsidP="002E2F1F">
      <w:pPr>
        <w:sectPr w:rsidR="002E2F1F" w:rsidRPr="002E2F1F" w:rsidSect="00464BDF">
          <w:pgSz w:w="11907" w:h="16839" w:code="1"/>
          <w:pgMar w:top="1148" w:right="1418" w:bottom="1148" w:left="1418" w:header="709" w:footer="709" w:gutter="0"/>
          <w:cols w:space="720"/>
          <w:docGrid w:linePitch="360"/>
        </w:sectPr>
      </w:pPr>
      <w:r>
        <w:fldChar w:fldCharType="end"/>
      </w:r>
    </w:p>
    <w:p w14:paraId="1E414D8D" w14:textId="77777777" w:rsidR="00D4775B" w:rsidRPr="00922E2A" w:rsidRDefault="00581D32" w:rsidP="00C016CC">
      <w:pPr>
        <w:pStyle w:val="Titolo1"/>
      </w:pPr>
      <w:bookmarkStart w:id="4" w:name="_Toc498940292"/>
      <w:bookmarkStart w:id="5" w:name="_Toc91081387"/>
      <w:bookmarkEnd w:id="0"/>
      <w:bookmarkEnd w:id="1"/>
      <w:bookmarkEnd w:id="2"/>
      <w:bookmarkEnd w:id="3"/>
      <w:r w:rsidRPr="00922E2A">
        <w:t xml:space="preserve">Introduzione: </w:t>
      </w:r>
      <w:r w:rsidR="008D61B1" w:rsidRPr="00922E2A">
        <w:t>o</w:t>
      </w:r>
      <w:r w:rsidR="003C4FE7" w:rsidRPr="00922E2A">
        <w:t xml:space="preserve">biettivi </w:t>
      </w:r>
      <w:r w:rsidRPr="00922E2A">
        <w:t>del</w:t>
      </w:r>
      <w:r w:rsidR="00DA6D9F">
        <w:t>la valutazione unitaria</w:t>
      </w:r>
      <w:r w:rsidR="008D61B1" w:rsidRPr="00922E2A">
        <w:t xml:space="preserve"> </w:t>
      </w:r>
      <w:bookmarkEnd w:id="4"/>
      <w:r w:rsidR="00284740">
        <w:t>e approccio metodologico</w:t>
      </w:r>
      <w:bookmarkEnd w:id="5"/>
    </w:p>
    <w:p w14:paraId="4A48ECB8" w14:textId="77777777" w:rsidR="006F4DB0" w:rsidRDefault="006F4DB0" w:rsidP="008E4AC9"/>
    <w:p w14:paraId="6AAE2828" w14:textId="77777777" w:rsidR="00CE5866" w:rsidRDefault="00282A60" w:rsidP="00CE5866">
      <w:r w:rsidRPr="00282A60">
        <w:t xml:space="preserve">La valutazione unitaria è finalizzata a fornire una lettura integrata dei risultati raggiunti </w:t>
      </w:r>
      <w:r w:rsidR="00E35310">
        <w:t xml:space="preserve">dai programmi operativi FESR, FSE e FEASR, </w:t>
      </w:r>
      <w:r w:rsidRPr="00282A60">
        <w:t xml:space="preserve">mettendo </w:t>
      </w:r>
      <w:r w:rsidR="000A463B">
        <w:t>“</w:t>
      </w:r>
      <w:r w:rsidRPr="00282A60">
        <w:t>a sistema</w:t>
      </w:r>
      <w:r w:rsidR="000A463B">
        <w:t>”</w:t>
      </w:r>
      <w:r w:rsidRPr="00282A60">
        <w:t xml:space="preserve"> le evidenze valutative </w:t>
      </w:r>
      <w:r w:rsidR="00E35310">
        <w:t xml:space="preserve">relative a </w:t>
      </w:r>
      <w:r w:rsidRPr="00282A60">
        <w:t>ciascun singolo fondo</w:t>
      </w:r>
      <w:r w:rsidR="00E35310">
        <w:t xml:space="preserve">. La valutazione vuole inoltre </w:t>
      </w:r>
      <w:r w:rsidRPr="00282A60">
        <w:t>approfondire aspetti di carattere trasversale su cui intervengono congiuntamente i Fondi SIE.</w:t>
      </w:r>
      <w:r w:rsidR="00651E24">
        <w:t xml:space="preserve"> </w:t>
      </w:r>
    </w:p>
    <w:p w14:paraId="36477427" w14:textId="77777777" w:rsidR="00282A60" w:rsidRDefault="00282A60" w:rsidP="00282A60">
      <w:r w:rsidRPr="00282A60">
        <w:t xml:space="preserve">Il </w:t>
      </w:r>
      <w:r w:rsidR="00E35310">
        <w:t>presente r</w:t>
      </w:r>
      <w:r w:rsidRPr="00282A60">
        <w:t xml:space="preserve">apporto annuale 2021 </w:t>
      </w:r>
      <w:r>
        <w:t xml:space="preserve">è </w:t>
      </w:r>
      <w:r w:rsidRPr="00282A60">
        <w:t xml:space="preserve">strutturato in 2 macro-sezioni: </w:t>
      </w:r>
    </w:p>
    <w:p w14:paraId="6E3FCC0A" w14:textId="77777777" w:rsidR="00282A60" w:rsidRDefault="00282A60" w:rsidP="0038676D">
      <w:pPr>
        <w:pStyle w:val="Paragrafoelenco"/>
        <w:numPr>
          <w:ilvl w:val="0"/>
          <w:numId w:val="7"/>
        </w:numPr>
      </w:pPr>
      <w:r w:rsidRPr="00282A60">
        <w:t xml:space="preserve">una </w:t>
      </w:r>
      <w:r w:rsidR="00CC6B8A" w:rsidRPr="0058374D">
        <w:rPr>
          <w:b/>
          <w:bCs/>
        </w:rPr>
        <w:t>sintesi</w:t>
      </w:r>
      <w:r w:rsidRPr="0058374D">
        <w:rPr>
          <w:b/>
          <w:bCs/>
        </w:rPr>
        <w:t xml:space="preserve"> dell’avanzamento dei programmi</w:t>
      </w:r>
      <w:r w:rsidRPr="00282A60">
        <w:t xml:space="preserve"> sulla base dei dati di monitoraggio </w:t>
      </w:r>
      <w:r w:rsidR="00E35310">
        <w:t xml:space="preserve">finanziario e fisico </w:t>
      </w:r>
      <w:r w:rsidRPr="00282A60">
        <w:t xml:space="preserve">a fine 2020; </w:t>
      </w:r>
    </w:p>
    <w:p w14:paraId="20838D9A" w14:textId="77777777" w:rsidR="00E35310" w:rsidRDefault="00282A60" w:rsidP="0038676D">
      <w:pPr>
        <w:pStyle w:val="Paragrafoelenco"/>
        <w:numPr>
          <w:ilvl w:val="0"/>
          <w:numId w:val="7"/>
        </w:numPr>
      </w:pPr>
      <w:r w:rsidRPr="00282A60">
        <w:t xml:space="preserve">un </w:t>
      </w:r>
      <w:r w:rsidRPr="0058374D">
        <w:rPr>
          <w:b/>
          <w:bCs/>
        </w:rPr>
        <w:t>focus valutativo su</w:t>
      </w:r>
      <w:r w:rsidR="00E35310" w:rsidRPr="0058374D">
        <w:rPr>
          <w:b/>
          <w:bCs/>
        </w:rPr>
        <w:t>lle politiche per l’imprenditorialità</w:t>
      </w:r>
      <w:r w:rsidR="00E35310">
        <w:t>,</w:t>
      </w:r>
      <w:r w:rsidRPr="00282A60">
        <w:t xml:space="preserve"> </w:t>
      </w:r>
      <w:r w:rsidR="00E81A79">
        <w:t>t</w:t>
      </w:r>
      <w:r w:rsidRPr="00282A60">
        <w:t>ematica trasversale e rilevante per tutti</w:t>
      </w:r>
      <w:r w:rsidR="00E35310">
        <w:t xml:space="preserve"> i fondi</w:t>
      </w:r>
      <w:r w:rsidRPr="00282A60">
        <w:t xml:space="preserve">, su cui </w:t>
      </w:r>
      <w:r w:rsidR="00485FF1">
        <w:t xml:space="preserve">sono stati </w:t>
      </w:r>
      <w:r w:rsidRPr="00282A60">
        <w:t>coinvol</w:t>
      </w:r>
      <w:r w:rsidR="00485FF1">
        <w:t>ti</w:t>
      </w:r>
      <w:r w:rsidRPr="00282A60">
        <w:t xml:space="preserve"> i valutatori indipendenti.</w:t>
      </w:r>
    </w:p>
    <w:p w14:paraId="71DC0B0F" w14:textId="77777777" w:rsidR="00E81A79" w:rsidRDefault="00E81A79" w:rsidP="00E35310"/>
    <w:p w14:paraId="21A12E8B" w14:textId="77777777" w:rsidR="0058374D" w:rsidRDefault="00E81A79" w:rsidP="00630C06">
      <w:r>
        <w:t>Per quanto riguarda</w:t>
      </w:r>
      <w:r w:rsidR="00976B8D">
        <w:t xml:space="preserve"> la prima macro-sezione del rapporto annuale</w:t>
      </w:r>
      <w:r w:rsidR="004F58DC">
        <w:t xml:space="preserve"> (Capitolo 2)</w:t>
      </w:r>
      <w:r>
        <w:t xml:space="preserve">, </w:t>
      </w:r>
      <w:r w:rsidRPr="0058374D">
        <w:rPr>
          <w:b/>
          <w:bCs/>
        </w:rPr>
        <w:t xml:space="preserve">sintesi </w:t>
      </w:r>
      <w:r w:rsidRPr="00976B8D">
        <w:rPr>
          <w:b/>
          <w:bCs/>
        </w:rPr>
        <w:t>dell’avanzamento</w:t>
      </w:r>
      <w:r w:rsidR="00D67055" w:rsidRPr="00976B8D">
        <w:rPr>
          <w:b/>
          <w:bCs/>
        </w:rPr>
        <w:t xml:space="preserve"> dei programmi</w:t>
      </w:r>
      <w:r>
        <w:t>,</w:t>
      </w:r>
      <w:r w:rsidR="00D67055">
        <w:t xml:space="preserve"> l’approccio utilizzato è quello di esaminare le politiche regionali co-finanziate dall’UE</w:t>
      </w:r>
      <w:r w:rsidR="00630C06">
        <w:t xml:space="preserve">, per quanto possibile, non per fondo ma </w:t>
      </w:r>
      <w:r w:rsidR="00D67055">
        <w:t xml:space="preserve">distinguendo tra quattro principali aree di policy, in linea con le missioni del Programma Regionale di Sviluppo </w:t>
      </w:r>
      <w:r w:rsidR="000A463B">
        <w:t xml:space="preserve">(PRS) </w:t>
      </w:r>
      <w:r w:rsidR="00D67055">
        <w:t xml:space="preserve">della XI Legislatura. Le aree di policy considerate sono: area economica, area territoriale, area socio-economica ed area istituzionale. </w:t>
      </w:r>
      <w:r w:rsidR="0058374D">
        <w:t xml:space="preserve">La tabella 1 mostra il raccordo tra la programmazione comunitaria e regionale nel 2014-2020. A ciascun obiettivo della strategia europea (colonna 1), sono associate le </w:t>
      </w:r>
      <w:r w:rsidR="00630C06">
        <w:t>M</w:t>
      </w:r>
      <w:r w:rsidR="0058374D">
        <w:t>issioni del PRS (colonna 2) e i corrispondenti assi dei programmi operativi rilevanti (colonna 3). La successiva tabella 2 riporta invece le macro domande di valutazione unitaria, collegate agli ambiti valutativi dei singoli fondi.</w:t>
      </w:r>
      <w:r w:rsidR="00630C06">
        <w:t xml:space="preserve"> In particolare, partendo dagli obiettivi della strategia europea, e corrispondenti Missioni PRS, la tabella elenca gli assi dei programmi che contribuiscono a perseguirle e i rispettivi ambiti valutativi prioritari </w:t>
      </w:r>
      <w:r w:rsidR="00976B8D">
        <w:t>relativi ai singoli fondi. La tabella individua, inoltre, le d</w:t>
      </w:r>
      <w:r w:rsidR="00630C06">
        <w:t>omande di valutazione unitaria</w:t>
      </w:r>
      <w:r w:rsidR="00976B8D">
        <w:t xml:space="preserve"> su cui si concentra il presente lavoro.</w:t>
      </w:r>
      <w:r w:rsidR="0058374D">
        <w:t xml:space="preserve"> </w:t>
      </w:r>
    </w:p>
    <w:p w14:paraId="3F835A25" w14:textId="77777777" w:rsidR="0058374D" w:rsidRDefault="0058374D" w:rsidP="0058374D">
      <w:r>
        <w:t xml:space="preserve">Entrambe le tabelle di raccordo </w:t>
      </w:r>
      <w:r w:rsidR="00976B8D">
        <w:t xml:space="preserve">(tabella 1 e 2) </w:t>
      </w:r>
      <w:r>
        <w:t>sono tratte dal Piano della Valutazione Unitaria consegnato a Regione Lombardia nella prima metà del 2020.</w:t>
      </w:r>
    </w:p>
    <w:p w14:paraId="2D261A81" w14:textId="77777777" w:rsidR="00976B8D" w:rsidRDefault="00976B8D" w:rsidP="00E35310"/>
    <w:p w14:paraId="29D39145" w14:textId="77777777" w:rsidR="00E35310" w:rsidRDefault="00CC6B8A" w:rsidP="00E35310">
      <w:r>
        <w:t xml:space="preserve">Per quanto concerne </w:t>
      </w:r>
      <w:r w:rsidR="00976B8D">
        <w:t>la seconda macro-sezione del presente rapporto annuale</w:t>
      </w:r>
      <w:r w:rsidR="004F58DC">
        <w:t xml:space="preserve"> (Capitolo 3)</w:t>
      </w:r>
      <w:r>
        <w:t>,</w:t>
      </w:r>
      <w:r w:rsidRPr="00976B8D">
        <w:rPr>
          <w:b/>
          <w:bCs/>
        </w:rPr>
        <w:t xml:space="preserve"> </w:t>
      </w:r>
      <w:r w:rsidR="00976B8D" w:rsidRPr="00976B8D">
        <w:rPr>
          <w:b/>
          <w:bCs/>
        </w:rPr>
        <w:t>focus valutativo sulle politiche per l’imprenditorialità</w:t>
      </w:r>
      <w:r w:rsidR="00976B8D">
        <w:t xml:space="preserve">, l’approccio prescelto è stato di coinvolgere </w:t>
      </w:r>
      <w:r w:rsidR="00485FF1">
        <w:t xml:space="preserve">i valutatori </w:t>
      </w:r>
      <w:r w:rsidR="00E35310">
        <w:t>indipendenti</w:t>
      </w:r>
      <w:r w:rsidR="00976B8D">
        <w:t xml:space="preserve"> dei singoli fondi, nell’ambito di una serie di incontri e scambi tenutisi nella prima metà del 2021,</w:t>
      </w:r>
      <w:r w:rsidR="00E35310">
        <w:t xml:space="preserve"> </w:t>
      </w:r>
      <w:r w:rsidR="00E634B6">
        <w:t xml:space="preserve">chiedendo loro </w:t>
      </w:r>
      <w:r w:rsidR="00485FF1">
        <w:t xml:space="preserve">di </w:t>
      </w:r>
      <w:r w:rsidR="00282A60" w:rsidRPr="00282A60">
        <w:t xml:space="preserve">concentrarsi su </w:t>
      </w:r>
      <w:r w:rsidR="00E35310">
        <w:t>alcuni interventi significativi e rilevanti per l</w:t>
      </w:r>
      <w:r w:rsidR="00E35310" w:rsidRPr="00282A60">
        <w:t xml:space="preserve">a creazione e lo sviluppo di imprese, l’imprenditorialità, l’auto-imprenditorialità, etc. </w:t>
      </w:r>
      <w:r w:rsidR="00E35310">
        <w:t xml:space="preserve">In particolare, è stato suggerito ai valutatori di esaminare </w:t>
      </w:r>
      <w:r w:rsidR="00E35310" w:rsidRPr="00282A60">
        <w:t>efficacia e valore aggiunto</w:t>
      </w:r>
      <w:r w:rsidR="00E35310">
        <w:t xml:space="preserve"> delle politiche</w:t>
      </w:r>
      <w:r w:rsidR="00E634B6">
        <w:t>, fornendo suggerimenti sulle possibili linee di intervento di maggior interesse e temi da affrontare e possibili indicatori da utilizzare nell’analisi</w:t>
      </w:r>
      <w:r w:rsidR="00282A60" w:rsidRPr="00282A60">
        <w:t xml:space="preserve">. </w:t>
      </w:r>
    </w:p>
    <w:p w14:paraId="3478C5B4" w14:textId="77777777" w:rsidR="00E634B6" w:rsidRPr="00E634B6" w:rsidRDefault="00E634B6" w:rsidP="00E634B6">
      <w:r>
        <w:t>Le indicazioni fornite ai valutatori in merito all’analisi dell’</w:t>
      </w:r>
      <w:r w:rsidRPr="00E634B6">
        <w:t xml:space="preserve">efficacia degli interventi, </w:t>
      </w:r>
      <w:r>
        <w:t xml:space="preserve">suggerivano nello specifico che questa potesse </w:t>
      </w:r>
      <w:r w:rsidRPr="00E634B6">
        <w:t xml:space="preserve">essere valutata sulla base di indicatori </w:t>
      </w:r>
      <w:r>
        <w:t>atti a misurare</w:t>
      </w:r>
      <w:r w:rsidRPr="00E634B6">
        <w:t xml:space="preserve">, per esempio, i seguenti aspetti, simili per tutti gli interventi analizzati: </w:t>
      </w:r>
    </w:p>
    <w:p w14:paraId="184568BA" w14:textId="77777777" w:rsidR="00E634B6" w:rsidRPr="00E634B6" w:rsidRDefault="00E634B6" w:rsidP="00E634B6">
      <w:pPr>
        <w:pStyle w:val="Paragrafoelenco"/>
        <w:numPr>
          <w:ilvl w:val="0"/>
          <w:numId w:val="56"/>
        </w:numPr>
      </w:pPr>
      <w:r w:rsidRPr="00E634B6">
        <w:t>Creazione (crescita) di nuove imprese (e.g. tasso di nascita imprese, o autonomi che dopo aver ricevuto formazione avviano un'attività)</w:t>
      </w:r>
    </w:p>
    <w:p w14:paraId="39CF7559" w14:textId="77777777" w:rsidR="00E634B6" w:rsidRPr="00E634B6" w:rsidRDefault="00E634B6" w:rsidP="00E634B6">
      <w:pPr>
        <w:pStyle w:val="Paragrafoelenco"/>
        <w:numPr>
          <w:ilvl w:val="0"/>
          <w:numId w:val="56"/>
        </w:numPr>
      </w:pPr>
      <w:r w:rsidRPr="00E634B6">
        <w:t xml:space="preserve">Sopravvivenza delle imprese supportate (o esiti delle iniziative per l’auto-imprenditorialità o la formazione permanente). </w:t>
      </w:r>
    </w:p>
    <w:p w14:paraId="66D59FA3" w14:textId="77777777" w:rsidR="00E634B6" w:rsidRPr="00E634B6" w:rsidRDefault="00E634B6" w:rsidP="00E634B6">
      <w:pPr>
        <w:pStyle w:val="Paragrafoelenco"/>
        <w:numPr>
          <w:ilvl w:val="0"/>
          <w:numId w:val="56"/>
        </w:numPr>
      </w:pPr>
      <w:r w:rsidRPr="00E634B6">
        <w:t>Operatività, evoluzione e crescita: andamento del fatturato e/o dell’occupazione</w:t>
      </w:r>
    </w:p>
    <w:p w14:paraId="2C5A14EC" w14:textId="77777777" w:rsidR="00E634B6" w:rsidRPr="00E634B6" w:rsidRDefault="00E634B6" w:rsidP="00E634B6">
      <w:pPr>
        <w:pStyle w:val="Paragrafoelenco"/>
        <w:numPr>
          <w:ilvl w:val="0"/>
          <w:numId w:val="56"/>
        </w:numPr>
      </w:pPr>
      <w:r w:rsidRPr="00E634B6">
        <w:t>Effetti del COVID-19</w:t>
      </w:r>
    </w:p>
    <w:p w14:paraId="16E15A02" w14:textId="77777777" w:rsidR="00E634B6" w:rsidRPr="00E634B6" w:rsidRDefault="00E634B6" w:rsidP="00E634B6">
      <w:pPr>
        <w:pStyle w:val="Paragrafoelenco"/>
        <w:numPr>
          <w:ilvl w:val="0"/>
          <w:numId w:val="56"/>
        </w:numPr>
      </w:pPr>
      <w:r w:rsidRPr="00E634B6">
        <w:t>Differenze territoriali / settoriali (settori/attività di diversificazione)</w:t>
      </w:r>
    </w:p>
    <w:p w14:paraId="5E46C203" w14:textId="77777777" w:rsidR="00E634B6" w:rsidRPr="00E634B6" w:rsidRDefault="00E634B6" w:rsidP="00E634B6">
      <w:pPr>
        <w:pStyle w:val="Paragrafoelenco"/>
        <w:numPr>
          <w:ilvl w:val="0"/>
          <w:numId w:val="56"/>
        </w:numPr>
      </w:pPr>
      <w:r w:rsidRPr="00E634B6">
        <w:t>Caratteristiche motivazionali di chi è stato raggiunto (e.g. disoccupati/disagiati vs. potenziali imprenditori)</w:t>
      </w:r>
    </w:p>
    <w:p w14:paraId="5B8DCB46" w14:textId="77777777" w:rsidR="00E634B6" w:rsidRDefault="00E634B6" w:rsidP="00E634B6">
      <w:pPr>
        <w:pStyle w:val="Paragrafoelenco"/>
        <w:numPr>
          <w:ilvl w:val="0"/>
          <w:numId w:val="56"/>
        </w:numPr>
      </w:pPr>
      <w:r w:rsidRPr="00E634B6">
        <w:t>Caratteristiche anagrafiche (età) e relative alle differenze di genere</w:t>
      </w:r>
    </w:p>
    <w:p w14:paraId="69BC22A1" w14:textId="77777777" w:rsidR="00E35310" w:rsidRDefault="00E35310" w:rsidP="00E35310"/>
    <w:p w14:paraId="71897166" w14:textId="77777777" w:rsidR="000444D8" w:rsidRDefault="000444D8" w:rsidP="000444D8">
      <w:pPr>
        <w:pStyle w:val="Didascalia"/>
      </w:pPr>
      <w:bookmarkStart w:id="6" w:name="_Toc91081427"/>
      <w:r>
        <w:t xml:space="preserve">Tabella </w:t>
      </w:r>
      <w:r w:rsidR="004E6566">
        <w:fldChar w:fldCharType="begin"/>
      </w:r>
      <w:r>
        <w:instrText xml:space="preserve"> SEQ Tabella \* ARABIC </w:instrText>
      </w:r>
      <w:r w:rsidR="004E6566">
        <w:fldChar w:fldCharType="separate"/>
      </w:r>
      <w:r w:rsidR="00E53D6C">
        <w:rPr>
          <w:noProof/>
        </w:rPr>
        <w:t>1</w:t>
      </w:r>
      <w:r w:rsidR="004E6566">
        <w:fldChar w:fldCharType="end"/>
      </w:r>
      <w:r w:rsidR="002E2F1F">
        <w:t>.</w:t>
      </w:r>
      <w:r>
        <w:t xml:space="preserve"> Raccordo tra </w:t>
      </w:r>
      <w:r w:rsidRPr="00675114">
        <w:t>programmazione comunitaria e regionale</w:t>
      </w:r>
      <w:bookmarkEnd w:id="6"/>
    </w:p>
    <w:tbl>
      <w:tblPr>
        <w:tblStyle w:val="Tabellaelenco3-colore21"/>
        <w:tblW w:w="5000" w:type="pct"/>
        <w:tblLook w:val="04A0" w:firstRow="1" w:lastRow="0" w:firstColumn="1" w:lastColumn="0" w:noHBand="0" w:noVBand="1"/>
      </w:tblPr>
      <w:tblGrid>
        <w:gridCol w:w="1554"/>
        <w:gridCol w:w="4165"/>
        <w:gridCol w:w="3909"/>
      </w:tblGrid>
      <w:tr w:rsidR="00365D4C" w:rsidRPr="00365D4C" w14:paraId="3A1ABEE0" w14:textId="77777777" w:rsidTr="007251A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07" w:type="pct"/>
            <w:shd w:val="clear" w:color="auto" w:fill="669748" w:themeFill="accent2" w:themeFillShade="BF"/>
          </w:tcPr>
          <w:p w14:paraId="40D03A02" w14:textId="77777777" w:rsidR="000444D8" w:rsidRPr="00365D4C" w:rsidRDefault="000444D8" w:rsidP="00F1685B">
            <w:pPr>
              <w:rPr>
                <w:color w:val="FFFFFF" w:themeColor="background1"/>
                <w:sz w:val="20"/>
              </w:rPr>
            </w:pPr>
            <w:r w:rsidRPr="00365D4C">
              <w:rPr>
                <w:color w:val="FFFFFF" w:themeColor="background1"/>
                <w:sz w:val="20"/>
              </w:rPr>
              <w:t>Obiettivi Europa 2020</w:t>
            </w:r>
          </w:p>
        </w:tc>
        <w:tc>
          <w:tcPr>
            <w:tcW w:w="2163" w:type="pct"/>
            <w:shd w:val="clear" w:color="auto" w:fill="669748" w:themeFill="accent2" w:themeFillShade="BF"/>
          </w:tcPr>
          <w:p w14:paraId="0F4E448F" w14:textId="77777777" w:rsidR="000444D8" w:rsidRPr="00365D4C" w:rsidRDefault="000444D8" w:rsidP="00F1685B">
            <w:pP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365D4C">
              <w:rPr>
                <w:color w:val="FFFFFF" w:themeColor="background1"/>
                <w:sz w:val="20"/>
              </w:rPr>
              <w:t xml:space="preserve">Tematiche trasversali: </w:t>
            </w:r>
          </w:p>
          <w:p w14:paraId="48A8CFA8" w14:textId="77777777" w:rsidR="000444D8" w:rsidRPr="00365D4C" w:rsidRDefault="000444D8" w:rsidP="00F1685B">
            <w:pP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365D4C">
              <w:rPr>
                <w:color w:val="FFFFFF" w:themeColor="background1"/>
                <w:sz w:val="20"/>
              </w:rPr>
              <w:t>Missioni PRS XI Legislatura rilevanti</w:t>
            </w:r>
          </w:p>
        </w:tc>
        <w:tc>
          <w:tcPr>
            <w:tcW w:w="2030" w:type="pct"/>
            <w:shd w:val="clear" w:color="auto" w:fill="669748" w:themeFill="accent2" w:themeFillShade="BF"/>
          </w:tcPr>
          <w:p w14:paraId="0F33323B" w14:textId="77777777" w:rsidR="000444D8" w:rsidRPr="00365D4C" w:rsidRDefault="000444D8" w:rsidP="00F1685B">
            <w:pP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365D4C">
              <w:rPr>
                <w:color w:val="FFFFFF" w:themeColor="background1"/>
                <w:sz w:val="20"/>
              </w:rPr>
              <w:t>Assi POR/priorità PSR e Obiettivi Tematici rilevanti</w:t>
            </w:r>
          </w:p>
        </w:tc>
      </w:tr>
      <w:tr w:rsidR="000444D8" w:rsidRPr="00712A8D" w14:paraId="6CA48CE9" w14:textId="77777777" w:rsidTr="00365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 w:type="pct"/>
            <w:shd w:val="clear" w:color="auto" w:fill="D9D9D9" w:themeFill="background1" w:themeFillShade="D9"/>
          </w:tcPr>
          <w:p w14:paraId="2F196F1E" w14:textId="77777777" w:rsidR="000444D8" w:rsidRPr="00DA6D9F" w:rsidRDefault="000444D8" w:rsidP="00F1685B">
            <w:pPr>
              <w:widowControl w:val="0"/>
              <w:spacing w:line="120" w:lineRule="atLeast"/>
              <w:jc w:val="left"/>
              <w:rPr>
                <w:bCs w:val="0"/>
                <w:sz w:val="20"/>
              </w:rPr>
            </w:pPr>
            <w:bookmarkStart w:id="7" w:name="_Hlk33697160"/>
            <w:r w:rsidRPr="00DA6D9F">
              <w:rPr>
                <w:bCs w:val="0"/>
                <w:sz w:val="20"/>
              </w:rPr>
              <w:t>Crescita intelligente</w:t>
            </w:r>
          </w:p>
          <w:p w14:paraId="7DC8A045" w14:textId="77777777" w:rsidR="00CE5866" w:rsidRDefault="00CE5866" w:rsidP="00F1685B">
            <w:pPr>
              <w:jc w:val="left"/>
              <w:rPr>
                <w:b w:val="0"/>
                <w:i/>
                <w:sz w:val="20"/>
              </w:rPr>
            </w:pPr>
          </w:p>
          <w:p w14:paraId="14B9771F" w14:textId="77777777" w:rsidR="000444D8" w:rsidRPr="00DA6D9F" w:rsidRDefault="000444D8" w:rsidP="00F1685B">
            <w:pPr>
              <w:jc w:val="left"/>
              <w:rPr>
                <w:bCs w:val="0"/>
                <w:sz w:val="20"/>
              </w:rPr>
            </w:pPr>
            <w:r w:rsidRPr="00DA6D9F">
              <w:rPr>
                <w:bCs w:val="0"/>
                <w:i/>
                <w:sz w:val="20"/>
              </w:rPr>
              <w:t>un'economia basata sulla conoscenza e sull'innovazione</w:t>
            </w:r>
          </w:p>
        </w:tc>
        <w:tc>
          <w:tcPr>
            <w:tcW w:w="2163" w:type="pct"/>
          </w:tcPr>
          <w:p w14:paraId="2A1BA413" w14:textId="77777777" w:rsidR="000444D8" w:rsidRPr="00CB56E3" w:rsidRDefault="000444D8" w:rsidP="00F1685B">
            <w:pPr>
              <w:jc w:val="left"/>
              <w:cnfStyle w:val="000000100000" w:firstRow="0" w:lastRow="0" w:firstColumn="0" w:lastColumn="0" w:oddVBand="0" w:evenVBand="0" w:oddHBand="1" w:evenHBand="0" w:firstRowFirstColumn="0" w:firstRowLastColumn="0" w:lastRowFirstColumn="0" w:lastRowLastColumn="0"/>
              <w:rPr>
                <w:b/>
                <w:bCs/>
                <w:sz w:val="20"/>
              </w:rPr>
            </w:pPr>
            <w:r w:rsidRPr="00CB56E3">
              <w:rPr>
                <w:b/>
                <w:bCs/>
                <w:sz w:val="20"/>
              </w:rPr>
              <w:t>Area Economica</w:t>
            </w:r>
          </w:p>
          <w:p w14:paraId="01722F25" w14:textId="77777777" w:rsidR="000444D8" w:rsidRPr="008B150B"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Missione 14 - Sviluppo economico e competitività</w:t>
            </w:r>
          </w:p>
          <w:p w14:paraId="14874170" w14:textId="77777777" w:rsidR="000444D8" w:rsidRPr="008B150B"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Missione 7 - Turismo</w:t>
            </w:r>
          </w:p>
          <w:p w14:paraId="23E6127F" w14:textId="77777777" w:rsidR="000444D8" w:rsidRPr="008B150B"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Missione 16 - Agricoltura, politiche agroalimentari e pesca</w:t>
            </w:r>
          </w:p>
        </w:tc>
        <w:tc>
          <w:tcPr>
            <w:tcW w:w="2030" w:type="pct"/>
          </w:tcPr>
          <w:p w14:paraId="4C6068F1" w14:textId="77777777" w:rsidR="000444D8" w:rsidRPr="00CB56E3" w:rsidRDefault="000444D8" w:rsidP="00F1685B">
            <w:pPr>
              <w:jc w:val="left"/>
              <w:cnfStyle w:val="000000100000" w:firstRow="0" w:lastRow="0" w:firstColumn="0" w:lastColumn="0" w:oddVBand="0" w:evenVBand="0" w:oddHBand="1" w:evenHBand="0" w:firstRowFirstColumn="0" w:firstRowLastColumn="0" w:lastRowFirstColumn="0" w:lastRowLastColumn="0"/>
              <w:rPr>
                <w:b/>
                <w:bCs/>
                <w:sz w:val="20"/>
              </w:rPr>
            </w:pPr>
            <w:r w:rsidRPr="00CB56E3">
              <w:rPr>
                <w:b/>
                <w:bCs/>
                <w:sz w:val="20"/>
              </w:rPr>
              <w:t>FESR</w:t>
            </w:r>
          </w:p>
          <w:p w14:paraId="29A6BCBB" w14:textId="77777777" w:rsidR="000444D8" w:rsidRPr="004C26B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C26B8">
              <w:rPr>
                <w:rFonts w:ascii="Arial" w:hAnsi="Arial" w:cs="Arial"/>
                <w:sz w:val="18"/>
                <w:szCs w:val="18"/>
              </w:rPr>
              <w:t xml:space="preserve">Asse I Ricerca, sviluppo tecnologico e innovazione </w:t>
            </w:r>
            <w:r>
              <w:rPr>
                <w:rFonts w:ascii="Arial" w:hAnsi="Arial" w:cs="Arial"/>
                <w:sz w:val="18"/>
                <w:szCs w:val="18"/>
              </w:rPr>
              <w:t>(OT1)</w:t>
            </w:r>
          </w:p>
          <w:p w14:paraId="7CA3258D" w14:textId="77777777" w:rsidR="000444D8" w:rsidRPr="004C26B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C26B8">
              <w:rPr>
                <w:rFonts w:ascii="Arial" w:hAnsi="Arial" w:cs="Arial"/>
                <w:sz w:val="18"/>
                <w:szCs w:val="18"/>
              </w:rPr>
              <w:t>Asse II Migliorare l’accesso alle tecnologie dell’informazione</w:t>
            </w:r>
            <w:r>
              <w:rPr>
                <w:rFonts w:ascii="Arial" w:hAnsi="Arial" w:cs="Arial"/>
                <w:sz w:val="18"/>
                <w:szCs w:val="18"/>
              </w:rPr>
              <w:t xml:space="preserve"> (OT2)</w:t>
            </w:r>
          </w:p>
          <w:p w14:paraId="19E48757" w14:textId="77777777" w:rsidR="000444D8" w:rsidRPr="004C26B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C26B8">
              <w:rPr>
                <w:rFonts w:ascii="Arial" w:hAnsi="Arial" w:cs="Arial"/>
                <w:sz w:val="18"/>
                <w:szCs w:val="18"/>
              </w:rPr>
              <w:t>Asse III Promuovere la competitività delle piccole e medie imprese</w:t>
            </w:r>
            <w:r>
              <w:rPr>
                <w:rFonts w:ascii="Arial" w:hAnsi="Arial" w:cs="Arial"/>
                <w:sz w:val="18"/>
                <w:szCs w:val="18"/>
              </w:rPr>
              <w:t xml:space="preserve"> (OT3)</w:t>
            </w:r>
          </w:p>
          <w:p w14:paraId="6F28C47B" w14:textId="77777777" w:rsidR="000444D8" w:rsidRPr="00CB56E3" w:rsidRDefault="000444D8" w:rsidP="00F1685B">
            <w:pPr>
              <w:jc w:val="left"/>
              <w:cnfStyle w:val="000000100000" w:firstRow="0" w:lastRow="0" w:firstColumn="0" w:lastColumn="0" w:oddVBand="0" w:evenVBand="0" w:oddHBand="1" w:evenHBand="0" w:firstRowFirstColumn="0" w:firstRowLastColumn="0" w:lastRowFirstColumn="0" w:lastRowLastColumn="0"/>
              <w:rPr>
                <w:b/>
                <w:bCs/>
                <w:sz w:val="20"/>
              </w:rPr>
            </w:pPr>
            <w:r w:rsidRPr="00CB56E3">
              <w:rPr>
                <w:b/>
                <w:bCs/>
                <w:sz w:val="20"/>
              </w:rPr>
              <w:t>FEASR</w:t>
            </w:r>
          </w:p>
          <w:p w14:paraId="0A06A583" w14:textId="77777777" w:rsidR="000444D8" w:rsidRPr="004C26B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C26B8">
              <w:rPr>
                <w:rFonts w:ascii="Arial" w:hAnsi="Arial" w:cs="Arial"/>
                <w:sz w:val="18"/>
                <w:szCs w:val="18"/>
              </w:rPr>
              <w:t>I Trasferimento di conoscenze e innovazione nel settore agricolo e forestale e nelle zone rurali</w:t>
            </w:r>
          </w:p>
          <w:p w14:paraId="3C084BC3" w14:textId="77777777" w:rsidR="000444D8" w:rsidRPr="004C26B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C26B8">
              <w:rPr>
                <w:rFonts w:ascii="Arial" w:hAnsi="Arial" w:cs="Arial"/>
                <w:sz w:val="18"/>
                <w:szCs w:val="18"/>
              </w:rPr>
              <w:t>II Competitività e redditività delle aziende agricole, gestione sostenibile delle foreste</w:t>
            </w:r>
          </w:p>
          <w:p w14:paraId="254F4205" w14:textId="77777777" w:rsidR="000444D8" w:rsidRPr="004C26B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C26B8">
              <w:rPr>
                <w:rFonts w:ascii="Arial" w:hAnsi="Arial" w:cs="Arial"/>
                <w:sz w:val="18"/>
                <w:szCs w:val="18"/>
              </w:rPr>
              <w:t>III Organizzazione della filiera alimentare, incluse la trasformazione e la</w:t>
            </w:r>
            <w:r>
              <w:rPr>
                <w:rFonts w:ascii="Arial" w:hAnsi="Arial" w:cs="Arial"/>
                <w:sz w:val="18"/>
                <w:szCs w:val="18"/>
              </w:rPr>
              <w:t xml:space="preserve"> </w:t>
            </w:r>
            <w:r w:rsidRPr="004C26B8">
              <w:rPr>
                <w:rFonts w:ascii="Arial" w:hAnsi="Arial" w:cs="Arial"/>
                <w:sz w:val="18"/>
                <w:szCs w:val="18"/>
              </w:rPr>
              <w:t>commercializzazione dei prodotti agricoli, il benessere degli animali e la</w:t>
            </w:r>
            <w:r>
              <w:rPr>
                <w:rFonts w:ascii="Arial" w:hAnsi="Arial" w:cs="Arial"/>
                <w:sz w:val="18"/>
                <w:szCs w:val="18"/>
              </w:rPr>
              <w:t xml:space="preserve"> </w:t>
            </w:r>
            <w:r w:rsidRPr="004C26B8">
              <w:rPr>
                <w:rFonts w:ascii="Arial" w:hAnsi="Arial" w:cs="Arial"/>
                <w:sz w:val="18"/>
                <w:szCs w:val="18"/>
              </w:rPr>
              <w:t>gestione dei rischi</w:t>
            </w:r>
          </w:p>
        </w:tc>
      </w:tr>
      <w:tr w:rsidR="000444D8" w:rsidRPr="00712A8D" w14:paraId="5D4ECEE8" w14:textId="77777777" w:rsidTr="00365D4C">
        <w:tc>
          <w:tcPr>
            <w:cnfStyle w:val="001000000000" w:firstRow="0" w:lastRow="0" w:firstColumn="1" w:lastColumn="0" w:oddVBand="0" w:evenVBand="0" w:oddHBand="0" w:evenHBand="0" w:firstRowFirstColumn="0" w:firstRowLastColumn="0" w:lastRowFirstColumn="0" w:lastRowLastColumn="0"/>
            <w:tcW w:w="807" w:type="pct"/>
            <w:shd w:val="clear" w:color="auto" w:fill="D9D9D9" w:themeFill="background1" w:themeFillShade="D9"/>
          </w:tcPr>
          <w:p w14:paraId="7FBEB157" w14:textId="77777777" w:rsidR="000444D8" w:rsidRPr="00DA6D9F" w:rsidRDefault="000444D8" w:rsidP="00F1685B">
            <w:pPr>
              <w:widowControl w:val="0"/>
              <w:spacing w:line="120" w:lineRule="atLeast"/>
              <w:jc w:val="left"/>
              <w:rPr>
                <w:bCs w:val="0"/>
                <w:sz w:val="20"/>
              </w:rPr>
            </w:pPr>
            <w:bookmarkStart w:id="8" w:name="_Hlk74128136"/>
            <w:bookmarkEnd w:id="7"/>
            <w:r w:rsidRPr="00DA6D9F">
              <w:rPr>
                <w:bCs w:val="0"/>
                <w:sz w:val="20"/>
              </w:rPr>
              <w:t>Crescita sostenibile</w:t>
            </w:r>
          </w:p>
          <w:p w14:paraId="51A6499F" w14:textId="77777777" w:rsidR="00CE5866" w:rsidRDefault="00CE5866" w:rsidP="00F1685B">
            <w:pPr>
              <w:widowControl w:val="0"/>
              <w:spacing w:line="120" w:lineRule="atLeast"/>
              <w:jc w:val="left"/>
              <w:rPr>
                <w:b w:val="0"/>
                <w:i/>
                <w:sz w:val="20"/>
              </w:rPr>
            </w:pPr>
          </w:p>
          <w:p w14:paraId="73632BB4" w14:textId="77777777" w:rsidR="000444D8" w:rsidRPr="00DA6D9F" w:rsidRDefault="000444D8" w:rsidP="00F1685B">
            <w:pPr>
              <w:widowControl w:val="0"/>
              <w:spacing w:line="120" w:lineRule="atLeast"/>
              <w:jc w:val="left"/>
              <w:rPr>
                <w:bCs w:val="0"/>
                <w:i/>
                <w:sz w:val="20"/>
              </w:rPr>
            </w:pPr>
            <w:r w:rsidRPr="00DA6D9F">
              <w:rPr>
                <w:bCs w:val="0"/>
                <w:i/>
                <w:sz w:val="20"/>
              </w:rPr>
              <w:t>un'economia più efficiente sotto il profilo delle risorse, più verde e più competitiva</w:t>
            </w:r>
          </w:p>
        </w:tc>
        <w:tc>
          <w:tcPr>
            <w:tcW w:w="2163" w:type="pct"/>
          </w:tcPr>
          <w:p w14:paraId="3E909B84" w14:textId="77777777" w:rsidR="000444D8" w:rsidRPr="00CB56E3" w:rsidRDefault="000444D8" w:rsidP="00F1685B">
            <w:pPr>
              <w:jc w:val="left"/>
              <w:cnfStyle w:val="000000000000" w:firstRow="0" w:lastRow="0" w:firstColumn="0" w:lastColumn="0" w:oddVBand="0" w:evenVBand="0" w:oddHBand="0" w:evenHBand="0" w:firstRowFirstColumn="0" w:firstRowLastColumn="0" w:lastRowFirstColumn="0" w:lastRowLastColumn="0"/>
              <w:rPr>
                <w:b/>
                <w:bCs/>
                <w:sz w:val="20"/>
              </w:rPr>
            </w:pPr>
            <w:r w:rsidRPr="00CB56E3">
              <w:rPr>
                <w:b/>
                <w:bCs/>
                <w:sz w:val="20"/>
              </w:rPr>
              <w:t>Area Territoriale</w:t>
            </w:r>
          </w:p>
          <w:p w14:paraId="4CAAEBFF" w14:textId="77777777" w:rsidR="000444D8" w:rsidRPr="005E09E8"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sz w:val="20"/>
              </w:rPr>
            </w:pPr>
            <w:r w:rsidRPr="005E09E8">
              <w:rPr>
                <w:sz w:val="20"/>
              </w:rPr>
              <w:t>Missione 8 - Assetto del territorio ed edilizia abitativa</w:t>
            </w:r>
          </w:p>
          <w:p w14:paraId="542C75B2" w14:textId="77777777" w:rsidR="000444D8" w:rsidRPr="005E09E8"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sz w:val="20"/>
              </w:rPr>
            </w:pPr>
            <w:r w:rsidRPr="005E09E8">
              <w:rPr>
                <w:sz w:val="20"/>
              </w:rPr>
              <w:t>Missione 11 – Soccorso civile</w:t>
            </w:r>
          </w:p>
          <w:p w14:paraId="48AC0242" w14:textId="77777777" w:rsidR="000444D8" w:rsidRPr="005E09E8"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sz w:val="20"/>
              </w:rPr>
            </w:pPr>
            <w:r w:rsidRPr="005E09E8">
              <w:rPr>
                <w:sz w:val="20"/>
              </w:rPr>
              <w:t>Missione 9 - Sviluppo sostenibile e tutela del territorio e</w:t>
            </w:r>
            <w:r>
              <w:rPr>
                <w:sz w:val="20"/>
              </w:rPr>
              <w:t xml:space="preserve"> d</w:t>
            </w:r>
            <w:r w:rsidRPr="005E09E8">
              <w:rPr>
                <w:sz w:val="20"/>
              </w:rPr>
              <w:t>ell’ambiente</w:t>
            </w:r>
          </w:p>
          <w:p w14:paraId="09DF7A97" w14:textId="77777777" w:rsidR="000444D8" w:rsidRPr="005E09E8"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sz w:val="20"/>
              </w:rPr>
            </w:pPr>
            <w:r w:rsidRPr="005E09E8">
              <w:rPr>
                <w:sz w:val="20"/>
              </w:rPr>
              <w:t>Missione 17 - Energia e diversificazione delle fonti energetiche</w:t>
            </w:r>
          </w:p>
          <w:p w14:paraId="5D6EB9D0" w14:textId="77777777" w:rsidR="000444D8" w:rsidRPr="008B150B"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sz w:val="20"/>
              </w:rPr>
            </w:pPr>
            <w:r w:rsidRPr="005E09E8">
              <w:rPr>
                <w:sz w:val="20"/>
              </w:rPr>
              <w:t>Missione 10 - Infrastrutture, trasporti e mobilità sostenibile</w:t>
            </w:r>
          </w:p>
        </w:tc>
        <w:tc>
          <w:tcPr>
            <w:tcW w:w="2030" w:type="pct"/>
          </w:tcPr>
          <w:p w14:paraId="7BDB3AEC" w14:textId="77777777" w:rsidR="000444D8" w:rsidRPr="00CB56E3" w:rsidRDefault="000444D8" w:rsidP="00F1685B">
            <w:pPr>
              <w:jc w:val="left"/>
              <w:cnfStyle w:val="000000000000" w:firstRow="0" w:lastRow="0" w:firstColumn="0" w:lastColumn="0" w:oddVBand="0" w:evenVBand="0" w:oddHBand="0" w:evenHBand="0" w:firstRowFirstColumn="0" w:firstRowLastColumn="0" w:lastRowFirstColumn="0" w:lastRowLastColumn="0"/>
              <w:rPr>
                <w:b/>
                <w:bCs/>
                <w:sz w:val="20"/>
              </w:rPr>
            </w:pPr>
            <w:r w:rsidRPr="00CB56E3">
              <w:rPr>
                <w:b/>
                <w:bCs/>
                <w:sz w:val="20"/>
              </w:rPr>
              <w:t>FESR</w:t>
            </w:r>
          </w:p>
          <w:p w14:paraId="24707230" w14:textId="77777777" w:rsidR="000444D8" w:rsidRPr="004C26B8"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26B8">
              <w:rPr>
                <w:rFonts w:ascii="Arial" w:hAnsi="Arial" w:cs="Arial"/>
                <w:sz w:val="18"/>
                <w:szCs w:val="18"/>
              </w:rPr>
              <w:t>Asse IV Sostenere la transizione verso un’economia a basse emissioni di carbonio in</w:t>
            </w:r>
            <w:r>
              <w:rPr>
                <w:rFonts w:ascii="Arial" w:hAnsi="Arial" w:cs="Arial"/>
                <w:sz w:val="18"/>
                <w:szCs w:val="18"/>
              </w:rPr>
              <w:t xml:space="preserve"> </w:t>
            </w:r>
            <w:r w:rsidRPr="004C26B8">
              <w:rPr>
                <w:rFonts w:ascii="Arial" w:hAnsi="Arial" w:cs="Arial"/>
                <w:sz w:val="18"/>
                <w:szCs w:val="18"/>
              </w:rPr>
              <w:t>tutti i settori</w:t>
            </w:r>
            <w:r>
              <w:rPr>
                <w:rFonts w:ascii="Arial" w:hAnsi="Arial" w:cs="Arial"/>
                <w:sz w:val="18"/>
                <w:szCs w:val="18"/>
              </w:rPr>
              <w:t xml:space="preserve"> (OT4)</w:t>
            </w:r>
          </w:p>
          <w:p w14:paraId="08D9580F" w14:textId="77777777" w:rsidR="000444D8" w:rsidRPr="00CB56E3" w:rsidRDefault="000444D8" w:rsidP="00F1685B">
            <w:pPr>
              <w:jc w:val="left"/>
              <w:cnfStyle w:val="000000000000" w:firstRow="0" w:lastRow="0" w:firstColumn="0" w:lastColumn="0" w:oddVBand="0" w:evenVBand="0" w:oddHBand="0" w:evenHBand="0" w:firstRowFirstColumn="0" w:firstRowLastColumn="0" w:lastRowFirstColumn="0" w:lastRowLastColumn="0"/>
              <w:rPr>
                <w:b/>
                <w:bCs/>
                <w:sz w:val="20"/>
              </w:rPr>
            </w:pPr>
            <w:r w:rsidRPr="00CB56E3">
              <w:rPr>
                <w:b/>
                <w:bCs/>
                <w:sz w:val="20"/>
              </w:rPr>
              <w:t>FEASR</w:t>
            </w:r>
          </w:p>
          <w:p w14:paraId="1513E8E8" w14:textId="77777777" w:rsidR="000444D8" w:rsidRPr="004C26B8"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26B8">
              <w:rPr>
                <w:rFonts w:ascii="Arial" w:hAnsi="Arial" w:cs="Arial"/>
                <w:sz w:val="18"/>
                <w:szCs w:val="18"/>
              </w:rPr>
              <w:t>IV Preservare, ripristinare e valorizzare gli ecosistemi in agricoltura e in silvicoltura</w:t>
            </w:r>
          </w:p>
          <w:p w14:paraId="37DABB43" w14:textId="77777777" w:rsidR="000444D8" w:rsidRPr="008B150B"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sz w:val="20"/>
              </w:rPr>
            </w:pPr>
            <w:r w:rsidRPr="004C26B8">
              <w:rPr>
                <w:rFonts w:ascii="Arial" w:hAnsi="Arial" w:cs="Arial"/>
                <w:sz w:val="18"/>
                <w:szCs w:val="18"/>
              </w:rPr>
              <w:t>V Uso efficiente delle risorse e passaggio ad un'economia a basse emissioni di carbonio e resiliente ai cambiamenti climatici nel settore agroalimentare e forestale</w:t>
            </w:r>
          </w:p>
        </w:tc>
      </w:tr>
      <w:bookmarkEnd w:id="8"/>
      <w:tr w:rsidR="000444D8" w:rsidRPr="00712A8D" w14:paraId="1D77EE8C" w14:textId="77777777" w:rsidTr="00365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 w:type="pct"/>
            <w:shd w:val="clear" w:color="auto" w:fill="D9D9D9" w:themeFill="background1" w:themeFillShade="D9"/>
          </w:tcPr>
          <w:p w14:paraId="336484C1" w14:textId="77777777" w:rsidR="000444D8" w:rsidRPr="00DA6D9F" w:rsidRDefault="000444D8" w:rsidP="00F1685B">
            <w:pPr>
              <w:widowControl w:val="0"/>
              <w:spacing w:line="120" w:lineRule="atLeast"/>
              <w:jc w:val="left"/>
              <w:rPr>
                <w:bCs w:val="0"/>
                <w:sz w:val="20"/>
              </w:rPr>
            </w:pPr>
            <w:r w:rsidRPr="00DA6D9F">
              <w:rPr>
                <w:bCs w:val="0"/>
                <w:sz w:val="20"/>
              </w:rPr>
              <w:t>Crescita inclusiva</w:t>
            </w:r>
          </w:p>
          <w:p w14:paraId="3245BE39" w14:textId="77777777" w:rsidR="00CE5866" w:rsidRDefault="00CE5866" w:rsidP="00F1685B">
            <w:pPr>
              <w:widowControl w:val="0"/>
              <w:spacing w:line="120" w:lineRule="atLeast"/>
              <w:jc w:val="left"/>
              <w:rPr>
                <w:b w:val="0"/>
                <w:i/>
                <w:sz w:val="20"/>
              </w:rPr>
            </w:pPr>
          </w:p>
          <w:p w14:paraId="389F6FF1" w14:textId="77777777" w:rsidR="000444D8" w:rsidRPr="00DA6D9F" w:rsidRDefault="000444D8" w:rsidP="00F1685B">
            <w:pPr>
              <w:widowControl w:val="0"/>
              <w:spacing w:line="120" w:lineRule="atLeast"/>
              <w:jc w:val="left"/>
              <w:rPr>
                <w:bCs w:val="0"/>
                <w:sz w:val="20"/>
              </w:rPr>
            </w:pPr>
            <w:r w:rsidRPr="00DA6D9F">
              <w:rPr>
                <w:bCs w:val="0"/>
                <w:i/>
                <w:sz w:val="20"/>
              </w:rPr>
              <w:t>un'economia con un alto tasso di occupazione che favorisca la coesione economica, sociale e territoriale</w:t>
            </w:r>
          </w:p>
        </w:tc>
        <w:tc>
          <w:tcPr>
            <w:tcW w:w="2163" w:type="pct"/>
          </w:tcPr>
          <w:p w14:paraId="57964538" w14:textId="77777777" w:rsidR="000444D8" w:rsidRPr="00CB56E3" w:rsidRDefault="000444D8" w:rsidP="00F1685B">
            <w:pPr>
              <w:jc w:val="left"/>
              <w:cnfStyle w:val="000000100000" w:firstRow="0" w:lastRow="0" w:firstColumn="0" w:lastColumn="0" w:oddVBand="0" w:evenVBand="0" w:oddHBand="1" w:evenHBand="0" w:firstRowFirstColumn="0" w:firstRowLastColumn="0" w:lastRowFirstColumn="0" w:lastRowLastColumn="0"/>
              <w:rPr>
                <w:b/>
                <w:bCs/>
                <w:sz w:val="20"/>
              </w:rPr>
            </w:pPr>
            <w:r w:rsidRPr="00CB56E3">
              <w:rPr>
                <w:b/>
                <w:bCs/>
                <w:sz w:val="20"/>
              </w:rPr>
              <w:t>Area Economica</w:t>
            </w:r>
          </w:p>
          <w:p w14:paraId="3AEA58ED" w14:textId="77777777" w:rsidR="000444D8" w:rsidRPr="008B150B"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Missione 4 - Istruzione e diritto allo studio</w:t>
            </w:r>
          </w:p>
          <w:p w14:paraId="4B623EEF" w14:textId="77777777" w:rsidR="000444D8" w:rsidRPr="008B150B"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 xml:space="preserve">Missione 15 - Politiche per il lavoro e la formazione professionale </w:t>
            </w:r>
          </w:p>
          <w:p w14:paraId="13153191" w14:textId="77777777" w:rsidR="000444D8" w:rsidRPr="008B150B"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Missione 5 - Tutela e valorizzazione dei beni e attività culturali</w:t>
            </w:r>
          </w:p>
          <w:p w14:paraId="2F1B39E1" w14:textId="77777777" w:rsidR="000444D8" w:rsidRPr="008B150B"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Missione 6 - Politiche giovanili, sport e tempo libero</w:t>
            </w:r>
          </w:p>
          <w:p w14:paraId="42883B0A" w14:textId="77777777" w:rsidR="000444D8" w:rsidRPr="00CB56E3" w:rsidRDefault="000444D8" w:rsidP="00F1685B">
            <w:pPr>
              <w:jc w:val="left"/>
              <w:cnfStyle w:val="000000100000" w:firstRow="0" w:lastRow="0" w:firstColumn="0" w:lastColumn="0" w:oddVBand="0" w:evenVBand="0" w:oddHBand="1" w:evenHBand="0" w:firstRowFirstColumn="0" w:firstRowLastColumn="0" w:lastRowFirstColumn="0" w:lastRowLastColumn="0"/>
              <w:rPr>
                <w:b/>
                <w:bCs/>
                <w:sz w:val="20"/>
              </w:rPr>
            </w:pPr>
            <w:r w:rsidRPr="00CB56E3">
              <w:rPr>
                <w:b/>
                <w:bCs/>
                <w:sz w:val="20"/>
              </w:rPr>
              <w:t>Area Sociale</w:t>
            </w:r>
          </w:p>
          <w:p w14:paraId="7F4DC15A" w14:textId="77777777" w:rsidR="000444D8" w:rsidRPr="008B150B"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Missione 13 - Tutela della salute</w:t>
            </w:r>
          </w:p>
          <w:p w14:paraId="64FF87EA" w14:textId="77777777" w:rsidR="000444D8" w:rsidRPr="008B150B"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Missione 12 - Diritti sociali, politiche sociali, pari opportunità e famiglia</w:t>
            </w:r>
          </w:p>
        </w:tc>
        <w:tc>
          <w:tcPr>
            <w:tcW w:w="2030" w:type="pct"/>
          </w:tcPr>
          <w:p w14:paraId="3A0DFD57" w14:textId="77777777" w:rsidR="000444D8" w:rsidRPr="00CB56E3" w:rsidRDefault="000444D8" w:rsidP="00F1685B">
            <w:pPr>
              <w:jc w:val="left"/>
              <w:cnfStyle w:val="000000100000" w:firstRow="0" w:lastRow="0" w:firstColumn="0" w:lastColumn="0" w:oddVBand="0" w:evenVBand="0" w:oddHBand="1" w:evenHBand="0" w:firstRowFirstColumn="0" w:firstRowLastColumn="0" w:lastRowFirstColumn="0" w:lastRowLastColumn="0"/>
              <w:rPr>
                <w:b/>
                <w:bCs/>
                <w:sz w:val="20"/>
              </w:rPr>
            </w:pPr>
            <w:r w:rsidRPr="00CB56E3">
              <w:rPr>
                <w:b/>
                <w:bCs/>
                <w:sz w:val="20"/>
              </w:rPr>
              <w:t xml:space="preserve">FESR </w:t>
            </w:r>
          </w:p>
          <w:p w14:paraId="45BCCA92" w14:textId="77777777" w:rsidR="000444D8" w:rsidRPr="004C26B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C26B8">
              <w:rPr>
                <w:rFonts w:ascii="Arial" w:hAnsi="Arial" w:cs="Arial"/>
                <w:sz w:val="18"/>
                <w:szCs w:val="18"/>
              </w:rPr>
              <w:t>Asse V Sviluppo urbano sostenibile</w:t>
            </w:r>
            <w:r>
              <w:rPr>
                <w:rFonts w:ascii="Arial" w:hAnsi="Arial" w:cs="Arial"/>
                <w:sz w:val="18"/>
                <w:szCs w:val="18"/>
              </w:rPr>
              <w:t xml:space="preserve"> (OT3, OT4 e OT9)</w:t>
            </w:r>
          </w:p>
          <w:p w14:paraId="76B42651" w14:textId="77777777" w:rsidR="000444D8" w:rsidRPr="008B150B"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Asse VI Strategia turistica delle Aree Interne</w:t>
            </w:r>
            <w:r>
              <w:rPr>
                <w:sz w:val="20"/>
              </w:rPr>
              <w:t xml:space="preserve"> (OT6)</w:t>
            </w:r>
          </w:p>
          <w:p w14:paraId="782EE51D" w14:textId="77777777" w:rsidR="000444D8" w:rsidRPr="00CB56E3" w:rsidRDefault="000444D8" w:rsidP="00F1685B">
            <w:pPr>
              <w:jc w:val="left"/>
              <w:cnfStyle w:val="000000100000" w:firstRow="0" w:lastRow="0" w:firstColumn="0" w:lastColumn="0" w:oddVBand="0" w:evenVBand="0" w:oddHBand="1" w:evenHBand="0" w:firstRowFirstColumn="0" w:firstRowLastColumn="0" w:lastRowFirstColumn="0" w:lastRowLastColumn="0"/>
              <w:rPr>
                <w:b/>
                <w:bCs/>
                <w:sz w:val="20"/>
              </w:rPr>
            </w:pPr>
            <w:r w:rsidRPr="00CB56E3">
              <w:rPr>
                <w:b/>
                <w:bCs/>
                <w:sz w:val="20"/>
              </w:rPr>
              <w:t xml:space="preserve">FSE </w:t>
            </w:r>
          </w:p>
          <w:p w14:paraId="3A1874C2" w14:textId="77777777" w:rsidR="000444D8" w:rsidRPr="004C26B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C26B8">
              <w:rPr>
                <w:rFonts w:ascii="Arial" w:hAnsi="Arial" w:cs="Arial"/>
                <w:sz w:val="18"/>
                <w:szCs w:val="18"/>
              </w:rPr>
              <w:t>Asse I Occupazione</w:t>
            </w:r>
            <w:r>
              <w:rPr>
                <w:rFonts w:ascii="Arial" w:hAnsi="Arial" w:cs="Arial"/>
                <w:sz w:val="18"/>
                <w:szCs w:val="18"/>
              </w:rPr>
              <w:t xml:space="preserve"> (OT8)</w:t>
            </w:r>
          </w:p>
          <w:p w14:paraId="57440D9E" w14:textId="77777777" w:rsidR="000444D8" w:rsidRPr="004C26B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C26B8">
              <w:rPr>
                <w:rFonts w:ascii="Arial" w:hAnsi="Arial" w:cs="Arial"/>
                <w:sz w:val="18"/>
                <w:szCs w:val="18"/>
              </w:rPr>
              <w:t xml:space="preserve">Asse II Inclusione sociale e lotta alla povertà </w:t>
            </w:r>
            <w:r>
              <w:rPr>
                <w:rFonts w:ascii="Arial" w:hAnsi="Arial" w:cs="Arial"/>
                <w:sz w:val="18"/>
                <w:szCs w:val="18"/>
              </w:rPr>
              <w:t>(OT9)</w:t>
            </w:r>
          </w:p>
          <w:p w14:paraId="68CB49C0" w14:textId="77777777" w:rsidR="000444D8" w:rsidRPr="004C26B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C26B8">
              <w:rPr>
                <w:rFonts w:ascii="Arial" w:hAnsi="Arial" w:cs="Arial"/>
                <w:sz w:val="18"/>
                <w:szCs w:val="18"/>
              </w:rPr>
              <w:t>Asse III Istruzione e formazione</w:t>
            </w:r>
            <w:r>
              <w:rPr>
                <w:rFonts w:ascii="Arial" w:hAnsi="Arial" w:cs="Arial"/>
                <w:sz w:val="18"/>
                <w:szCs w:val="18"/>
              </w:rPr>
              <w:t xml:space="preserve"> (OT10)</w:t>
            </w:r>
          </w:p>
          <w:p w14:paraId="59D94568" w14:textId="77777777" w:rsidR="000444D8" w:rsidRPr="00CB56E3" w:rsidRDefault="000444D8" w:rsidP="00F1685B">
            <w:pPr>
              <w:jc w:val="left"/>
              <w:cnfStyle w:val="000000100000" w:firstRow="0" w:lastRow="0" w:firstColumn="0" w:lastColumn="0" w:oddVBand="0" w:evenVBand="0" w:oddHBand="1" w:evenHBand="0" w:firstRowFirstColumn="0" w:firstRowLastColumn="0" w:lastRowFirstColumn="0" w:lastRowLastColumn="0"/>
              <w:rPr>
                <w:b/>
                <w:bCs/>
                <w:sz w:val="20"/>
              </w:rPr>
            </w:pPr>
            <w:r w:rsidRPr="00CB56E3">
              <w:rPr>
                <w:b/>
                <w:bCs/>
                <w:sz w:val="20"/>
              </w:rPr>
              <w:t>FEASR</w:t>
            </w:r>
          </w:p>
          <w:p w14:paraId="7F488DE1" w14:textId="77777777" w:rsidR="000444D8" w:rsidRPr="008B150B"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 xml:space="preserve">VI Inclusione sociale, riduzione della povertà e sviluppo economico nelle zone rurali </w:t>
            </w:r>
          </w:p>
        </w:tc>
      </w:tr>
      <w:tr w:rsidR="000444D8" w:rsidRPr="00712A8D" w14:paraId="1F509DBF" w14:textId="77777777" w:rsidTr="00365D4C">
        <w:tc>
          <w:tcPr>
            <w:cnfStyle w:val="001000000000" w:firstRow="0" w:lastRow="0" w:firstColumn="1" w:lastColumn="0" w:oddVBand="0" w:evenVBand="0" w:oddHBand="0" w:evenHBand="0" w:firstRowFirstColumn="0" w:firstRowLastColumn="0" w:lastRowFirstColumn="0" w:lastRowLastColumn="0"/>
            <w:tcW w:w="807" w:type="pct"/>
            <w:shd w:val="clear" w:color="auto" w:fill="D9D9D9" w:themeFill="background1" w:themeFillShade="D9"/>
          </w:tcPr>
          <w:p w14:paraId="1D072370" w14:textId="77777777" w:rsidR="000444D8" w:rsidRPr="00DA6D9F" w:rsidRDefault="000444D8" w:rsidP="00F1685B">
            <w:pPr>
              <w:widowControl w:val="0"/>
              <w:spacing w:line="120" w:lineRule="atLeast"/>
              <w:jc w:val="left"/>
              <w:rPr>
                <w:bCs w:val="0"/>
                <w:sz w:val="20"/>
              </w:rPr>
            </w:pPr>
            <w:bookmarkStart w:id="9" w:name="_Hlk74128859"/>
            <w:r w:rsidRPr="00DA6D9F">
              <w:rPr>
                <w:bCs w:val="0"/>
                <w:sz w:val="20"/>
              </w:rPr>
              <w:t>Migliorare l’efficienza della PA</w:t>
            </w:r>
            <w:bookmarkEnd w:id="9"/>
          </w:p>
        </w:tc>
        <w:tc>
          <w:tcPr>
            <w:tcW w:w="2163" w:type="pct"/>
          </w:tcPr>
          <w:p w14:paraId="35E74A78" w14:textId="77777777" w:rsidR="000444D8" w:rsidRPr="00CB56E3" w:rsidRDefault="000444D8" w:rsidP="00F1685B">
            <w:pPr>
              <w:jc w:val="left"/>
              <w:cnfStyle w:val="000000000000" w:firstRow="0" w:lastRow="0" w:firstColumn="0" w:lastColumn="0" w:oddVBand="0" w:evenVBand="0" w:oddHBand="0" w:evenHBand="0" w:firstRowFirstColumn="0" w:firstRowLastColumn="0" w:lastRowFirstColumn="0" w:lastRowLastColumn="0"/>
              <w:rPr>
                <w:b/>
                <w:bCs/>
                <w:sz w:val="20"/>
              </w:rPr>
            </w:pPr>
            <w:r w:rsidRPr="00CB56E3">
              <w:rPr>
                <w:b/>
                <w:bCs/>
                <w:sz w:val="20"/>
              </w:rPr>
              <w:t>Area Istituzionale</w:t>
            </w:r>
          </w:p>
          <w:p w14:paraId="05209BB7" w14:textId="77777777" w:rsidR="000444D8" w:rsidRPr="008B150B"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sz w:val="20"/>
              </w:rPr>
            </w:pPr>
            <w:r w:rsidRPr="005E09E8">
              <w:rPr>
                <w:sz w:val="20"/>
              </w:rPr>
              <w:t xml:space="preserve">Missione 1 </w:t>
            </w:r>
            <w:bookmarkStart w:id="10" w:name="_Hlk74128963"/>
            <w:r w:rsidRPr="005E09E8">
              <w:rPr>
                <w:sz w:val="20"/>
              </w:rPr>
              <w:t>- Assetti istituzionali, servizi istituzionali e generali, di gestione</w:t>
            </w:r>
            <w:bookmarkEnd w:id="10"/>
          </w:p>
        </w:tc>
        <w:tc>
          <w:tcPr>
            <w:tcW w:w="2030" w:type="pct"/>
          </w:tcPr>
          <w:p w14:paraId="4F025ED9" w14:textId="77777777" w:rsidR="000444D8" w:rsidRDefault="000444D8" w:rsidP="00F1685B">
            <w:pPr>
              <w:jc w:val="left"/>
              <w:cnfStyle w:val="000000000000" w:firstRow="0" w:lastRow="0" w:firstColumn="0" w:lastColumn="0" w:oddVBand="0" w:evenVBand="0" w:oddHBand="0" w:evenHBand="0" w:firstRowFirstColumn="0" w:firstRowLastColumn="0" w:lastRowFirstColumn="0" w:lastRowLastColumn="0"/>
              <w:rPr>
                <w:sz w:val="20"/>
              </w:rPr>
            </w:pPr>
            <w:r w:rsidRPr="00CB56E3">
              <w:rPr>
                <w:b/>
                <w:bCs/>
                <w:sz w:val="20"/>
              </w:rPr>
              <w:t>FSE</w:t>
            </w:r>
            <w:r w:rsidRPr="008B150B">
              <w:rPr>
                <w:sz w:val="20"/>
              </w:rPr>
              <w:t xml:space="preserve"> </w:t>
            </w:r>
          </w:p>
          <w:p w14:paraId="28FD7A7C" w14:textId="77777777" w:rsidR="000444D8" w:rsidRPr="008B150B"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sz w:val="20"/>
              </w:rPr>
            </w:pPr>
            <w:r w:rsidRPr="008B150B">
              <w:rPr>
                <w:sz w:val="20"/>
              </w:rPr>
              <w:t>Asse IV Capacità istituzionale e amministrativa</w:t>
            </w:r>
            <w:r>
              <w:rPr>
                <w:sz w:val="20"/>
              </w:rPr>
              <w:t xml:space="preserve"> (OT11)</w:t>
            </w:r>
          </w:p>
        </w:tc>
      </w:tr>
    </w:tbl>
    <w:p w14:paraId="72C072CA" w14:textId="77777777" w:rsidR="000444D8" w:rsidRDefault="000444D8" w:rsidP="000444D8"/>
    <w:p w14:paraId="5C009762" w14:textId="77777777" w:rsidR="002F3B80" w:rsidRDefault="002F3B80">
      <w:pPr>
        <w:spacing w:after="320" w:line="300" w:lineRule="auto"/>
        <w:jc w:val="left"/>
      </w:pPr>
      <w:r>
        <w:br w:type="page"/>
      </w:r>
    </w:p>
    <w:p w14:paraId="1DBC68F0" w14:textId="77777777" w:rsidR="000444D8" w:rsidRDefault="000444D8" w:rsidP="000444D8">
      <w:pPr>
        <w:pStyle w:val="Didascalia"/>
      </w:pPr>
      <w:bookmarkStart w:id="11" w:name="_Toc91081428"/>
      <w:r>
        <w:t xml:space="preserve">Tabella </w:t>
      </w:r>
      <w:r w:rsidR="004E6566">
        <w:fldChar w:fldCharType="begin"/>
      </w:r>
      <w:r>
        <w:instrText xml:space="preserve"> SEQ Tabella \* ARABIC </w:instrText>
      </w:r>
      <w:r w:rsidR="004E6566">
        <w:fldChar w:fldCharType="separate"/>
      </w:r>
      <w:r w:rsidR="00E53D6C">
        <w:rPr>
          <w:noProof/>
        </w:rPr>
        <w:t>2</w:t>
      </w:r>
      <w:r w:rsidR="004E6566">
        <w:fldChar w:fldCharType="end"/>
      </w:r>
      <w:r w:rsidR="002E2F1F">
        <w:t xml:space="preserve">. </w:t>
      </w:r>
      <w:r>
        <w:t>Macro-domande della valutazione unitaria</w:t>
      </w:r>
      <w:bookmarkEnd w:id="11"/>
    </w:p>
    <w:tbl>
      <w:tblPr>
        <w:tblStyle w:val="Tabellaelenco3-colore21"/>
        <w:tblW w:w="5000" w:type="pct"/>
        <w:tblLayout w:type="fixed"/>
        <w:tblLook w:val="04A0" w:firstRow="1" w:lastRow="0" w:firstColumn="1" w:lastColumn="0" w:noHBand="0" w:noVBand="1"/>
      </w:tblPr>
      <w:tblGrid>
        <w:gridCol w:w="1503"/>
        <w:gridCol w:w="1894"/>
        <w:gridCol w:w="1134"/>
        <w:gridCol w:w="1188"/>
        <w:gridCol w:w="3909"/>
      </w:tblGrid>
      <w:tr w:rsidR="00365D4C" w:rsidRPr="00365D4C" w14:paraId="44D63AF4" w14:textId="77777777" w:rsidTr="007251A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80" w:type="pct"/>
            <w:shd w:val="clear" w:color="auto" w:fill="669748" w:themeFill="accent2" w:themeFillShade="BF"/>
          </w:tcPr>
          <w:p w14:paraId="60128CF6" w14:textId="77777777" w:rsidR="000444D8" w:rsidRPr="00365D4C" w:rsidRDefault="000444D8" w:rsidP="00F1685B">
            <w:pPr>
              <w:rPr>
                <w:rFonts w:cs="Calibri"/>
                <w:color w:val="FFFFFF" w:themeColor="background1"/>
                <w:sz w:val="20"/>
              </w:rPr>
            </w:pPr>
            <w:r w:rsidRPr="00365D4C">
              <w:rPr>
                <w:rFonts w:cs="Calibri"/>
                <w:color w:val="FFFFFF" w:themeColor="background1"/>
                <w:sz w:val="20"/>
              </w:rPr>
              <w:t>Obiettivi Europa 2020</w:t>
            </w:r>
          </w:p>
        </w:tc>
        <w:tc>
          <w:tcPr>
            <w:tcW w:w="983" w:type="pct"/>
            <w:shd w:val="clear" w:color="auto" w:fill="669748" w:themeFill="accent2" w:themeFillShade="BF"/>
          </w:tcPr>
          <w:p w14:paraId="42B6A809" w14:textId="77777777" w:rsidR="000444D8" w:rsidRPr="00365D4C" w:rsidRDefault="000444D8" w:rsidP="00F1685B">
            <w:pP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365D4C">
              <w:rPr>
                <w:color w:val="FFFFFF" w:themeColor="background1"/>
                <w:sz w:val="20"/>
              </w:rPr>
              <w:t xml:space="preserve">Tematiche trasversali rilevanti: </w:t>
            </w:r>
          </w:p>
          <w:p w14:paraId="745945F8" w14:textId="77777777" w:rsidR="000444D8" w:rsidRPr="00365D4C" w:rsidRDefault="000444D8" w:rsidP="00F1685B">
            <w:pP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rPr>
            </w:pPr>
            <w:r w:rsidRPr="00365D4C">
              <w:rPr>
                <w:color w:val="FFFFFF" w:themeColor="background1"/>
                <w:sz w:val="20"/>
              </w:rPr>
              <w:t>Missioni PRS XI Legislatura</w:t>
            </w:r>
          </w:p>
        </w:tc>
        <w:tc>
          <w:tcPr>
            <w:tcW w:w="589" w:type="pct"/>
            <w:shd w:val="clear" w:color="auto" w:fill="669748" w:themeFill="accent2" w:themeFillShade="BF"/>
          </w:tcPr>
          <w:p w14:paraId="1FDE4018" w14:textId="77777777" w:rsidR="000444D8" w:rsidRPr="00365D4C" w:rsidRDefault="000444D8" w:rsidP="00F1685B">
            <w:pP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rPr>
            </w:pPr>
            <w:r w:rsidRPr="00365D4C">
              <w:rPr>
                <w:rFonts w:cs="Calibri"/>
                <w:color w:val="FFFFFF" w:themeColor="background1"/>
                <w:sz w:val="20"/>
              </w:rPr>
              <w:t>Assi/priorità rilevanti POR e PSR</w:t>
            </w:r>
          </w:p>
        </w:tc>
        <w:tc>
          <w:tcPr>
            <w:tcW w:w="617" w:type="pct"/>
            <w:shd w:val="clear" w:color="auto" w:fill="669748" w:themeFill="accent2" w:themeFillShade="BF"/>
          </w:tcPr>
          <w:p w14:paraId="2C4D9C15" w14:textId="77777777" w:rsidR="000444D8" w:rsidRPr="00365D4C" w:rsidRDefault="000444D8" w:rsidP="00F1685B">
            <w:pP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rPr>
            </w:pPr>
            <w:r w:rsidRPr="00365D4C">
              <w:rPr>
                <w:rFonts w:cs="Calibri"/>
                <w:color w:val="FFFFFF" w:themeColor="background1"/>
                <w:sz w:val="20"/>
              </w:rPr>
              <w:t>Ambiti valutativi prioritari rilevanti</w:t>
            </w:r>
          </w:p>
        </w:tc>
        <w:tc>
          <w:tcPr>
            <w:tcW w:w="2030" w:type="pct"/>
            <w:shd w:val="clear" w:color="auto" w:fill="669748" w:themeFill="accent2" w:themeFillShade="BF"/>
          </w:tcPr>
          <w:p w14:paraId="3869906B" w14:textId="77777777" w:rsidR="000444D8" w:rsidRPr="00365D4C" w:rsidRDefault="000444D8" w:rsidP="00F1685B">
            <w:pP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rPr>
            </w:pPr>
            <w:r w:rsidRPr="00365D4C">
              <w:rPr>
                <w:rFonts w:cs="Calibri"/>
                <w:color w:val="FFFFFF" w:themeColor="background1"/>
                <w:sz w:val="20"/>
              </w:rPr>
              <w:t>Domande di valutazione unitaria</w:t>
            </w:r>
          </w:p>
        </w:tc>
      </w:tr>
      <w:tr w:rsidR="000444D8" w:rsidRPr="00712A8D" w14:paraId="368B43F0" w14:textId="77777777" w:rsidTr="00365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shd w:val="clear" w:color="auto" w:fill="D9D9D9" w:themeFill="background1" w:themeFillShade="D9"/>
          </w:tcPr>
          <w:p w14:paraId="69A07390" w14:textId="77777777" w:rsidR="000444D8" w:rsidRPr="00DA6D9F" w:rsidRDefault="000444D8" w:rsidP="00F1685B">
            <w:pPr>
              <w:widowControl w:val="0"/>
              <w:spacing w:line="120" w:lineRule="atLeast"/>
              <w:jc w:val="left"/>
              <w:rPr>
                <w:rFonts w:cs="Calibri"/>
                <w:b w:val="0"/>
                <w:sz w:val="20"/>
              </w:rPr>
            </w:pPr>
            <w:r w:rsidRPr="00DA6D9F">
              <w:rPr>
                <w:rFonts w:cs="Calibri"/>
                <w:b w:val="0"/>
                <w:sz w:val="20"/>
              </w:rPr>
              <w:t>Crescita intelligente</w:t>
            </w:r>
          </w:p>
          <w:p w14:paraId="4B7E3BBF" w14:textId="77777777" w:rsidR="00630C06" w:rsidRDefault="00630C06" w:rsidP="00F1685B">
            <w:pPr>
              <w:jc w:val="left"/>
              <w:rPr>
                <w:rFonts w:cs="Calibri"/>
                <w:bCs w:val="0"/>
                <w:i/>
                <w:sz w:val="20"/>
              </w:rPr>
            </w:pPr>
          </w:p>
          <w:p w14:paraId="44C6DF76" w14:textId="77777777" w:rsidR="000444D8" w:rsidRPr="00630C06" w:rsidRDefault="000444D8" w:rsidP="00F1685B">
            <w:pPr>
              <w:jc w:val="left"/>
              <w:rPr>
                <w:rFonts w:cs="Calibri"/>
                <w:b w:val="0"/>
                <w:sz w:val="18"/>
                <w:szCs w:val="18"/>
              </w:rPr>
            </w:pPr>
            <w:r w:rsidRPr="00630C06">
              <w:rPr>
                <w:rFonts w:cs="Calibri"/>
                <w:b w:val="0"/>
                <w:i/>
                <w:sz w:val="18"/>
                <w:szCs w:val="18"/>
              </w:rPr>
              <w:t>economia basata sulla conoscenza e sull'innovazione</w:t>
            </w:r>
          </w:p>
        </w:tc>
        <w:tc>
          <w:tcPr>
            <w:tcW w:w="983" w:type="pct"/>
          </w:tcPr>
          <w:p w14:paraId="1C7779E0" w14:textId="77777777" w:rsidR="000444D8" w:rsidRPr="00CB56E3" w:rsidRDefault="000444D8" w:rsidP="00F1685B">
            <w:pPr>
              <w:jc w:val="left"/>
              <w:cnfStyle w:val="000000100000" w:firstRow="0" w:lastRow="0" w:firstColumn="0" w:lastColumn="0" w:oddVBand="0" w:evenVBand="0" w:oddHBand="1" w:evenHBand="0" w:firstRowFirstColumn="0" w:firstRowLastColumn="0" w:lastRowFirstColumn="0" w:lastRowLastColumn="0"/>
              <w:rPr>
                <w:b/>
                <w:bCs/>
                <w:sz w:val="20"/>
              </w:rPr>
            </w:pPr>
            <w:r w:rsidRPr="00CB56E3">
              <w:rPr>
                <w:b/>
                <w:bCs/>
                <w:sz w:val="20"/>
              </w:rPr>
              <w:t>Area Economica</w:t>
            </w:r>
          </w:p>
          <w:p w14:paraId="2E8B4F35" w14:textId="77777777" w:rsidR="000444D8" w:rsidRPr="008B150B" w:rsidRDefault="000444D8" w:rsidP="00F1685B">
            <w:pPr>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Missione 14 - Sviluppo economico e competitività</w:t>
            </w:r>
          </w:p>
          <w:p w14:paraId="316A6D03" w14:textId="77777777" w:rsidR="000444D8" w:rsidRPr="008B150B" w:rsidRDefault="000444D8" w:rsidP="00F1685B">
            <w:pPr>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Missione 7 - Turismo</w:t>
            </w:r>
          </w:p>
          <w:p w14:paraId="5AE4CDE0" w14:textId="77777777" w:rsidR="000444D8" w:rsidRPr="003F5170" w:rsidRDefault="000444D8" w:rsidP="00F1685B">
            <w:pPr>
              <w:jc w:val="left"/>
              <w:cnfStyle w:val="000000100000" w:firstRow="0" w:lastRow="0" w:firstColumn="0" w:lastColumn="0" w:oddVBand="0" w:evenVBand="0" w:oddHBand="1" w:evenHBand="0" w:firstRowFirstColumn="0" w:firstRowLastColumn="0" w:lastRowFirstColumn="0" w:lastRowLastColumn="0"/>
              <w:rPr>
                <w:rFonts w:cs="Calibri"/>
                <w:sz w:val="20"/>
              </w:rPr>
            </w:pPr>
            <w:r w:rsidRPr="008B150B">
              <w:rPr>
                <w:sz w:val="20"/>
              </w:rPr>
              <w:t>Missione 16 - Agricoltura, politiche agroalimentari e pesca</w:t>
            </w:r>
          </w:p>
        </w:tc>
        <w:tc>
          <w:tcPr>
            <w:tcW w:w="589" w:type="pct"/>
          </w:tcPr>
          <w:p w14:paraId="16BAF6A6" w14:textId="77777777" w:rsidR="000444D8" w:rsidRPr="003F5170" w:rsidRDefault="000444D8" w:rsidP="00F1685B">
            <w:pPr>
              <w:jc w:val="left"/>
              <w:cnfStyle w:val="000000100000" w:firstRow="0" w:lastRow="0" w:firstColumn="0" w:lastColumn="0" w:oddVBand="0" w:evenVBand="0" w:oddHBand="1" w:evenHBand="0" w:firstRowFirstColumn="0" w:firstRowLastColumn="0" w:lastRowFirstColumn="0" w:lastRowLastColumn="0"/>
              <w:rPr>
                <w:rFonts w:cs="Calibri"/>
                <w:sz w:val="20"/>
              </w:rPr>
            </w:pPr>
            <w:r w:rsidRPr="003F5170">
              <w:rPr>
                <w:rFonts w:cs="Calibri"/>
                <w:sz w:val="20"/>
              </w:rPr>
              <w:t>FESR</w:t>
            </w:r>
          </w:p>
          <w:p w14:paraId="1D9503D7" w14:textId="77777777" w:rsidR="000444D8" w:rsidRPr="003F5170"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F5170">
              <w:rPr>
                <w:rFonts w:cs="Calibri"/>
                <w:color w:val="000000"/>
                <w:sz w:val="20"/>
              </w:rPr>
              <w:t xml:space="preserve">Asse I </w:t>
            </w:r>
          </w:p>
          <w:p w14:paraId="78C11828" w14:textId="77777777" w:rsidR="000444D8" w:rsidRPr="003F5170"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F5170">
              <w:rPr>
                <w:rFonts w:cs="Calibri"/>
                <w:color w:val="000000"/>
                <w:sz w:val="20"/>
              </w:rPr>
              <w:t xml:space="preserve">Asse II </w:t>
            </w:r>
          </w:p>
          <w:p w14:paraId="22C8BA8F" w14:textId="77777777" w:rsidR="000444D8" w:rsidRPr="003F5170"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sidRPr="003F5170">
              <w:rPr>
                <w:rFonts w:cs="Calibri"/>
                <w:color w:val="000000"/>
                <w:sz w:val="20"/>
              </w:rPr>
              <w:t>Asse III</w:t>
            </w:r>
          </w:p>
          <w:p w14:paraId="09A9B587" w14:textId="77777777" w:rsidR="00630C06" w:rsidRDefault="00630C06" w:rsidP="00F1685B">
            <w:pPr>
              <w:jc w:val="left"/>
              <w:cnfStyle w:val="000000100000" w:firstRow="0" w:lastRow="0" w:firstColumn="0" w:lastColumn="0" w:oddVBand="0" w:evenVBand="0" w:oddHBand="1" w:evenHBand="0" w:firstRowFirstColumn="0" w:firstRowLastColumn="0" w:lastRowFirstColumn="0" w:lastRowLastColumn="0"/>
              <w:rPr>
                <w:rFonts w:cs="Calibri"/>
                <w:sz w:val="20"/>
              </w:rPr>
            </w:pPr>
          </w:p>
          <w:p w14:paraId="4EA5AAA6" w14:textId="77777777" w:rsidR="000444D8" w:rsidRPr="003F5170" w:rsidRDefault="000444D8" w:rsidP="00F1685B">
            <w:pPr>
              <w:jc w:val="left"/>
              <w:cnfStyle w:val="000000100000" w:firstRow="0" w:lastRow="0" w:firstColumn="0" w:lastColumn="0" w:oddVBand="0" w:evenVBand="0" w:oddHBand="1" w:evenHBand="0" w:firstRowFirstColumn="0" w:firstRowLastColumn="0" w:lastRowFirstColumn="0" w:lastRowLastColumn="0"/>
              <w:rPr>
                <w:rFonts w:cs="Calibri"/>
                <w:sz w:val="20"/>
              </w:rPr>
            </w:pPr>
            <w:r w:rsidRPr="003F5170">
              <w:rPr>
                <w:rFonts w:cs="Calibri"/>
                <w:sz w:val="20"/>
              </w:rPr>
              <w:t>FEASR</w:t>
            </w:r>
          </w:p>
          <w:p w14:paraId="44907B65" w14:textId="77777777" w:rsidR="000444D8" w:rsidRPr="003F5170"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F5170">
              <w:rPr>
                <w:rFonts w:cs="Calibri"/>
                <w:color w:val="000000"/>
                <w:sz w:val="20"/>
              </w:rPr>
              <w:t xml:space="preserve">I </w:t>
            </w:r>
          </w:p>
          <w:p w14:paraId="75DAAA67" w14:textId="77777777" w:rsidR="000444D8" w:rsidRPr="003F5170"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F5170">
              <w:rPr>
                <w:rFonts w:cs="Calibri"/>
                <w:color w:val="000000"/>
                <w:sz w:val="20"/>
              </w:rPr>
              <w:t xml:space="preserve">II </w:t>
            </w:r>
          </w:p>
          <w:p w14:paraId="60C83404" w14:textId="77777777" w:rsidR="000444D8" w:rsidRPr="003F5170"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sidRPr="003F5170">
              <w:rPr>
                <w:rFonts w:cs="Calibri"/>
                <w:color w:val="000000"/>
                <w:sz w:val="20"/>
              </w:rPr>
              <w:t>III</w:t>
            </w:r>
          </w:p>
        </w:tc>
        <w:tc>
          <w:tcPr>
            <w:tcW w:w="617" w:type="pct"/>
          </w:tcPr>
          <w:p w14:paraId="7B806E5E" w14:textId="77777777" w:rsidR="000444D8" w:rsidRPr="003F5170" w:rsidRDefault="000444D8" w:rsidP="00F1685B">
            <w:pPr>
              <w:jc w:val="left"/>
              <w:cnfStyle w:val="000000100000" w:firstRow="0" w:lastRow="0" w:firstColumn="0" w:lastColumn="0" w:oddVBand="0" w:evenVBand="0" w:oddHBand="1" w:evenHBand="0" w:firstRowFirstColumn="0" w:firstRowLastColumn="0" w:lastRowFirstColumn="0" w:lastRowLastColumn="0"/>
              <w:rPr>
                <w:rFonts w:cs="Calibri"/>
                <w:sz w:val="20"/>
              </w:rPr>
            </w:pPr>
            <w:r w:rsidRPr="003F5170">
              <w:rPr>
                <w:rFonts w:cs="Calibri"/>
                <w:sz w:val="20"/>
              </w:rPr>
              <w:t>FESR</w:t>
            </w:r>
          </w:p>
          <w:p w14:paraId="09170217" w14:textId="77777777" w:rsidR="000444D8" w:rsidRPr="003F5170"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F5170">
              <w:rPr>
                <w:rFonts w:cs="Calibri"/>
                <w:color w:val="000000"/>
                <w:sz w:val="20"/>
              </w:rPr>
              <w:t xml:space="preserve">AV. 1.1 </w:t>
            </w:r>
          </w:p>
          <w:p w14:paraId="52B7DC3C" w14:textId="77777777" w:rsidR="000444D8" w:rsidRPr="003F5170"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F5170">
              <w:rPr>
                <w:rFonts w:cs="Calibri"/>
                <w:color w:val="000000"/>
                <w:sz w:val="20"/>
              </w:rPr>
              <w:t>AV. 1.2</w:t>
            </w:r>
          </w:p>
          <w:p w14:paraId="7288C641" w14:textId="77777777" w:rsidR="000444D8" w:rsidRPr="003F5170"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F5170">
              <w:rPr>
                <w:rFonts w:cs="Calibri"/>
                <w:color w:val="000000"/>
                <w:sz w:val="20"/>
              </w:rPr>
              <w:t>AV. 2.1</w:t>
            </w:r>
          </w:p>
          <w:p w14:paraId="042AB15D"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F5170">
              <w:rPr>
                <w:rFonts w:cs="Calibri"/>
                <w:color w:val="000000"/>
                <w:sz w:val="20"/>
              </w:rPr>
              <w:t>AV. 3.1</w:t>
            </w:r>
          </w:p>
          <w:p w14:paraId="74E2F919" w14:textId="77777777" w:rsidR="000444D8" w:rsidRDefault="000444D8" w:rsidP="00F1685B">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FEASR</w:t>
            </w:r>
          </w:p>
          <w:p w14:paraId="427B3CC0"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CEQ 1</w:t>
            </w:r>
          </w:p>
          <w:p w14:paraId="0CD67795"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CEQ 2</w:t>
            </w:r>
          </w:p>
          <w:p w14:paraId="1AB63CD6"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CEQ 3</w:t>
            </w:r>
          </w:p>
          <w:p w14:paraId="5C48AFF0"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CEQ 4</w:t>
            </w:r>
          </w:p>
          <w:p w14:paraId="6B926DFD"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CEQ 5</w:t>
            </w:r>
          </w:p>
          <w:p w14:paraId="6B928103"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CEQ 6</w:t>
            </w:r>
          </w:p>
          <w:p w14:paraId="6E6C44E7"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CEQ 7</w:t>
            </w:r>
          </w:p>
          <w:p w14:paraId="4A9C32A6"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CEQ 16</w:t>
            </w:r>
          </w:p>
          <w:p w14:paraId="654FF753"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CEQ 18</w:t>
            </w:r>
          </w:p>
          <w:p w14:paraId="47D01001"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CEQ 23</w:t>
            </w:r>
          </w:p>
          <w:p w14:paraId="1402E2F0"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CEQ 27</w:t>
            </w:r>
          </w:p>
          <w:p w14:paraId="4DC8CC3B" w14:textId="77777777" w:rsidR="000444D8" w:rsidRPr="009E2E3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CEQ 30</w:t>
            </w:r>
          </w:p>
        </w:tc>
        <w:tc>
          <w:tcPr>
            <w:tcW w:w="2030" w:type="pct"/>
          </w:tcPr>
          <w:p w14:paraId="2B4FD25F" w14:textId="77777777" w:rsidR="000444D8" w:rsidRDefault="000444D8" w:rsidP="003B26A9">
            <w:pPr>
              <w:pStyle w:val="Paragrafoelenco"/>
              <w:numPr>
                <w:ilvl w:val="0"/>
                <w:numId w:val="5"/>
              </w:numPr>
              <w:autoSpaceDE w:val="0"/>
              <w:autoSpaceDN w:val="0"/>
              <w:adjustRightInd w:val="0"/>
              <w:ind w:left="323" w:hanging="323"/>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F5170">
              <w:rPr>
                <w:rFonts w:cs="Calibri"/>
                <w:color w:val="000000"/>
                <w:sz w:val="20"/>
              </w:rPr>
              <w:t xml:space="preserve">Coerenza ed efficacia delle iniziative </w:t>
            </w:r>
            <w:r>
              <w:rPr>
                <w:rFonts w:cs="Calibri"/>
                <w:color w:val="000000"/>
                <w:sz w:val="20"/>
              </w:rPr>
              <w:t>per l’attuazione della</w:t>
            </w:r>
            <w:r w:rsidRPr="003F5170">
              <w:rPr>
                <w:rFonts w:cs="Calibri"/>
                <w:color w:val="000000"/>
                <w:sz w:val="20"/>
              </w:rPr>
              <w:t xml:space="preserve"> S3 rispetto al periodo corrente e implicazioni per il futuro (rispetto allo scenario di ricerca e innovazione, ai partenariati costruiti, alla collaborazione università/impresa al processo di scoperta imprenditoriale etc.)</w:t>
            </w:r>
          </w:p>
          <w:p w14:paraId="30463F4F" w14:textId="77777777" w:rsidR="000444D8" w:rsidRPr="003F5170" w:rsidRDefault="000444D8" w:rsidP="003B26A9">
            <w:pPr>
              <w:pStyle w:val="Paragrafoelenco"/>
              <w:numPr>
                <w:ilvl w:val="0"/>
                <w:numId w:val="5"/>
              </w:numPr>
              <w:autoSpaceDE w:val="0"/>
              <w:autoSpaceDN w:val="0"/>
              <w:adjustRightInd w:val="0"/>
              <w:ind w:left="323" w:hanging="323"/>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Coerenza ed efficacia degli interventi per l’innovazione, lo sviluppo tecnologico e per rafforzare la base di conoscenze sul territorio</w:t>
            </w:r>
          </w:p>
          <w:p w14:paraId="11F78767" w14:textId="77777777" w:rsidR="000444D8" w:rsidRDefault="000444D8" w:rsidP="003B26A9">
            <w:pPr>
              <w:pStyle w:val="Paragrafoelenco"/>
              <w:numPr>
                <w:ilvl w:val="0"/>
                <w:numId w:val="5"/>
              </w:numPr>
              <w:autoSpaceDE w:val="0"/>
              <w:autoSpaceDN w:val="0"/>
              <w:adjustRightInd w:val="0"/>
              <w:ind w:left="323" w:hanging="323"/>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F5170">
              <w:rPr>
                <w:rFonts w:cs="Calibri"/>
                <w:color w:val="000000"/>
                <w:sz w:val="20"/>
              </w:rPr>
              <w:t>Coerenza ed efficacia degli interventi per la competitività delle imprese.</w:t>
            </w:r>
          </w:p>
          <w:p w14:paraId="60123BC1" w14:textId="77777777" w:rsidR="000444D8" w:rsidRPr="003F5170" w:rsidRDefault="000444D8" w:rsidP="003B26A9">
            <w:pPr>
              <w:pStyle w:val="Paragrafoelenco"/>
              <w:numPr>
                <w:ilvl w:val="0"/>
                <w:numId w:val="5"/>
              </w:numPr>
              <w:autoSpaceDE w:val="0"/>
              <w:autoSpaceDN w:val="0"/>
              <w:adjustRightInd w:val="0"/>
              <w:ind w:left="323" w:hanging="323"/>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Coerenza ed efficacia delle iniziative per l’accessibilità e l’uso delle ICT</w:t>
            </w:r>
          </w:p>
        </w:tc>
      </w:tr>
      <w:tr w:rsidR="000444D8" w:rsidRPr="00712A8D" w14:paraId="5C407042" w14:textId="77777777" w:rsidTr="00365D4C">
        <w:tc>
          <w:tcPr>
            <w:cnfStyle w:val="001000000000" w:firstRow="0" w:lastRow="0" w:firstColumn="1" w:lastColumn="0" w:oddVBand="0" w:evenVBand="0" w:oddHBand="0" w:evenHBand="0" w:firstRowFirstColumn="0" w:firstRowLastColumn="0" w:lastRowFirstColumn="0" w:lastRowLastColumn="0"/>
            <w:tcW w:w="780" w:type="pct"/>
            <w:shd w:val="clear" w:color="auto" w:fill="D9D9D9" w:themeFill="background1" w:themeFillShade="D9"/>
          </w:tcPr>
          <w:p w14:paraId="17BA2C73" w14:textId="77777777" w:rsidR="000444D8" w:rsidRPr="00DA6D9F" w:rsidRDefault="000444D8" w:rsidP="00F1685B">
            <w:pPr>
              <w:widowControl w:val="0"/>
              <w:spacing w:line="120" w:lineRule="atLeast"/>
              <w:jc w:val="left"/>
              <w:rPr>
                <w:rFonts w:cs="Calibri"/>
                <w:b w:val="0"/>
                <w:sz w:val="20"/>
              </w:rPr>
            </w:pPr>
            <w:r w:rsidRPr="00DA6D9F">
              <w:rPr>
                <w:rFonts w:cs="Calibri"/>
                <w:b w:val="0"/>
                <w:sz w:val="20"/>
              </w:rPr>
              <w:t>Crescita sostenibile</w:t>
            </w:r>
          </w:p>
          <w:p w14:paraId="5C47FE95" w14:textId="77777777" w:rsidR="00630C06" w:rsidRDefault="00630C06" w:rsidP="00F1685B">
            <w:pPr>
              <w:widowControl w:val="0"/>
              <w:spacing w:line="120" w:lineRule="atLeast"/>
              <w:jc w:val="left"/>
              <w:rPr>
                <w:rFonts w:cs="Calibri"/>
                <w:bCs w:val="0"/>
                <w:i/>
                <w:sz w:val="20"/>
              </w:rPr>
            </w:pPr>
          </w:p>
          <w:p w14:paraId="50FE8CEB" w14:textId="77777777" w:rsidR="000444D8" w:rsidRPr="00630C06" w:rsidRDefault="00630C06" w:rsidP="00F1685B">
            <w:pPr>
              <w:widowControl w:val="0"/>
              <w:spacing w:line="120" w:lineRule="atLeast"/>
              <w:jc w:val="left"/>
              <w:rPr>
                <w:rFonts w:cs="Calibri"/>
                <w:b w:val="0"/>
                <w:i/>
                <w:sz w:val="18"/>
                <w:szCs w:val="18"/>
              </w:rPr>
            </w:pPr>
            <w:r w:rsidRPr="00630C06">
              <w:rPr>
                <w:rFonts w:cs="Calibri"/>
                <w:b w:val="0"/>
                <w:i/>
                <w:sz w:val="18"/>
                <w:szCs w:val="18"/>
              </w:rPr>
              <w:t>e</w:t>
            </w:r>
            <w:r w:rsidR="000444D8" w:rsidRPr="00630C06">
              <w:rPr>
                <w:rFonts w:cs="Calibri"/>
                <w:b w:val="0"/>
                <w:i/>
                <w:sz w:val="18"/>
                <w:szCs w:val="18"/>
              </w:rPr>
              <w:t>conomia più efficiente sotto il profilo delle risorse, più verde e più competitiva</w:t>
            </w:r>
          </w:p>
        </w:tc>
        <w:tc>
          <w:tcPr>
            <w:tcW w:w="983" w:type="pct"/>
          </w:tcPr>
          <w:p w14:paraId="5070F7B3" w14:textId="77777777" w:rsidR="000444D8" w:rsidRPr="00CB56E3" w:rsidRDefault="000444D8" w:rsidP="00F1685B">
            <w:pPr>
              <w:jc w:val="left"/>
              <w:cnfStyle w:val="000000000000" w:firstRow="0" w:lastRow="0" w:firstColumn="0" w:lastColumn="0" w:oddVBand="0" w:evenVBand="0" w:oddHBand="0" w:evenHBand="0" w:firstRowFirstColumn="0" w:firstRowLastColumn="0" w:lastRowFirstColumn="0" w:lastRowLastColumn="0"/>
              <w:rPr>
                <w:b/>
                <w:bCs/>
                <w:sz w:val="20"/>
              </w:rPr>
            </w:pPr>
            <w:r w:rsidRPr="00CB56E3">
              <w:rPr>
                <w:b/>
                <w:bCs/>
                <w:sz w:val="20"/>
              </w:rPr>
              <w:t>Area Territoriale</w:t>
            </w:r>
          </w:p>
          <w:p w14:paraId="18DB7030" w14:textId="77777777" w:rsidR="000444D8" w:rsidRPr="005E09E8" w:rsidRDefault="000444D8" w:rsidP="00F1685B">
            <w:pPr>
              <w:jc w:val="left"/>
              <w:cnfStyle w:val="000000000000" w:firstRow="0" w:lastRow="0" w:firstColumn="0" w:lastColumn="0" w:oddVBand="0" w:evenVBand="0" w:oddHBand="0" w:evenHBand="0" w:firstRowFirstColumn="0" w:firstRowLastColumn="0" w:lastRowFirstColumn="0" w:lastRowLastColumn="0"/>
              <w:rPr>
                <w:sz w:val="20"/>
              </w:rPr>
            </w:pPr>
            <w:r w:rsidRPr="005E09E8">
              <w:rPr>
                <w:sz w:val="20"/>
              </w:rPr>
              <w:t>Missione 8 - Assetto del territorio ed edilizia abitativa</w:t>
            </w:r>
          </w:p>
          <w:p w14:paraId="356B92F7" w14:textId="77777777" w:rsidR="000444D8" w:rsidRPr="005E09E8" w:rsidRDefault="000444D8" w:rsidP="00F1685B">
            <w:pPr>
              <w:jc w:val="left"/>
              <w:cnfStyle w:val="000000000000" w:firstRow="0" w:lastRow="0" w:firstColumn="0" w:lastColumn="0" w:oddVBand="0" w:evenVBand="0" w:oddHBand="0" w:evenHBand="0" w:firstRowFirstColumn="0" w:firstRowLastColumn="0" w:lastRowFirstColumn="0" w:lastRowLastColumn="0"/>
              <w:rPr>
                <w:sz w:val="20"/>
              </w:rPr>
            </w:pPr>
            <w:r w:rsidRPr="005E09E8">
              <w:rPr>
                <w:sz w:val="20"/>
              </w:rPr>
              <w:t>Missione 11 – Soccorso civile</w:t>
            </w:r>
          </w:p>
          <w:p w14:paraId="7AF1EA0A" w14:textId="77777777" w:rsidR="000444D8" w:rsidRPr="005E09E8" w:rsidRDefault="000444D8" w:rsidP="00F1685B">
            <w:pPr>
              <w:jc w:val="left"/>
              <w:cnfStyle w:val="000000000000" w:firstRow="0" w:lastRow="0" w:firstColumn="0" w:lastColumn="0" w:oddVBand="0" w:evenVBand="0" w:oddHBand="0" w:evenHBand="0" w:firstRowFirstColumn="0" w:firstRowLastColumn="0" w:lastRowFirstColumn="0" w:lastRowLastColumn="0"/>
              <w:rPr>
                <w:sz w:val="20"/>
              </w:rPr>
            </w:pPr>
            <w:r w:rsidRPr="005E09E8">
              <w:rPr>
                <w:sz w:val="20"/>
              </w:rPr>
              <w:t>Missione 9 - Sviluppo sostenibile e tutela del territorio e</w:t>
            </w:r>
            <w:r>
              <w:rPr>
                <w:sz w:val="20"/>
              </w:rPr>
              <w:t xml:space="preserve"> d</w:t>
            </w:r>
            <w:r w:rsidRPr="005E09E8">
              <w:rPr>
                <w:sz w:val="20"/>
              </w:rPr>
              <w:t>ell’ambiente</w:t>
            </w:r>
          </w:p>
          <w:p w14:paraId="2DAC7972" w14:textId="77777777" w:rsidR="000444D8" w:rsidRPr="005E09E8" w:rsidRDefault="000444D8" w:rsidP="00F1685B">
            <w:pPr>
              <w:jc w:val="left"/>
              <w:cnfStyle w:val="000000000000" w:firstRow="0" w:lastRow="0" w:firstColumn="0" w:lastColumn="0" w:oddVBand="0" w:evenVBand="0" w:oddHBand="0" w:evenHBand="0" w:firstRowFirstColumn="0" w:firstRowLastColumn="0" w:lastRowFirstColumn="0" w:lastRowLastColumn="0"/>
              <w:rPr>
                <w:sz w:val="20"/>
              </w:rPr>
            </w:pPr>
            <w:r w:rsidRPr="005E09E8">
              <w:rPr>
                <w:sz w:val="20"/>
              </w:rPr>
              <w:t>Missione 17 - Energia e diversificazione delle fonti energetiche</w:t>
            </w:r>
          </w:p>
          <w:p w14:paraId="4CBBCEF9" w14:textId="77777777" w:rsidR="000444D8" w:rsidRPr="003F5170" w:rsidRDefault="000444D8" w:rsidP="00F1685B">
            <w:pPr>
              <w:jc w:val="left"/>
              <w:cnfStyle w:val="000000000000" w:firstRow="0" w:lastRow="0" w:firstColumn="0" w:lastColumn="0" w:oddVBand="0" w:evenVBand="0" w:oddHBand="0" w:evenHBand="0" w:firstRowFirstColumn="0" w:firstRowLastColumn="0" w:lastRowFirstColumn="0" w:lastRowLastColumn="0"/>
              <w:rPr>
                <w:rFonts w:cs="Calibri"/>
                <w:sz w:val="20"/>
              </w:rPr>
            </w:pPr>
            <w:r w:rsidRPr="005E09E8">
              <w:rPr>
                <w:sz w:val="20"/>
              </w:rPr>
              <w:t>Missione 10 - Infrastrutture, trasporti e mobilità sostenibile</w:t>
            </w:r>
          </w:p>
        </w:tc>
        <w:tc>
          <w:tcPr>
            <w:tcW w:w="589" w:type="pct"/>
          </w:tcPr>
          <w:p w14:paraId="5C000803" w14:textId="77777777" w:rsidR="000444D8" w:rsidRPr="003F5170" w:rsidRDefault="000444D8" w:rsidP="00F1685B">
            <w:pPr>
              <w:jc w:val="left"/>
              <w:cnfStyle w:val="000000000000" w:firstRow="0" w:lastRow="0" w:firstColumn="0" w:lastColumn="0" w:oddVBand="0" w:evenVBand="0" w:oddHBand="0" w:evenHBand="0" w:firstRowFirstColumn="0" w:firstRowLastColumn="0" w:lastRowFirstColumn="0" w:lastRowLastColumn="0"/>
              <w:rPr>
                <w:rFonts w:cs="Calibri"/>
                <w:sz w:val="20"/>
              </w:rPr>
            </w:pPr>
            <w:bookmarkStart w:id="12" w:name="_Hlk74060217"/>
            <w:r w:rsidRPr="003F5170">
              <w:rPr>
                <w:rFonts w:cs="Calibri"/>
                <w:sz w:val="20"/>
              </w:rPr>
              <w:t>FESR</w:t>
            </w:r>
          </w:p>
          <w:p w14:paraId="084047F7" w14:textId="77777777" w:rsidR="000444D8" w:rsidRPr="003F5170"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3F5170">
              <w:rPr>
                <w:rFonts w:cs="Calibri"/>
                <w:color w:val="000000"/>
                <w:sz w:val="20"/>
              </w:rPr>
              <w:t xml:space="preserve">Asse IV </w:t>
            </w:r>
          </w:p>
          <w:p w14:paraId="25157F49" w14:textId="77777777" w:rsidR="00630C06" w:rsidRDefault="00630C06" w:rsidP="00F1685B">
            <w:pPr>
              <w:jc w:val="left"/>
              <w:cnfStyle w:val="000000000000" w:firstRow="0" w:lastRow="0" w:firstColumn="0" w:lastColumn="0" w:oddVBand="0" w:evenVBand="0" w:oddHBand="0" w:evenHBand="0" w:firstRowFirstColumn="0" w:firstRowLastColumn="0" w:lastRowFirstColumn="0" w:lastRowLastColumn="0"/>
              <w:rPr>
                <w:rFonts w:cs="Calibri"/>
                <w:sz w:val="20"/>
              </w:rPr>
            </w:pPr>
          </w:p>
          <w:p w14:paraId="44C0E1F8" w14:textId="77777777" w:rsidR="000444D8" w:rsidRPr="003F5170" w:rsidRDefault="000444D8" w:rsidP="00F1685B">
            <w:pPr>
              <w:jc w:val="left"/>
              <w:cnfStyle w:val="000000000000" w:firstRow="0" w:lastRow="0" w:firstColumn="0" w:lastColumn="0" w:oddVBand="0" w:evenVBand="0" w:oddHBand="0" w:evenHBand="0" w:firstRowFirstColumn="0" w:firstRowLastColumn="0" w:lastRowFirstColumn="0" w:lastRowLastColumn="0"/>
              <w:rPr>
                <w:rFonts w:cs="Calibri"/>
                <w:sz w:val="20"/>
              </w:rPr>
            </w:pPr>
            <w:r w:rsidRPr="003F5170">
              <w:rPr>
                <w:rFonts w:cs="Calibri"/>
                <w:sz w:val="20"/>
              </w:rPr>
              <w:t>FEASR</w:t>
            </w:r>
          </w:p>
          <w:p w14:paraId="36A9C7C1" w14:textId="77777777" w:rsidR="000444D8" w:rsidRPr="003F5170"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3F5170">
              <w:rPr>
                <w:rFonts w:cs="Calibri"/>
                <w:color w:val="000000"/>
                <w:sz w:val="20"/>
              </w:rPr>
              <w:t xml:space="preserve">IV </w:t>
            </w:r>
          </w:p>
          <w:p w14:paraId="2A60F6BB" w14:textId="77777777" w:rsidR="000444D8" w:rsidRPr="003F5170"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sz w:val="20"/>
              </w:rPr>
            </w:pPr>
            <w:r w:rsidRPr="003F5170">
              <w:rPr>
                <w:rFonts w:cs="Calibri"/>
                <w:color w:val="000000"/>
                <w:sz w:val="20"/>
              </w:rPr>
              <w:t>V</w:t>
            </w:r>
            <w:bookmarkEnd w:id="12"/>
          </w:p>
        </w:tc>
        <w:tc>
          <w:tcPr>
            <w:tcW w:w="617" w:type="pct"/>
          </w:tcPr>
          <w:p w14:paraId="64E61F93" w14:textId="77777777" w:rsidR="000444D8" w:rsidRPr="003F5170" w:rsidRDefault="000444D8" w:rsidP="00F1685B">
            <w:pPr>
              <w:jc w:val="left"/>
              <w:cnfStyle w:val="000000000000" w:firstRow="0" w:lastRow="0" w:firstColumn="0" w:lastColumn="0" w:oddVBand="0" w:evenVBand="0" w:oddHBand="0" w:evenHBand="0" w:firstRowFirstColumn="0" w:firstRowLastColumn="0" w:lastRowFirstColumn="0" w:lastRowLastColumn="0"/>
              <w:rPr>
                <w:rFonts w:cs="Calibri"/>
                <w:sz w:val="20"/>
              </w:rPr>
            </w:pPr>
            <w:r w:rsidRPr="003F5170">
              <w:rPr>
                <w:rFonts w:cs="Calibri"/>
                <w:sz w:val="20"/>
              </w:rPr>
              <w:t>FESR</w:t>
            </w:r>
          </w:p>
          <w:p w14:paraId="6B563AB8" w14:textId="77777777" w:rsidR="000444D8" w:rsidRPr="003F5170"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3F5170">
              <w:rPr>
                <w:rFonts w:cs="Calibri"/>
                <w:color w:val="000000"/>
                <w:sz w:val="20"/>
              </w:rPr>
              <w:t xml:space="preserve">AV 4.1 </w:t>
            </w:r>
          </w:p>
          <w:p w14:paraId="66178965" w14:textId="77777777" w:rsidR="000444D8" w:rsidRPr="003F5170"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3F5170">
              <w:rPr>
                <w:rFonts w:cs="Calibri"/>
                <w:color w:val="000000"/>
                <w:sz w:val="20"/>
              </w:rPr>
              <w:t>AV 4.2</w:t>
            </w:r>
          </w:p>
          <w:p w14:paraId="2FFEDEE7" w14:textId="77777777" w:rsidR="000444D8" w:rsidRPr="003F5170"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3F5170">
              <w:rPr>
                <w:rFonts w:cs="Calibri"/>
                <w:color w:val="000000"/>
                <w:sz w:val="20"/>
              </w:rPr>
              <w:t>AV 9.1</w:t>
            </w:r>
          </w:p>
          <w:p w14:paraId="5FBA1D61" w14:textId="77777777" w:rsidR="000444D8" w:rsidRPr="0084713A"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sz w:val="20"/>
              </w:rPr>
            </w:pPr>
            <w:r w:rsidRPr="003F5170">
              <w:rPr>
                <w:rFonts w:cs="Calibri"/>
                <w:color w:val="000000"/>
                <w:sz w:val="20"/>
              </w:rPr>
              <w:t>AV 5.1</w:t>
            </w:r>
          </w:p>
          <w:p w14:paraId="02060DCD" w14:textId="77777777" w:rsidR="000444D8" w:rsidRDefault="000444D8" w:rsidP="00F1685B">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Calibri"/>
                <w:sz w:val="20"/>
              </w:rPr>
            </w:pPr>
            <w:r>
              <w:rPr>
                <w:rFonts w:cs="Calibri"/>
                <w:sz w:val="20"/>
              </w:rPr>
              <w:t xml:space="preserve">FEASR </w:t>
            </w:r>
          </w:p>
          <w:p w14:paraId="3D4C12BE" w14:textId="77777777" w:rsidR="000444D8" w:rsidRPr="009E2E38"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9E2E38">
              <w:rPr>
                <w:rFonts w:cs="Calibri"/>
                <w:color w:val="000000"/>
                <w:sz w:val="20"/>
              </w:rPr>
              <w:t>CEQ 8</w:t>
            </w:r>
          </w:p>
          <w:p w14:paraId="2A77CF61" w14:textId="77777777" w:rsidR="000444D8" w:rsidRPr="009E2E38"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9E2E38">
              <w:rPr>
                <w:rFonts w:cs="Calibri"/>
                <w:color w:val="000000"/>
                <w:sz w:val="20"/>
              </w:rPr>
              <w:t>CEQ 9</w:t>
            </w:r>
          </w:p>
          <w:p w14:paraId="515B8A3D" w14:textId="77777777" w:rsidR="000444D8" w:rsidRPr="009E2E38"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9E2E38">
              <w:rPr>
                <w:rFonts w:cs="Calibri"/>
                <w:color w:val="000000"/>
                <w:sz w:val="20"/>
              </w:rPr>
              <w:t>CEQ 10</w:t>
            </w:r>
          </w:p>
          <w:p w14:paraId="3FD3235F" w14:textId="77777777" w:rsidR="000444D8" w:rsidRPr="009E2E38"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9E2E38">
              <w:rPr>
                <w:rFonts w:cs="Calibri"/>
                <w:color w:val="000000"/>
                <w:sz w:val="20"/>
              </w:rPr>
              <w:t>CEQ 11</w:t>
            </w:r>
          </w:p>
          <w:p w14:paraId="2200CBDB" w14:textId="77777777" w:rsidR="000444D8" w:rsidRPr="009E2E38"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9E2E38">
              <w:rPr>
                <w:rFonts w:cs="Calibri"/>
                <w:color w:val="000000"/>
                <w:sz w:val="20"/>
              </w:rPr>
              <w:t>CEQ 13</w:t>
            </w:r>
          </w:p>
          <w:p w14:paraId="139949F5" w14:textId="77777777" w:rsidR="000444D8" w:rsidRPr="009E2E38"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9E2E38">
              <w:rPr>
                <w:rFonts w:cs="Calibri"/>
                <w:color w:val="000000"/>
                <w:sz w:val="20"/>
              </w:rPr>
              <w:t>CEQ 14</w:t>
            </w:r>
          </w:p>
          <w:p w14:paraId="7AB6F4B9" w14:textId="77777777" w:rsidR="000444D8" w:rsidRPr="009E2E38"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9E2E38">
              <w:rPr>
                <w:rFonts w:cs="Calibri"/>
                <w:color w:val="000000"/>
                <w:sz w:val="20"/>
              </w:rPr>
              <w:t>CEQ 15</w:t>
            </w:r>
          </w:p>
          <w:p w14:paraId="57D74A4D" w14:textId="77777777" w:rsidR="000444D8" w:rsidRPr="009E2E38"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9E2E38">
              <w:rPr>
                <w:rFonts w:cs="Calibri"/>
                <w:color w:val="000000"/>
                <w:sz w:val="20"/>
              </w:rPr>
              <w:t>CEQ 24</w:t>
            </w:r>
          </w:p>
          <w:p w14:paraId="794A57CB" w14:textId="77777777" w:rsidR="000444D8" w:rsidRPr="009E2E38"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9E2E38">
              <w:rPr>
                <w:rFonts w:cs="Calibri"/>
                <w:color w:val="000000"/>
                <w:sz w:val="20"/>
              </w:rPr>
              <w:t>CEQ 26</w:t>
            </w:r>
          </w:p>
          <w:p w14:paraId="3416EF32" w14:textId="77777777" w:rsidR="000444D8" w:rsidRPr="0084713A"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sz w:val="20"/>
              </w:rPr>
            </w:pPr>
            <w:r w:rsidRPr="009E2E38">
              <w:rPr>
                <w:rFonts w:cs="Calibri"/>
                <w:color w:val="000000"/>
                <w:sz w:val="20"/>
              </w:rPr>
              <w:t>CEQ 28</w:t>
            </w:r>
          </w:p>
        </w:tc>
        <w:tc>
          <w:tcPr>
            <w:tcW w:w="2030" w:type="pct"/>
          </w:tcPr>
          <w:p w14:paraId="6EE33318" w14:textId="77777777" w:rsidR="000444D8" w:rsidRPr="003F5170" w:rsidRDefault="000444D8" w:rsidP="003B26A9">
            <w:pPr>
              <w:pStyle w:val="Paragrafoelenco"/>
              <w:numPr>
                <w:ilvl w:val="0"/>
                <w:numId w:val="5"/>
              </w:numPr>
              <w:autoSpaceDE w:val="0"/>
              <w:autoSpaceDN w:val="0"/>
              <w:adjustRightInd w:val="0"/>
              <w:ind w:left="323" w:hanging="323"/>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sidRPr="003F5170">
              <w:rPr>
                <w:rFonts w:cs="Calibri"/>
                <w:color w:val="000000"/>
                <w:sz w:val="20"/>
              </w:rPr>
              <w:t>Coerenza ed efficacia delle azioni per l’efficienza energetica nel settore pubblico e nei trasporti</w:t>
            </w:r>
          </w:p>
          <w:p w14:paraId="1D2C0912" w14:textId="77777777" w:rsidR="000444D8" w:rsidRDefault="000444D8" w:rsidP="003B26A9">
            <w:pPr>
              <w:pStyle w:val="Paragrafoelenco"/>
              <w:numPr>
                <w:ilvl w:val="0"/>
                <w:numId w:val="5"/>
              </w:numPr>
              <w:autoSpaceDE w:val="0"/>
              <w:autoSpaceDN w:val="0"/>
              <w:adjustRightInd w:val="0"/>
              <w:ind w:left="323" w:hanging="323"/>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Pr>
                <w:rFonts w:cs="Calibri"/>
                <w:color w:val="000000"/>
                <w:sz w:val="20"/>
              </w:rPr>
              <w:t>Coerenza ed efficacia delle azioni per la salvaguardia delle risorse naturali</w:t>
            </w:r>
          </w:p>
          <w:p w14:paraId="3D64BA00" w14:textId="77777777" w:rsidR="000444D8" w:rsidRPr="0084713A" w:rsidRDefault="000444D8" w:rsidP="003B26A9">
            <w:pPr>
              <w:pStyle w:val="Paragrafoelenco"/>
              <w:numPr>
                <w:ilvl w:val="0"/>
                <w:numId w:val="5"/>
              </w:numPr>
              <w:autoSpaceDE w:val="0"/>
              <w:autoSpaceDN w:val="0"/>
              <w:adjustRightInd w:val="0"/>
              <w:ind w:left="323" w:hanging="323"/>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Pr>
                <w:rFonts w:cs="Calibri"/>
                <w:color w:val="000000"/>
                <w:sz w:val="20"/>
              </w:rPr>
              <w:t>Coerenza ed efficacia delle azioni per la riduzione delle emissioni</w:t>
            </w:r>
            <w:r w:rsidR="0095094A">
              <w:rPr>
                <w:rFonts w:cs="Calibri"/>
                <w:color w:val="000000"/>
                <w:sz w:val="20"/>
              </w:rPr>
              <w:t>,</w:t>
            </w:r>
            <w:r>
              <w:rPr>
                <w:rFonts w:cs="Calibri"/>
                <w:color w:val="000000"/>
                <w:sz w:val="20"/>
              </w:rPr>
              <w:t xml:space="preserve"> l’uso delle fonti rinnovabili</w:t>
            </w:r>
            <w:r w:rsidR="0095094A">
              <w:rPr>
                <w:rFonts w:cs="Calibri"/>
                <w:color w:val="000000"/>
                <w:sz w:val="20"/>
              </w:rPr>
              <w:t xml:space="preserve">, </w:t>
            </w:r>
            <w:r w:rsidR="0095094A" w:rsidRPr="0095094A">
              <w:rPr>
                <w:rFonts w:cs="Calibri"/>
                <w:color w:val="000000"/>
                <w:sz w:val="20"/>
              </w:rPr>
              <w:t>la transizione verso i paradigmi dell’economia circolare e modelli di produzione a ridotta generazione di rifiut</w:t>
            </w:r>
            <w:r w:rsidR="0095094A">
              <w:rPr>
                <w:rFonts w:cs="Calibri"/>
                <w:color w:val="000000"/>
                <w:sz w:val="20"/>
              </w:rPr>
              <w:t>i</w:t>
            </w:r>
          </w:p>
        </w:tc>
      </w:tr>
      <w:tr w:rsidR="000444D8" w:rsidRPr="00712A8D" w14:paraId="78F8C061" w14:textId="77777777" w:rsidTr="00365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shd w:val="clear" w:color="auto" w:fill="D9D9D9" w:themeFill="background1" w:themeFillShade="D9"/>
          </w:tcPr>
          <w:p w14:paraId="2F1F8126" w14:textId="77777777" w:rsidR="000444D8" w:rsidRPr="00DA6D9F" w:rsidRDefault="000444D8" w:rsidP="00F1685B">
            <w:pPr>
              <w:widowControl w:val="0"/>
              <w:spacing w:line="120" w:lineRule="atLeast"/>
              <w:jc w:val="left"/>
              <w:rPr>
                <w:rFonts w:cs="Calibri"/>
                <w:b w:val="0"/>
                <w:sz w:val="20"/>
              </w:rPr>
            </w:pPr>
            <w:r w:rsidRPr="00DA6D9F">
              <w:rPr>
                <w:rFonts w:cs="Calibri"/>
                <w:b w:val="0"/>
                <w:sz w:val="20"/>
              </w:rPr>
              <w:t>Crescita inclusiva</w:t>
            </w:r>
          </w:p>
          <w:p w14:paraId="66AA5B3B" w14:textId="77777777" w:rsidR="00630C06" w:rsidRDefault="00630C06" w:rsidP="00F1685B">
            <w:pPr>
              <w:widowControl w:val="0"/>
              <w:spacing w:line="120" w:lineRule="atLeast"/>
              <w:jc w:val="left"/>
              <w:rPr>
                <w:rFonts w:cs="Calibri"/>
                <w:bCs w:val="0"/>
                <w:i/>
                <w:sz w:val="20"/>
              </w:rPr>
            </w:pPr>
          </w:p>
          <w:p w14:paraId="307ACAC4" w14:textId="77777777" w:rsidR="000444D8" w:rsidRPr="00630C06" w:rsidRDefault="000444D8" w:rsidP="00F1685B">
            <w:pPr>
              <w:widowControl w:val="0"/>
              <w:spacing w:line="120" w:lineRule="atLeast"/>
              <w:jc w:val="left"/>
              <w:rPr>
                <w:rFonts w:cs="Calibri"/>
                <w:b w:val="0"/>
                <w:sz w:val="18"/>
                <w:szCs w:val="18"/>
              </w:rPr>
            </w:pPr>
            <w:r w:rsidRPr="00630C06">
              <w:rPr>
                <w:rFonts w:cs="Calibri"/>
                <w:b w:val="0"/>
                <w:i/>
                <w:sz w:val="18"/>
                <w:szCs w:val="18"/>
              </w:rPr>
              <w:t>economia con un alto tasso di occupazione che favorisca la coesione economica, sociale e territoriale</w:t>
            </w:r>
          </w:p>
        </w:tc>
        <w:tc>
          <w:tcPr>
            <w:tcW w:w="983" w:type="pct"/>
          </w:tcPr>
          <w:p w14:paraId="71C17CFE" w14:textId="77777777" w:rsidR="000444D8" w:rsidRPr="00CB56E3" w:rsidRDefault="000444D8" w:rsidP="00F1685B">
            <w:pPr>
              <w:jc w:val="left"/>
              <w:cnfStyle w:val="000000100000" w:firstRow="0" w:lastRow="0" w:firstColumn="0" w:lastColumn="0" w:oddVBand="0" w:evenVBand="0" w:oddHBand="1" w:evenHBand="0" w:firstRowFirstColumn="0" w:firstRowLastColumn="0" w:lastRowFirstColumn="0" w:lastRowLastColumn="0"/>
              <w:rPr>
                <w:b/>
                <w:bCs/>
                <w:sz w:val="20"/>
              </w:rPr>
            </w:pPr>
            <w:r w:rsidRPr="00CB56E3">
              <w:rPr>
                <w:b/>
                <w:bCs/>
                <w:sz w:val="20"/>
              </w:rPr>
              <w:t>Area Economica</w:t>
            </w:r>
          </w:p>
          <w:p w14:paraId="26E51A88" w14:textId="77777777" w:rsidR="000444D8" w:rsidRPr="008B150B" w:rsidRDefault="000444D8" w:rsidP="00F1685B">
            <w:pPr>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Missione 4 - Istruzione e diritto allo studio</w:t>
            </w:r>
          </w:p>
          <w:p w14:paraId="3E37896E" w14:textId="77777777" w:rsidR="000444D8" w:rsidRPr="008B150B" w:rsidRDefault="000444D8" w:rsidP="00F1685B">
            <w:pPr>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 xml:space="preserve">Missione 15 - Politiche per il lavoro e la formazione professionale </w:t>
            </w:r>
          </w:p>
          <w:p w14:paraId="73A01960" w14:textId="77777777" w:rsidR="000444D8" w:rsidRPr="008B150B" w:rsidRDefault="000444D8" w:rsidP="00F1685B">
            <w:pPr>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Missione 5 - Tutela e valorizzazione dei beni e attività culturali</w:t>
            </w:r>
          </w:p>
          <w:p w14:paraId="5FFA5E9A" w14:textId="77777777" w:rsidR="000444D8" w:rsidRPr="008B150B" w:rsidRDefault="000444D8" w:rsidP="00F1685B">
            <w:pPr>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Missione 6 - Politiche giovanili, sport e tempo libero</w:t>
            </w:r>
          </w:p>
          <w:p w14:paraId="230C14FC" w14:textId="77777777" w:rsidR="000444D8" w:rsidRPr="00CB56E3" w:rsidRDefault="000444D8" w:rsidP="00F1685B">
            <w:pPr>
              <w:jc w:val="left"/>
              <w:cnfStyle w:val="000000100000" w:firstRow="0" w:lastRow="0" w:firstColumn="0" w:lastColumn="0" w:oddVBand="0" w:evenVBand="0" w:oddHBand="1" w:evenHBand="0" w:firstRowFirstColumn="0" w:firstRowLastColumn="0" w:lastRowFirstColumn="0" w:lastRowLastColumn="0"/>
              <w:rPr>
                <w:b/>
                <w:bCs/>
                <w:sz w:val="20"/>
              </w:rPr>
            </w:pPr>
            <w:r w:rsidRPr="00CB56E3">
              <w:rPr>
                <w:b/>
                <w:bCs/>
                <w:sz w:val="20"/>
              </w:rPr>
              <w:t>Area Sociale</w:t>
            </w:r>
          </w:p>
          <w:p w14:paraId="218DD5A0" w14:textId="77777777" w:rsidR="000444D8" w:rsidRPr="008B150B" w:rsidRDefault="000444D8" w:rsidP="00F1685B">
            <w:pPr>
              <w:jc w:val="left"/>
              <w:cnfStyle w:val="000000100000" w:firstRow="0" w:lastRow="0" w:firstColumn="0" w:lastColumn="0" w:oddVBand="0" w:evenVBand="0" w:oddHBand="1" w:evenHBand="0" w:firstRowFirstColumn="0" w:firstRowLastColumn="0" w:lastRowFirstColumn="0" w:lastRowLastColumn="0"/>
              <w:rPr>
                <w:sz w:val="20"/>
              </w:rPr>
            </w:pPr>
            <w:r w:rsidRPr="008B150B">
              <w:rPr>
                <w:sz w:val="20"/>
              </w:rPr>
              <w:t>Missione 13 - Tutela della salute</w:t>
            </w:r>
          </w:p>
          <w:p w14:paraId="594918F1" w14:textId="77777777" w:rsidR="000444D8" w:rsidRPr="003F5170" w:rsidRDefault="000444D8" w:rsidP="00F1685B">
            <w:pPr>
              <w:jc w:val="left"/>
              <w:cnfStyle w:val="000000100000" w:firstRow="0" w:lastRow="0" w:firstColumn="0" w:lastColumn="0" w:oddVBand="0" w:evenVBand="0" w:oddHBand="1" w:evenHBand="0" w:firstRowFirstColumn="0" w:firstRowLastColumn="0" w:lastRowFirstColumn="0" w:lastRowLastColumn="0"/>
              <w:rPr>
                <w:rFonts w:cs="Calibri"/>
                <w:sz w:val="20"/>
              </w:rPr>
            </w:pPr>
            <w:r w:rsidRPr="008B150B">
              <w:rPr>
                <w:sz w:val="20"/>
              </w:rPr>
              <w:t>Missione 12 - Diritti sociali, politiche sociali, pari opportunità e famiglia</w:t>
            </w:r>
          </w:p>
        </w:tc>
        <w:tc>
          <w:tcPr>
            <w:tcW w:w="589" w:type="pct"/>
          </w:tcPr>
          <w:p w14:paraId="644EA9C5" w14:textId="77777777" w:rsidR="000444D8" w:rsidRPr="003F5170" w:rsidRDefault="000444D8" w:rsidP="00F1685B">
            <w:pPr>
              <w:jc w:val="left"/>
              <w:cnfStyle w:val="000000100000" w:firstRow="0" w:lastRow="0" w:firstColumn="0" w:lastColumn="0" w:oddVBand="0" w:evenVBand="0" w:oddHBand="1" w:evenHBand="0" w:firstRowFirstColumn="0" w:firstRowLastColumn="0" w:lastRowFirstColumn="0" w:lastRowLastColumn="0"/>
              <w:rPr>
                <w:rFonts w:cs="Calibri"/>
                <w:sz w:val="20"/>
              </w:rPr>
            </w:pPr>
            <w:r w:rsidRPr="003F5170">
              <w:rPr>
                <w:rFonts w:cs="Calibri"/>
                <w:sz w:val="20"/>
              </w:rPr>
              <w:t xml:space="preserve">FESR </w:t>
            </w:r>
          </w:p>
          <w:p w14:paraId="38D3CAB3"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Asse V</w:t>
            </w:r>
          </w:p>
          <w:p w14:paraId="30141097" w14:textId="77777777" w:rsidR="000444D8" w:rsidRPr="003F5170"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F5170">
              <w:rPr>
                <w:rFonts w:cs="Calibri"/>
                <w:color w:val="000000"/>
                <w:sz w:val="20"/>
              </w:rPr>
              <w:t xml:space="preserve">Asse VI </w:t>
            </w:r>
          </w:p>
          <w:p w14:paraId="0CCD4959" w14:textId="77777777" w:rsidR="00630C06" w:rsidRDefault="00630C06" w:rsidP="00F1685B">
            <w:pPr>
              <w:jc w:val="left"/>
              <w:cnfStyle w:val="000000100000" w:firstRow="0" w:lastRow="0" w:firstColumn="0" w:lastColumn="0" w:oddVBand="0" w:evenVBand="0" w:oddHBand="1" w:evenHBand="0" w:firstRowFirstColumn="0" w:firstRowLastColumn="0" w:lastRowFirstColumn="0" w:lastRowLastColumn="0"/>
              <w:rPr>
                <w:rFonts w:cs="Calibri"/>
                <w:sz w:val="20"/>
              </w:rPr>
            </w:pPr>
          </w:p>
          <w:p w14:paraId="3A83A2AA" w14:textId="77777777" w:rsidR="000444D8" w:rsidRPr="003F5170" w:rsidRDefault="000444D8" w:rsidP="00F1685B">
            <w:pPr>
              <w:jc w:val="left"/>
              <w:cnfStyle w:val="000000100000" w:firstRow="0" w:lastRow="0" w:firstColumn="0" w:lastColumn="0" w:oddVBand="0" w:evenVBand="0" w:oddHBand="1" w:evenHBand="0" w:firstRowFirstColumn="0" w:firstRowLastColumn="0" w:lastRowFirstColumn="0" w:lastRowLastColumn="0"/>
              <w:rPr>
                <w:rFonts w:cs="Calibri"/>
                <w:sz w:val="20"/>
              </w:rPr>
            </w:pPr>
            <w:r w:rsidRPr="003F5170">
              <w:rPr>
                <w:rFonts w:cs="Calibri"/>
                <w:sz w:val="20"/>
              </w:rPr>
              <w:t xml:space="preserve">FSE </w:t>
            </w:r>
          </w:p>
          <w:p w14:paraId="67042A99" w14:textId="77777777" w:rsidR="000444D8" w:rsidRPr="003F5170"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F5170">
              <w:rPr>
                <w:rFonts w:cs="Calibri"/>
                <w:color w:val="000000"/>
                <w:sz w:val="20"/>
              </w:rPr>
              <w:t xml:space="preserve">Asse I </w:t>
            </w:r>
          </w:p>
          <w:p w14:paraId="25E31D6E" w14:textId="77777777" w:rsidR="000444D8" w:rsidRPr="003F5170"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F5170">
              <w:rPr>
                <w:rFonts w:cs="Calibri"/>
                <w:color w:val="000000"/>
                <w:sz w:val="20"/>
              </w:rPr>
              <w:t>Asse II</w:t>
            </w:r>
          </w:p>
          <w:p w14:paraId="14ECC361" w14:textId="77777777" w:rsidR="000444D8" w:rsidRPr="003F5170"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sidRPr="003F5170">
              <w:rPr>
                <w:rFonts w:cs="Calibri"/>
                <w:color w:val="000000"/>
                <w:sz w:val="20"/>
              </w:rPr>
              <w:t>Asse III</w:t>
            </w:r>
            <w:r w:rsidRPr="003F5170">
              <w:rPr>
                <w:rFonts w:cs="Calibri"/>
                <w:sz w:val="20"/>
              </w:rPr>
              <w:t xml:space="preserve"> </w:t>
            </w:r>
          </w:p>
          <w:p w14:paraId="5A101F7A" w14:textId="77777777" w:rsidR="00630C06" w:rsidRDefault="00630C06" w:rsidP="00F1685B">
            <w:pPr>
              <w:jc w:val="left"/>
              <w:cnfStyle w:val="000000100000" w:firstRow="0" w:lastRow="0" w:firstColumn="0" w:lastColumn="0" w:oddVBand="0" w:evenVBand="0" w:oddHBand="1" w:evenHBand="0" w:firstRowFirstColumn="0" w:firstRowLastColumn="0" w:lastRowFirstColumn="0" w:lastRowLastColumn="0"/>
              <w:rPr>
                <w:rFonts w:cs="Calibri"/>
                <w:sz w:val="20"/>
              </w:rPr>
            </w:pPr>
          </w:p>
          <w:p w14:paraId="379470D9" w14:textId="77777777" w:rsidR="000444D8" w:rsidRPr="003F5170" w:rsidRDefault="000444D8" w:rsidP="00F1685B">
            <w:pPr>
              <w:jc w:val="left"/>
              <w:cnfStyle w:val="000000100000" w:firstRow="0" w:lastRow="0" w:firstColumn="0" w:lastColumn="0" w:oddVBand="0" w:evenVBand="0" w:oddHBand="1" w:evenHBand="0" w:firstRowFirstColumn="0" w:firstRowLastColumn="0" w:lastRowFirstColumn="0" w:lastRowLastColumn="0"/>
              <w:rPr>
                <w:rFonts w:cs="Calibri"/>
                <w:sz w:val="20"/>
              </w:rPr>
            </w:pPr>
            <w:r w:rsidRPr="003F5170">
              <w:rPr>
                <w:rFonts w:cs="Calibri"/>
                <w:sz w:val="20"/>
              </w:rPr>
              <w:t>FEASR</w:t>
            </w:r>
          </w:p>
          <w:p w14:paraId="54BA1364" w14:textId="77777777" w:rsidR="000444D8" w:rsidRPr="003F5170"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sidRPr="003F5170">
              <w:rPr>
                <w:rFonts w:cs="Calibri"/>
                <w:sz w:val="20"/>
              </w:rPr>
              <w:t xml:space="preserve">VI  </w:t>
            </w:r>
          </w:p>
        </w:tc>
        <w:tc>
          <w:tcPr>
            <w:tcW w:w="617" w:type="pct"/>
          </w:tcPr>
          <w:p w14:paraId="0186C603" w14:textId="77777777" w:rsidR="000444D8" w:rsidRPr="003F5170" w:rsidRDefault="000444D8" w:rsidP="00F1685B">
            <w:pPr>
              <w:jc w:val="left"/>
              <w:cnfStyle w:val="000000100000" w:firstRow="0" w:lastRow="0" w:firstColumn="0" w:lastColumn="0" w:oddVBand="0" w:evenVBand="0" w:oddHBand="1" w:evenHBand="0" w:firstRowFirstColumn="0" w:firstRowLastColumn="0" w:lastRowFirstColumn="0" w:lastRowLastColumn="0"/>
              <w:rPr>
                <w:rFonts w:cs="Calibri"/>
                <w:sz w:val="20"/>
              </w:rPr>
            </w:pPr>
            <w:r w:rsidRPr="003F5170">
              <w:rPr>
                <w:rFonts w:cs="Calibri"/>
                <w:sz w:val="20"/>
              </w:rPr>
              <w:t>FESR</w:t>
            </w:r>
          </w:p>
          <w:p w14:paraId="2A671D09" w14:textId="77777777" w:rsidR="000444D8" w:rsidRPr="003F5170"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F5170">
              <w:rPr>
                <w:rFonts w:cs="Calibri"/>
                <w:color w:val="000000"/>
                <w:sz w:val="20"/>
              </w:rPr>
              <w:t>AV 6.1</w:t>
            </w:r>
          </w:p>
          <w:p w14:paraId="50D1A1BC" w14:textId="77777777" w:rsidR="000444D8" w:rsidRPr="003F5170"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F5170">
              <w:rPr>
                <w:rFonts w:cs="Calibri"/>
                <w:color w:val="000000"/>
                <w:sz w:val="20"/>
              </w:rPr>
              <w:t>AV 6.2</w:t>
            </w:r>
          </w:p>
          <w:p w14:paraId="153688DF" w14:textId="77777777" w:rsidR="000444D8" w:rsidRPr="0031773D"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sidRPr="003F5170">
              <w:rPr>
                <w:rFonts w:cs="Calibri"/>
                <w:color w:val="000000"/>
                <w:sz w:val="20"/>
              </w:rPr>
              <w:t>AV 6.3</w:t>
            </w:r>
          </w:p>
          <w:p w14:paraId="682D8D74" w14:textId="77777777" w:rsidR="000444D8" w:rsidRPr="00FC2A39" w:rsidRDefault="000444D8" w:rsidP="00F1685B">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Calibri"/>
                <w:sz w:val="20"/>
              </w:rPr>
            </w:pPr>
            <w:r w:rsidRPr="00FC2A39">
              <w:rPr>
                <w:rFonts w:cs="Calibri"/>
                <w:color w:val="000000"/>
                <w:sz w:val="20"/>
              </w:rPr>
              <w:t>FSE</w:t>
            </w:r>
          </w:p>
          <w:p w14:paraId="36988F0E" w14:textId="77777777" w:rsidR="000444D8" w:rsidRPr="0031773D"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Pr>
                <w:rFonts w:cs="Calibri"/>
                <w:color w:val="000000"/>
                <w:sz w:val="20"/>
              </w:rPr>
              <w:t>AV 8.1</w:t>
            </w:r>
          </w:p>
          <w:p w14:paraId="15B4E5DA"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Pr>
                <w:rFonts w:cs="Calibri"/>
                <w:sz w:val="20"/>
              </w:rPr>
              <w:t>AV 8.2</w:t>
            </w:r>
          </w:p>
          <w:p w14:paraId="57E2A6E6"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Pr>
                <w:rFonts w:cs="Calibri"/>
                <w:sz w:val="20"/>
              </w:rPr>
              <w:t>AV 8.3</w:t>
            </w:r>
          </w:p>
          <w:p w14:paraId="2D29A311"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Pr>
                <w:rFonts w:cs="Calibri"/>
                <w:sz w:val="20"/>
              </w:rPr>
              <w:t>AV 8.4</w:t>
            </w:r>
          </w:p>
          <w:p w14:paraId="31619107"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Pr>
                <w:rFonts w:cs="Calibri"/>
                <w:sz w:val="20"/>
              </w:rPr>
              <w:t>AV 9.1</w:t>
            </w:r>
          </w:p>
          <w:p w14:paraId="070588D2"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Pr>
                <w:rFonts w:cs="Calibri"/>
                <w:sz w:val="20"/>
              </w:rPr>
              <w:t>AV 9.2</w:t>
            </w:r>
          </w:p>
          <w:p w14:paraId="7A5E9A81"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Pr>
                <w:rFonts w:cs="Calibri"/>
                <w:sz w:val="20"/>
              </w:rPr>
              <w:t>AV 9.3</w:t>
            </w:r>
          </w:p>
          <w:p w14:paraId="1A5A4C3D"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Pr>
                <w:rFonts w:cs="Calibri"/>
                <w:sz w:val="20"/>
              </w:rPr>
              <w:t>AV 9.4</w:t>
            </w:r>
          </w:p>
          <w:p w14:paraId="152B7FED"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Pr>
                <w:rFonts w:cs="Calibri"/>
                <w:sz w:val="20"/>
              </w:rPr>
              <w:t>AV 9.5</w:t>
            </w:r>
          </w:p>
          <w:p w14:paraId="40D770AD"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Pr>
                <w:rFonts w:cs="Calibri"/>
                <w:sz w:val="20"/>
              </w:rPr>
              <w:t>AV 9.6</w:t>
            </w:r>
          </w:p>
          <w:p w14:paraId="240A84ED"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Pr>
                <w:rFonts w:cs="Calibri"/>
                <w:sz w:val="20"/>
              </w:rPr>
              <w:t>AV 10.1</w:t>
            </w:r>
          </w:p>
          <w:p w14:paraId="429A370A"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Pr>
                <w:rFonts w:cs="Calibri"/>
                <w:sz w:val="20"/>
              </w:rPr>
              <w:t>AV 10.2</w:t>
            </w:r>
          </w:p>
          <w:p w14:paraId="313E444A" w14:textId="77777777" w:rsidR="000444D8" w:rsidRPr="0031773D"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Pr>
                <w:rFonts w:cs="Calibri"/>
                <w:sz w:val="20"/>
              </w:rPr>
              <w:t>AV 10.3</w:t>
            </w:r>
          </w:p>
          <w:p w14:paraId="3CCE9390" w14:textId="77777777" w:rsidR="000444D8" w:rsidRPr="0084713A" w:rsidRDefault="000444D8" w:rsidP="00F1685B">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Calibri"/>
                <w:sz w:val="20"/>
              </w:rPr>
            </w:pPr>
            <w:r w:rsidRPr="0084713A">
              <w:rPr>
                <w:rFonts w:cs="Calibri"/>
                <w:sz w:val="20"/>
              </w:rPr>
              <w:t>FEASR</w:t>
            </w:r>
          </w:p>
          <w:p w14:paraId="5BFFDC7E"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Pr>
                <w:rFonts w:cs="Calibri"/>
                <w:sz w:val="20"/>
              </w:rPr>
              <w:t>CEQ 17</w:t>
            </w:r>
          </w:p>
          <w:p w14:paraId="01BABE2C"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Pr>
                <w:rFonts w:cs="Calibri"/>
                <w:sz w:val="20"/>
              </w:rPr>
              <w:t>CEQ 22</w:t>
            </w:r>
          </w:p>
          <w:p w14:paraId="741E3CC7" w14:textId="77777777" w:rsidR="000444D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Pr>
                <w:rFonts w:cs="Calibri"/>
                <w:sz w:val="20"/>
              </w:rPr>
              <w:t>CEQ 25</w:t>
            </w:r>
          </w:p>
          <w:p w14:paraId="470E913C" w14:textId="77777777" w:rsidR="000444D8" w:rsidRPr="009E2E38" w:rsidRDefault="000444D8" w:rsidP="003B26A9">
            <w:pPr>
              <w:pStyle w:val="Paragrafoelenco"/>
              <w:numPr>
                <w:ilvl w:val="0"/>
                <w:numId w:val="4"/>
              </w:numPr>
              <w:autoSpaceDE w:val="0"/>
              <w:autoSpaceDN w:val="0"/>
              <w:adjustRightInd w:val="0"/>
              <w:ind w:left="287" w:hanging="287"/>
              <w:jc w:val="left"/>
              <w:cnfStyle w:val="000000100000" w:firstRow="0" w:lastRow="0" w:firstColumn="0" w:lastColumn="0" w:oddVBand="0" w:evenVBand="0" w:oddHBand="1" w:evenHBand="0" w:firstRowFirstColumn="0" w:firstRowLastColumn="0" w:lastRowFirstColumn="0" w:lastRowLastColumn="0"/>
              <w:rPr>
                <w:rFonts w:cs="Calibri"/>
                <w:sz w:val="20"/>
              </w:rPr>
            </w:pPr>
            <w:r>
              <w:rPr>
                <w:rFonts w:cs="Calibri"/>
                <w:sz w:val="20"/>
              </w:rPr>
              <w:t>CEQ 29</w:t>
            </w:r>
          </w:p>
        </w:tc>
        <w:tc>
          <w:tcPr>
            <w:tcW w:w="2030" w:type="pct"/>
          </w:tcPr>
          <w:p w14:paraId="14E68DC8" w14:textId="77777777" w:rsidR="000444D8" w:rsidRDefault="000444D8" w:rsidP="003B26A9">
            <w:pPr>
              <w:pStyle w:val="Paragrafoelenco"/>
              <w:numPr>
                <w:ilvl w:val="0"/>
                <w:numId w:val="5"/>
              </w:numPr>
              <w:autoSpaceDE w:val="0"/>
              <w:autoSpaceDN w:val="0"/>
              <w:adjustRightInd w:val="0"/>
              <w:ind w:left="323" w:hanging="323"/>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F5170">
              <w:rPr>
                <w:rFonts w:cs="Calibri"/>
                <w:color w:val="000000"/>
                <w:sz w:val="20"/>
              </w:rPr>
              <w:t xml:space="preserve">Coerenza ed efficacia delle azioni di sviluppo urbano sostenibile </w:t>
            </w:r>
          </w:p>
          <w:p w14:paraId="6BD9E31B" w14:textId="77777777" w:rsidR="000444D8" w:rsidRDefault="000444D8" w:rsidP="003B26A9">
            <w:pPr>
              <w:pStyle w:val="Paragrafoelenco"/>
              <w:numPr>
                <w:ilvl w:val="0"/>
                <w:numId w:val="5"/>
              </w:numPr>
              <w:autoSpaceDE w:val="0"/>
              <w:autoSpaceDN w:val="0"/>
              <w:adjustRightInd w:val="0"/>
              <w:ind w:left="323" w:hanging="323"/>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sidRPr="003F5170">
              <w:rPr>
                <w:rFonts w:cs="Calibri"/>
                <w:color w:val="000000"/>
                <w:sz w:val="20"/>
              </w:rPr>
              <w:t>Coerenza ed efficacia degli interventi sulle aree interne</w:t>
            </w:r>
            <w:r>
              <w:rPr>
                <w:rFonts w:cs="Calibri"/>
                <w:color w:val="000000"/>
                <w:sz w:val="20"/>
              </w:rPr>
              <w:t xml:space="preserve"> e per lo sviluppo locale</w:t>
            </w:r>
            <w:r w:rsidRPr="003F5170">
              <w:rPr>
                <w:rFonts w:cs="Calibri"/>
                <w:color w:val="000000"/>
                <w:sz w:val="20"/>
              </w:rPr>
              <w:t xml:space="preserve"> (e.g. azioni per lo sviluppo del turismo, servizi di cittadinanza</w:t>
            </w:r>
            <w:r>
              <w:rPr>
                <w:rFonts w:cs="Calibri"/>
                <w:color w:val="000000"/>
                <w:sz w:val="20"/>
              </w:rPr>
              <w:t>, zone rurali</w:t>
            </w:r>
            <w:r w:rsidRPr="003F5170">
              <w:rPr>
                <w:rFonts w:cs="Calibri"/>
                <w:color w:val="000000"/>
                <w:sz w:val="20"/>
              </w:rPr>
              <w:t xml:space="preserve"> etc.)</w:t>
            </w:r>
          </w:p>
          <w:p w14:paraId="20EA7E84" w14:textId="77777777" w:rsidR="000444D8" w:rsidRDefault="000444D8" w:rsidP="003B26A9">
            <w:pPr>
              <w:pStyle w:val="Paragrafoelenco"/>
              <w:numPr>
                <w:ilvl w:val="0"/>
                <w:numId w:val="5"/>
              </w:numPr>
              <w:autoSpaceDE w:val="0"/>
              <w:autoSpaceDN w:val="0"/>
              <w:adjustRightInd w:val="0"/>
              <w:ind w:left="323" w:hanging="323"/>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Efficacia degli interventi per l’occupazione, con particolare attenzione ai giovani ed alla componente femminile</w:t>
            </w:r>
          </w:p>
          <w:p w14:paraId="5F046398" w14:textId="77777777" w:rsidR="000444D8" w:rsidRDefault="000444D8" w:rsidP="003B26A9">
            <w:pPr>
              <w:pStyle w:val="Paragrafoelenco"/>
              <w:numPr>
                <w:ilvl w:val="0"/>
                <w:numId w:val="5"/>
              </w:numPr>
              <w:autoSpaceDE w:val="0"/>
              <w:autoSpaceDN w:val="0"/>
              <w:adjustRightInd w:val="0"/>
              <w:ind w:left="323" w:hanging="323"/>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Efficacia degli interventi per l’inclusione sociale</w:t>
            </w:r>
          </w:p>
          <w:p w14:paraId="466DAFA9" w14:textId="77777777" w:rsidR="000444D8" w:rsidRPr="003F5170" w:rsidRDefault="000444D8" w:rsidP="003B26A9">
            <w:pPr>
              <w:pStyle w:val="Paragrafoelenco"/>
              <w:numPr>
                <w:ilvl w:val="0"/>
                <w:numId w:val="5"/>
              </w:numPr>
              <w:autoSpaceDE w:val="0"/>
              <w:autoSpaceDN w:val="0"/>
              <w:adjustRightInd w:val="0"/>
              <w:ind w:left="323" w:hanging="323"/>
              <w:jc w:val="left"/>
              <w:cnfStyle w:val="000000100000" w:firstRow="0" w:lastRow="0" w:firstColumn="0" w:lastColumn="0" w:oddVBand="0" w:evenVBand="0" w:oddHBand="1" w:evenHBand="0" w:firstRowFirstColumn="0" w:firstRowLastColumn="0" w:lastRowFirstColumn="0" w:lastRowLastColumn="0"/>
              <w:rPr>
                <w:rFonts w:cs="Calibri"/>
                <w:color w:val="000000"/>
                <w:sz w:val="20"/>
              </w:rPr>
            </w:pPr>
            <w:r>
              <w:rPr>
                <w:rFonts w:cs="Calibri"/>
                <w:color w:val="000000"/>
                <w:sz w:val="20"/>
              </w:rPr>
              <w:t>Efficacia degli interventi per la dispersione scolastica, la qualificazione del capitale umano e il legame scuola-lavoro</w:t>
            </w:r>
          </w:p>
        </w:tc>
      </w:tr>
      <w:tr w:rsidR="000444D8" w:rsidRPr="00712A8D" w14:paraId="1B32BC9F" w14:textId="77777777" w:rsidTr="00365D4C">
        <w:tc>
          <w:tcPr>
            <w:cnfStyle w:val="001000000000" w:firstRow="0" w:lastRow="0" w:firstColumn="1" w:lastColumn="0" w:oddVBand="0" w:evenVBand="0" w:oddHBand="0" w:evenHBand="0" w:firstRowFirstColumn="0" w:firstRowLastColumn="0" w:lastRowFirstColumn="0" w:lastRowLastColumn="0"/>
            <w:tcW w:w="780" w:type="pct"/>
            <w:shd w:val="clear" w:color="auto" w:fill="D9D9D9" w:themeFill="background1" w:themeFillShade="D9"/>
          </w:tcPr>
          <w:p w14:paraId="79F94F35" w14:textId="77777777" w:rsidR="000444D8" w:rsidRPr="003F5170" w:rsidRDefault="000444D8" w:rsidP="00F1685B">
            <w:pPr>
              <w:widowControl w:val="0"/>
              <w:spacing w:line="120" w:lineRule="atLeast"/>
              <w:jc w:val="left"/>
              <w:rPr>
                <w:rFonts w:cs="Calibri"/>
                <w:b w:val="0"/>
                <w:sz w:val="20"/>
              </w:rPr>
            </w:pPr>
            <w:r w:rsidRPr="003F5170">
              <w:rPr>
                <w:rFonts w:cs="Calibri"/>
                <w:b w:val="0"/>
                <w:sz w:val="20"/>
              </w:rPr>
              <w:t>Migliorare l’efficienza della PA</w:t>
            </w:r>
          </w:p>
        </w:tc>
        <w:tc>
          <w:tcPr>
            <w:tcW w:w="983" w:type="pct"/>
          </w:tcPr>
          <w:p w14:paraId="6C609BC3" w14:textId="77777777" w:rsidR="000444D8" w:rsidRPr="00CB56E3" w:rsidRDefault="000444D8" w:rsidP="00F1685B">
            <w:pPr>
              <w:jc w:val="left"/>
              <w:cnfStyle w:val="000000000000" w:firstRow="0" w:lastRow="0" w:firstColumn="0" w:lastColumn="0" w:oddVBand="0" w:evenVBand="0" w:oddHBand="0" w:evenHBand="0" w:firstRowFirstColumn="0" w:firstRowLastColumn="0" w:lastRowFirstColumn="0" w:lastRowLastColumn="0"/>
              <w:rPr>
                <w:b/>
                <w:bCs/>
                <w:sz w:val="20"/>
              </w:rPr>
            </w:pPr>
            <w:r w:rsidRPr="00CB56E3">
              <w:rPr>
                <w:b/>
                <w:bCs/>
                <w:sz w:val="20"/>
              </w:rPr>
              <w:t>Area Istituzionale</w:t>
            </w:r>
          </w:p>
          <w:p w14:paraId="51447D40" w14:textId="77777777" w:rsidR="000444D8" w:rsidRPr="003F5170" w:rsidRDefault="000444D8" w:rsidP="00F1685B">
            <w:pPr>
              <w:jc w:val="left"/>
              <w:cnfStyle w:val="000000000000" w:firstRow="0" w:lastRow="0" w:firstColumn="0" w:lastColumn="0" w:oddVBand="0" w:evenVBand="0" w:oddHBand="0" w:evenHBand="0" w:firstRowFirstColumn="0" w:firstRowLastColumn="0" w:lastRowFirstColumn="0" w:lastRowLastColumn="0"/>
              <w:rPr>
                <w:rFonts w:cs="Calibri"/>
                <w:sz w:val="20"/>
              </w:rPr>
            </w:pPr>
            <w:r w:rsidRPr="005E09E8">
              <w:rPr>
                <w:sz w:val="20"/>
              </w:rPr>
              <w:t>Missione 1 - Assetti istituzionali, servizi istituzionali e generali, di gestione</w:t>
            </w:r>
          </w:p>
        </w:tc>
        <w:tc>
          <w:tcPr>
            <w:tcW w:w="589" w:type="pct"/>
          </w:tcPr>
          <w:p w14:paraId="4B85F25E" w14:textId="77777777" w:rsidR="000444D8" w:rsidRPr="003F5170" w:rsidRDefault="000444D8" w:rsidP="00F1685B">
            <w:pPr>
              <w:jc w:val="left"/>
              <w:cnfStyle w:val="000000000000" w:firstRow="0" w:lastRow="0" w:firstColumn="0" w:lastColumn="0" w:oddVBand="0" w:evenVBand="0" w:oddHBand="0" w:evenHBand="0" w:firstRowFirstColumn="0" w:firstRowLastColumn="0" w:lastRowFirstColumn="0" w:lastRowLastColumn="0"/>
              <w:rPr>
                <w:rFonts w:cs="Calibri"/>
                <w:sz w:val="20"/>
              </w:rPr>
            </w:pPr>
            <w:r w:rsidRPr="003F5170">
              <w:rPr>
                <w:rFonts w:cs="Calibri"/>
                <w:sz w:val="20"/>
              </w:rPr>
              <w:t xml:space="preserve">FSE </w:t>
            </w:r>
          </w:p>
          <w:p w14:paraId="6CAFCC20" w14:textId="77777777" w:rsidR="000444D8" w:rsidRPr="003F5170"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sz w:val="20"/>
              </w:rPr>
            </w:pPr>
            <w:r w:rsidRPr="003F5170">
              <w:rPr>
                <w:rFonts w:cs="Calibri"/>
                <w:color w:val="000000"/>
                <w:sz w:val="20"/>
              </w:rPr>
              <w:t>Asse</w:t>
            </w:r>
            <w:r w:rsidRPr="003F5170">
              <w:rPr>
                <w:rFonts w:cs="Calibri"/>
                <w:sz w:val="20"/>
              </w:rPr>
              <w:t xml:space="preserve"> IV </w:t>
            </w:r>
          </w:p>
        </w:tc>
        <w:tc>
          <w:tcPr>
            <w:tcW w:w="617" w:type="pct"/>
          </w:tcPr>
          <w:p w14:paraId="2F36C882" w14:textId="77777777" w:rsidR="000444D8" w:rsidRDefault="000444D8" w:rsidP="00F1685B">
            <w:pPr>
              <w:jc w:val="left"/>
              <w:cnfStyle w:val="000000000000" w:firstRow="0" w:lastRow="0" w:firstColumn="0" w:lastColumn="0" w:oddVBand="0" w:evenVBand="0" w:oddHBand="0" w:evenHBand="0" w:firstRowFirstColumn="0" w:firstRowLastColumn="0" w:lastRowFirstColumn="0" w:lastRowLastColumn="0"/>
              <w:rPr>
                <w:rFonts w:cs="Calibri"/>
                <w:sz w:val="20"/>
              </w:rPr>
            </w:pPr>
            <w:r>
              <w:rPr>
                <w:rFonts w:cs="Calibri"/>
                <w:sz w:val="20"/>
              </w:rPr>
              <w:t>FSE</w:t>
            </w:r>
          </w:p>
          <w:p w14:paraId="63B6F7D2" w14:textId="77777777" w:rsidR="000444D8"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sz w:val="20"/>
              </w:rPr>
            </w:pPr>
            <w:r>
              <w:rPr>
                <w:rFonts w:cs="Calibri"/>
                <w:sz w:val="20"/>
              </w:rPr>
              <w:t>AV 11.1</w:t>
            </w:r>
          </w:p>
          <w:p w14:paraId="7D4E0FE6" w14:textId="77777777" w:rsidR="000444D8"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sz w:val="20"/>
              </w:rPr>
            </w:pPr>
            <w:r>
              <w:rPr>
                <w:rFonts w:cs="Calibri"/>
                <w:sz w:val="20"/>
              </w:rPr>
              <w:t>AV 11.2</w:t>
            </w:r>
          </w:p>
          <w:p w14:paraId="36C4D7E0" w14:textId="77777777" w:rsidR="000444D8" w:rsidRPr="003F5170" w:rsidRDefault="000444D8" w:rsidP="003B26A9">
            <w:pPr>
              <w:pStyle w:val="Paragrafoelenco"/>
              <w:numPr>
                <w:ilvl w:val="0"/>
                <w:numId w:val="4"/>
              </w:numPr>
              <w:autoSpaceDE w:val="0"/>
              <w:autoSpaceDN w:val="0"/>
              <w:adjustRightInd w:val="0"/>
              <w:ind w:left="287" w:hanging="287"/>
              <w:jc w:val="left"/>
              <w:cnfStyle w:val="000000000000" w:firstRow="0" w:lastRow="0" w:firstColumn="0" w:lastColumn="0" w:oddVBand="0" w:evenVBand="0" w:oddHBand="0" w:evenHBand="0" w:firstRowFirstColumn="0" w:firstRowLastColumn="0" w:lastRowFirstColumn="0" w:lastRowLastColumn="0"/>
              <w:rPr>
                <w:rFonts w:cs="Calibri"/>
                <w:sz w:val="20"/>
              </w:rPr>
            </w:pPr>
            <w:r>
              <w:rPr>
                <w:rFonts w:cs="Calibri"/>
                <w:sz w:val="20"/>
              </w:rPr>
              <w:t>AV 11.3</w:t>
            </w:r>
          </w:p>
        </w:tc>
        <w:tc>
          <w:tcPr>
            <w:tcW w:w="2030" w:type="pct"/>
          </w:tcPr>
          <w:p w14:paraId="389A86D0" w14:textId="77777777" w:rsidR="000444D8" w:rsidRPr="003F5170" w:rsidRDefault="000444D8" w:rsidP="003B26A9">
            <w:pPr>
              <w:pStyle w:val="Paragrafoelenco"/>
              <w:numPr>
                <w:ilvl w:val="0"/>
                <w:numId w:val="5"/>
              </w:numPr>
              <w:autoSpaceDE w:val="0"/>
              <w:autoSpaceDN w:val="0"/>
              <w:adjustRightInd w:val="0"/>
              <w:ind w:left="323" w:hanging="323"/>
              <w:jc w:val="left"/>
              <w:cnfStyle w:val="000000000000" w:firstRow="0" w:lastRow="0" w:firstColumn="0" w:lastColumn="0" w:oddVBand="0" w:evenVBand="0" w:oddHBand="0" w:evenHBand="0" w:firstRowFirstColumn="0" w:firstRowLastColumn="0" w:lastRowFirstColumn="0" w:lastRowLastColumn="0"/>
              <w:rPr>
                <w:rFonts w:cs="Calibri"/>
                <w:color w:val="000000"/>
                <w:sz w:val="20"/>
              </w:rPr>
            </w:pPr>
            <w:r>
              <w:rPr>
                <w:rFonts w:cs="Calibri"/>
                <w:color w:val="000000"/>
                <w:sz w:val="20"/>
              </w:rPr>
              <w:t>Efficacia degli interventi per promuovere trasparenza, innovazione e cambiamento istituzionale</w:t>
            </w:r>
          </w:p>
        </w:tc>
      </w:tr>
    </w:tbl>
    <w:p w14:paraId="047AD830" w14:textId="77777777" w:rsidR="000444D8" w:rsidRDefault="000444D8" w:rsidP="000444D8"/>
    <w:p w14:paraId="77C4544B" w14:textId="77777777" w:rsidR="000444D8" w:rsidRDefault="000444D8" w:rsidP="000444D8"/>
    <w:p w14:paraId="41E2BD8D" w14:textId="77777777" w:rsidR="002F3B80" w:rsidRDefault="002F3B80" w:rsidP="002F3B80">
      <w:r>
        <w:t>Per quanto riguarda le fon</w:t>
      </w:r>
      <w:r w:rsidR="000A463B">
        <w:t>t</w:t>
      </w:r>
      <w:r>
        <w:t xml:space="preserve">i dei dati, oltre alle informazioni finanziarie e fisiche, raccolte nel sistema di </w:t>
      </w:r>
      <w:r w:rsidRPr="00CD1B2A">
        <w:t>monitoraggio al 31/12/2020</w:t>
      </w:r>
      <w:r>
        <w:t>, ai valutatori è stato suggerito di realizzare una i</w:t>
      </w:r>
      <w:r w:rsidRPr="00CD1B2A">
        <w:t xml:space="preserve">ndagine sugli interventi significativi (o un sotto-insieme di essi) </w:t>
      </w:r>
      <w:r>
        <w:t xml:space="preserve">relativi a </w:t>
      </w:r>
      <w:r w:rsidRPr="00CD1B2A">
        <w:t xml:space="preserve">creazione, sviluppo delle imprese e/o l’imprenditorialità, co-finanziati dal programma di propria competenza. </w:t>
      </w:r>
      <w:r>
        <w:t>In particolare</w:t>
      </w:r>
      <w:r w:rsidR="00661EED">
        <w:t>,</w:t>
      </w:r>
      <w:r>
        <w:t xml:space="preserve"> è stato suggerito di raccogliere d</w:t>
      </w:r>
      <w:r w:rsidRPr="004F58DC">
        <w:t>ati di prima mano sull’efficacia</w:t>
      </w:r>
      <w:r>
        <w:t>,</w:t>
      </w:r>
      <w:r w:rsidRPr="004F58DC">
        <w:t xml:space="preserve"> </w:t>
      </w:r>
      <w:r>
        <w:t xml:space="preserve">su </w:t>
      </w:r>
      <w:r w:rsidRPr="004F58DC">
        <w:t>un campione rappresentativo di beneficiari</w:t>
      </w:r>
      <w:r>
        <w:t>,</w:t>
      </w:r>
      <w:r w:rsidRPr="004F58DC">
        <w:t xml:space="preserve"> per compensare l’assenza di informazioni utili ad una valutazione integrata</w:t>
      </w:r>
      <w:r>
        <w:t xml:space="preserve"> sul tema imprenditorialità.</w:t>
      </w:r>
    </w:p>
    <w:p w14:paraId="328EB140" w14:textId="77777777" w:rsidR="002F3B80" w:rsidRDefault="002F3B80" w:rsidP="002F3B80">
      <w:r>
        <w:t>Questi suggerimenti relativi al focus valutativo, agli indicatori da utilizzare e agli strumenti per la raccolta dei dati, sono stati accolti in misura variabile dai valutatori indipendenti. Ad ogni modo, ciascuno di essi ha realizzato uno o più approfondimenti rilevanti, i cui esiti sono sintetizzati</w:t>
      </w:r>
      <w:r w:rsidR="000A463B">
        <w:t>, come prima anticipato,</w:t>
      </w:r>
      <w:r>
        <w:t xml:space="preserve"> nel capitolo 3 del presente rapporto.</w:t>
      </w:r>
    </w:p>
    <w:p w14:paraId="2732B4BA" w14:textId="77777777" w:rsidR="002F3B80" w:rsidRDefault="002F3B80" w:rsidP="002F3B80"/>
    <w:p w14:paraId="5F4BFA31" w14:textId="77777777" w:rsidR="002F3B80" w:rsidRPr="00922E2A" w:rsidRDefault="002F3B80" w:rsidP="002F3B80">
      <w:r>
        <w:t xml:space="preserve">Dunque, il capitolo 3 fornisce in primo luogo una analisi introduttiva sul ruolo </w:t>
      </w:r>
      <w:r w:rsidRPr="00365D4C">
        <w:t>delle nuove imprese, in particolar modo quelle innovative, come motore della crescita,</w:t>
      </w:r>
      <w:r w:rsidR="00661EED">
        <w:t xml:space="preserve"> </w:t>
      </w:r>
      <w:r w:rsidRPr="00365D4C">
        <w:t>quindi propone una sintesi ragionata delle evidenze prodotte dai valutatori indipendenti sulle politiche per l’imprenditorialità. Infine, dai risultati si traggono conclusioni e implicazioni per il futuro che sono state sintetizzate in fondo al capitolo 3.</w:t>
      </w:r>
      <w:r>
        <w:t xml:space="preserve"> </w:t>
      </w:r>
    </w:p>
    <w:p w14:paraId="00CA139B" w14:textId="77777777" w:rsidR="000444D8" w:rsidRDefault="000444D8" w:rsidP="000444D8"/>
    <w:p w14:paraId="635EC0B4" w14:textId="77777777" w:rsidR="00CE5866" w:rsidRDefault="00CE5866">
      <w:pPr>
        <w:spacing w:after="320" w:line="300" w:lineRule="auto"/>
        <w:jc w:val="left"/>
        <w:rPr>
          <w:rFonts w:eastAsiaTheme="majorEastAsia" w:cstheme="majorBidi"/>
          <w:color w:val="DF1010" w:themeColor="accent1" w:themeShade="BF"/>
          <w:sz w:val="40"/>
          <w:szCs w:val="36"/>
        </w:rPr>
      </w:pPr>
      <w:r>
        <w:br w:type="page"/>
      </w:r>
    </w:p>
    <w:p w14:paraId="4513975A" w14:textId="77777777" w:rsidR="006F4DB0" w:rsidRDefault="00DB533B" w:rsidP="00C016CC">
      <w:pPr>
        <w:pStyle w:val="Titolo1"/>
      </w:pPr>
      <w:bookmarkStart w:id="13" w:name="_Toc91081388"/>
      <w:r>
        <w:t>Avanzamento dei programmi per area di policy</w:t>
      </w:r>
      <w:bookmarkEnd w:id="13"/>
    </w:p>
    <w:tbl>
      <w:tblPr>
        <w:tblStyle w:val="Grigliatabella"/>
        <w:tblW w:w="0" w:type="auto"/>
        <w:shd w:val="clear" w:color="auto" w:fill="D9D9D9" w:themeFill="background1" w:themeFillShade="D9"/>
        <w:tblLook w:val="04A0" w:firstRow="1" w:lastRow="0" w:firstColumn="1" w:lastColumn="0" w:noHBand="0" w:noVBand="1"/>
      </w:tblPr>
      <w:tblGrid>
        <w:gridCol w:w="9628"/>
      </w:tblGrid>
      <w:tr w:rsidR="002909CC" w14:paraId="5EC7722A" w14:textId="77777777" w:rsidTr="00351CCF">
        <w:tc>
          <w:tcPr>
            <w:tcW w:w="9628" w:type="dxa"/>
            <w:shd w:val="clear" w:color="auto" w:fill="D9D9D9" w:themeFill="background1" w:themeFillShade="D9"/>
          </w:tcPr>
          <w:p w14:paraId="1BA23476" w14:textId="77777777" w:rsidR="002909CC" w:rsidRPr="00644606" w:rsidRDefault="002909CC" w:rsidP="00351CCF">
            <w:pPr>
              <w:rPr>
                <w:b/>
                <w:bCs/>
                <w:i/>
                <w:iCs/>
              </w:rPr>
            </w:pPr>
            <w:r w:rsidRPr="00644606">
              <w:rPr>
                <w:b/>
                <w:bCs/>
                <w:i/>
                <w:iCs/>
                <w:color w:val="FF0000"/>
              </w:rPr>
              <w:t>Messaggi chiave</w:t>
            </w:r>
            <w:r>
              <w:rPr>
                <w:b/>
                <w:bCs/>
                <w:i/>
                <w:iCs/>
                <w:color w:val="FF0000"/>
              </w:rPr>
              <w:t xml:space="preserve"> dalla lettura unitaria dei programmi</w:t>
            </w:r>
          </w:p>
          <w:p w14:paraId="38C34166" w14:textId="77777777" w:rsidR="00985B83" w:rsidRDefault="00985B83" w:rsidP="00351CCF"/>
          <w:p w14:paraId="35B0B82D" w14:textId="77777777" w:rsidR="002909CC" w:rsidRDefault="00B104C3" w:rsidP="00351CCF">
            <w:r>
              <w:t>L</w:t>
            </w:r>
            <w:r w:rsidR="00985B83" w:rsidRPr="00985B83">
              <w:t xml:space="preserve">e risorse dedicate alle politiche </w:t>
            </w:r>
            <w:r w:rsidR="00E6308C">
              <w:t>dell’</w:t>
            </w:r>
            <w:r w:rsidR="00E6308C" w:rsidRPr="00E6308C">
              <w:rPr>
                <w:b/>
                <w:bCs/>
              </w:rPr>
              <w:t>area economica</w:t>
            </w:r>
            <w:r w:rsidRPr="00B104C3">
              <w:t>, finalizzate a</w:t>
            </w:r>
            <w:r>
              <w:t>d una</w:t>
            </w:r>
            <w:r w:rsidRPr="00B104C3">
              <w:t xml:space="preserve"> crescita intelligente, </w:t>
            </w:r>
            <w:r w:rsidR="00985B83" w:rsidRPr="00985B83">
              <w:t>ammontano</w:t>
            </w:r>
            <w:r>
              <w:t xml:space="preserve"> </w:t>
            </w:r>
            <w:r w:rsidR="00985B83" w:rsidRPr="00985B83">
              <w:t xml:space="preserve">a circa 1 miliardo e 333,6 milioni di euro </w:t>
            </w:r>
            <w:r>
              <w:t xml:space="preserve">a fine 2020 </w:t>
            </w:r>
            <w:r w:rsidR="00985B83" w:rsidRPr="00985B83">
              <w:t>(fondi FESR e FEASR programmati). Si tratta, complessivamente, di oltre 133 euro per abitante nel periodo 2014-2020, un valore più alto del livello stimato a fine 2019 a causa delle riprogrammazioni</w:t>
            </w:r>
            <w:r w:rsidR="00985B83">
              <w:t xml:space="preserve"> finalizzate a fronteggiare l’emergenza COVID-19</w:t>
            </w:r>
            <w:r w:rsidR="00985B83" w:rsidRPr="00985B83">
              <w:t>.</w:t>
            </w:r>
          </w:p>
          <w:p w14:paraId="5796732F" w14:textId="77777777" w:rsidR="00985B83" w:rsidRDefault="00985B83" w:rsidP="00351CCF"/>
          <w:p w14:paraId="41CDADF0" w14:textId="7D231147" w:rsidR="00985B83" w:rsidRDefault="00985B83" w:rsidP="00351CCF">
            <w:r w:rsidRPr="00985B83">
              <w:t>Gli interventi per la competitività delle imprese assorbono una quota rilevante delle risorse totali (e.g. nel caso del FESR circa il 30% della dotazione del Programma, circa il 40% nel caso del FEASR). A fine 2020, per quanto riguarda l’attuazione degli interventi relativi al POR FESR afferenti all’area economica, si riscontra un miglioramento generale negli indicatori di monitoraggio. In particolare, si è registrato un aumento nel numero di imprese che hanno ricevuto un sostegno.</w:t>
            </w:r>
            <w:r>
              <w:t xml:space="preserve"> </w:t>
            </w:r>
            <w:r w:rsidRPr="00985B83">
              <w:t xml:space="preserve">Sono in crescita anche il numero di imprese che cooperano con istituti di ricerca (oltre 100% del target), il numero di imprese che diversificano (73% del target), le nuove imprese che ricevono un </w:t>
            </w:r>
            <w:r w:rsidRPr="00825203">
              <w:t xml:space="preserve">sostegno (67,4% del target) e le imprese che introducono nuovi prodotti sul mercato (oltre 100% del target). Per quanto riguarda il raggiungimento dei target FEASR, al 31 dicembre 2020, l’avanzamento </w:t>
            </w:r>
            <w:r w:rsidR="00C90646" w:rsidRPr="00825203">
              <w:t xml:space="preserve">è soddisfacente per </w:t>
            </w:r>
            <w:r w:rsidR="004E6566" w:rsidRPr="00825203">
              <w:t>le Priorità 2 e 3</w:t>
            </w:r>
            <w:r w:rsidR="00825203">
              <w:t xml:space="preserve"> </w:t>
            </w:r>
            <w:r w:rsidR="00C90646" w:rsidRPr="00825203">
              <w:t xml:space="preserve">mentre </w:t>
            </w:r>
            <w:r w:rsidRPr="00825203">
              <w:t>la Priorità 1, promuovere il trasferimento di conoscenze e l'innovazione nel settore agricolo</w:t>
            </w:r>
            <w:r w:rsidRPr="00985B83">
              <w:t xml:space="preserve"> e forestale e nelle zone rurali, risulta ancora lontana dai valori obiettivo, per ciascuna delle FA in essa previste. </w:t>
            </w:r>
          </w:p>
          <w:p w14:paraId="0A969E31" w14:textId="77777777" w:rsidR="002909CC" w:rsidRDefault="002909CC" w:rsidP="00351CCF"/>
          <w:p w14:paraId="4F3F74A6" w14:textId="77777777" w:rsidR="00E6308C" w:rsidRDefault="00E6308C" w:rsidP="00E6308C">
            <w:r>
              <w:t>Nell’</w:t>
            </w:r>
            <w:r w:rsidRPr="00E6308C">
              <w:rPr>
                <w:b/>
                <w:bCs/>
              </w:rPr>
              <w:t>area territoriale</w:t>
            </w:r>
            <w:r>
              <w:t xml:space="preserve">, le risorse dedicate alle politiche per </w:t>
            </w:r>
            <w:r w:rsidR="00B104C3">
              <w:t>una</w:t>
            </w:r>
            <w:r>
              <w:t xml:space="preserve"> crescita sostenibile ammontano a circa 575,3 milioni di euro (fondi FESR e FEASR programmati). A seguito dell’ultima riprogrammazione del POR FESR la dotazione finanziaria disponibile per interventi volti a sostenere la transizione verso un’economia a basse emissioni di carbonio (Asse IV) è stata quasi dimezzata, passando da un importo programmato di 194,6 milioni di euro nel 2019 a 95,6 milioni di euro nel 2020</w:t>
            </w:r>
            <w:r w:rsidR="00A33793">
              <w:t>, favorendo una a</w:t>
            </w:r>
            <w:r>
              <w:t xml:space="preserve">ccelerazione </w:t>
            </w:r>
            <w:r w:rsidR="00A33793">
              <w:t xml:space="preserve">della spesa che è passata </w:t>
            </w:r>
            <w:r>
              <w:t>da</w:t>
            </w:r>
            <w:r w:rsidR="00A33793">
              <w:t>l</w:t>
            </w:r>
            <w:r>
              <w:t xml:space="preserve"> 10,26% nel 2019 al 25,23% nel 2020. </w:t>
            </w:r>
            <w:r w:rsidR="00A33793">
              <w:t>Anche nel caso del FEASR</w:t>
            </w:r>
            <w:r>
              <w:t xml:space="preserve">, le priorità IV e V </w:t>
            </w:r>
            <w:r w:rsidR="00A33793">
              <w:t xml:space="preserve">relative a quest’area di policy </w:t>
            </w:r>
            <w:r>
              <w:t xml:space="preserve">mostrano un ulteriore miglioramento in termini di avanzamento finanziario, rispettivamente pari a 79,70% e 75,01%. </w:t>
            </w:r>
          </w:p>
          <w:p w14:paraId="506ADCA5" w14:textId="77777777" w:rsidR="00E6308C" w:rsidRDefault="00E6308C" w:rsidP="00E6308C"/>
          <w:p w14:paraId="2E9F85B3" w14:textId="77777777" w:rsidR="00C90646" w:rsidRDefault="00E6308C" w:rsidP="00A33793">
            <w:r>
              <w:t>Gli indicatori di realizzazione del POR FESR mostrano un avanzamento apprezzabile, soprattutto in riferimento agli interventi per la mobilità</w:t>
            </w:r>
            <w:r w:rsidR="00E21F3D">
              <w:t xml:space="preserve"> ciclistica</w:t>
            </w:r>
            <w:r>
              <w:t xml:space="preserve">. Si può osservare un miglioramento significativo anche negli indicatori di risultato. Per esempio, gli indicatori relativi ai consumi di energia e alle emissioni per l’illuminazione pubblica, la classe energetica degli edifici, l’utilizzo di mezzi pubblici, le emissioni nel settore dei trasporti etc. mostrano tutti un miglioramento notevole a fine 2020. Per quanto riguarda il FEASR, </w:t>
            </w:r>
            <w:r w:rsidR="00A33793">
              <w:t xml:space="preserve">si registra una buona performance in riferimento alla </w:t>
            </w:r>
            <w:r w:rsidR="005004C6">
              <w:t>P</w:t>
            </w:r>
            <w:r w:rsidR="00A33793">
              <w:t xml:space="preserve">riorità </w:t>
            </w:r>
            <w:r w:rsidR="005004C6">
              <w:t>4 e ritardi nel raggiungimento dei target per quanto invece concerne la Priorità 5</w:t>
            </w:r>
            <w:r>
              <w:t>.</w:t>
            </w:r>
          </w:p>
          <w:p w14:paraId="38D9031D" w14:textId="77777777" w:rsidR="00B104C3" w:rsidRDefault="00B104C3" w:rsidP="00A33793"/>
          <w:p w14:paraId="78593644" w14:textId="77777777" w:rsidR="00B104C3" w:rsidRDefault="00B104C3" w:rsidP="00B104C3">
            <w:r>
              <w:t>Nell’</w:t>
            </w:r>
            <w:r w:rsidRPr="00B104C3">
              <w:rPr>
                <w:b/>
                <w:bCs/>
              </w:rPr>
              <w:t>area socio-economica</w:t>
            </w:r>
            <w:r>
              <w:t>, le risorse dedicate alle politiche per una crescita inclusiva ammontano, in seguito alle riprogrammazioni, a circa 1 miliardo e 73,7 milioni di euro (fondi FESR, FSE e FEASR). Si tratta, complessivamente, di oltre 107 euro per abitante nel periodo 2014-2020.</w:t>
            </w:r>
          </w:p>
          <w:p w14:paraId="1183BA87" w14:textId="77777777" w:rsidR="00B104C3" w:rsidRDefault="00B104C3" w:rsidP="00B104C3"/>
          <w:p w14:paraId="05978F35" w14:textId="77777777" w:rsidR="00B104C3" w:rsidRDefault="00B104C3" w:rsidP="00B104C3">
            <w:r>
              <w:t xml:space="preserve">Nel 2020 è stata approvata una riprogrammazione del POR FSE per far fronte all’epidemia da COVID-19. La riprogrammazione ha visto l’Asse II incrementare le proprie risorse a discapito delle dotazioni finanziarie degli </w:t>
            </w:r>
            <w:r w:rsidR="00BD7440">
              <w:t xml:space="preserve">altri </w:t>
            </w:r>
            <w:r>
              <w:t>Assi</w:t>
            </w:r>
            <w:r w:rsidR="00BD7440">
              <w:t xml:space="preserve">. </w:t>
            </w:r>
            <w:r>
              <w:t xml:space="preserve">Queste redistribuzioni hanno portato alla creazione della nuova azione 9.8.1 “Misura di politica passiva mediante il ricorso al finanziamento alla Cassa Integrazione in Deroga (CIGD)”, con una dotazione finanziaria di 168,5 milioni di euro. </w:t>
            </w:r>
            <w:r w:rsidR="00BD7440">
              <w:t>La riprogrammazione si riflette in un miglioramento nell’ava</w:t>
            </w:r>
            <w:r>
              <w:t>nzamento finanziario</w:t>
            </w:r>
            <w:r w:rsidR="00BD7440">
              <w:t xml:space="preserve"> degli Assi che hanno perso risorse e in un peggioramento </w:t>
            </w:r>
            <w:r>
              <w:t xml:space="preserve">della performance </w:t>
            </w:r>
            <w:r w:rsidR="00BD7440">
              <w:t>dell’Asse II</w:t>
            </w:r>
            <w:r>
              <w:t>.</w:t>
            </w:r>
            <w:r w:rsidR="00BD7440">
              <w:t xml:space="preserve"> </w:t>
            </w:r>
          </w:p>
          <w:p w14:paraId="225DA6A4" w14:textId="77777777" w:rsidR="00B104C3" w:rsidRDefault="00B104C3" w:rsidP="00B104C3"/>
          <w:p w14:paraId="7DCEB8DE" w14:textId="77777777" w:rsidR="00B104C3" w:rsidRDefault="00B104C3" w:rsidP="00B104C3">
            <w:r>
              <w:t xml:space="preserve">La maggior parte dei target degli indicatori di realizzazione dell’Asse I del POR FSE sono stati già ampiamente superati a fine 2020, ad eccezione dei progetti indirizzati ai giovani tra i 15 e 29 anni che però mostrano un buon grado di avanzamento. L’Asse I si caratterizza per un discreto livello di raggiungimento dei risultati in quanto </w:t>
            </w:r>
            <w:r w:rsidR="00EE71C7">
              <w:t xml:space="preserve">il </w:t>
            </w:r>
            <w:r>
              <w:t xml:space="preserve">60% dei 157.891 disoccupati che hanno partecipato alle attività finanziate dalla priorità 8i e il 27% di coloro che hanno partecipato a iniziative afferenti alla priorità di investimento 8v hanno trovato lavoro entro sei mesi dalla fine della partecipazione al progetto. Nel complesso, sia gli indicatori di output relativi agli interventi per l’inclusione sociale (Asse II) sia quelli relativi alla formazione e istruzione (Asse III) dimostrano un ottimo livello di realizzazione. </w:t>
            </w:r>
            <w:r w:rsidR="00EE71C7">
              <w:t xml:space="preserve">Per quanto riguarda i risultati, </w:t>
            </w:r>
            <w:r>
              <w:t xml:space="preserve">il target fissato per il 2023 per gli interventi volti a ridurre l’abbandono scolastico e promuovere parità di accesso all’istruzione </w:t>
            </w:r>
            <w:r w:rsidR="00EE71C7">
              <w:t>è stato raggiunto</w:t>
            </w:r>
            <w:r>
              <w:t>.</w:t>
            </w:r>
          </w:p>
          <w:p w14:paraId="7E970DF0" w14:textId="77777777" w:rsidR="00B104C3" w:rsidRDefault="00B104C3" w:rsidP="00B104C3"/>
          <w:p w14:paraId="03FEA29B" w14:textId="7B59402D" w:rsidR="00B104C3" w:rsidRDefault="00B104C3" w:rsidP="00B104C3">
            <w:r>
              <w:t xml:space="preserve">A seguito della riprogrammazione del POR FESR la dotazione finanziaria disponibile per interventi volti a sostenere uno sviluppo urbano sostenibile (Asse V), che può essere ricondotto all’interno di quest’area socio-economica, è stata ridotta </w:t>
            </w:r>
            <w:r w:rsidR="00BD7440">
              <w:t>significativamente</w:t>
            </w:r>
            <w:r>
              <w:t>. A fine 2020, gli interventi riportano un indice di realizzazione del target che va oltre l’obiettivo fissato al 2023. Si riscontrano buoni risultati, in confronto ai target</w:t>
            </w:r>
            <w:r w:rsidR="00BD7440">
              <w:t>, in relazione per</w:t>
            </w:r>
            <w:r>
              <w:t xml:space="preserve"> esempio</w:t>
            </w:r>
            <w:r w:rsidR="00BD7440">
              <w:t xml:space="preserve"> al</w:t>
            </w:r>
            <w:r>
              <w:t>la riduzione del numero di edifici pubblici caratterizzati da una bassa classe energetica. Altri indicatori invece</w:t>
            </w:r>
            <w:r w:rsidR="00606C66">
              <w:t>, come il turismo nelle aree interne,</w:t>
            </w:r>
            <w:r>
              <w:t xml:space="preserve"> non riportano risultati soddisfacenti.</w:t>
            </w:r>
          </w:p>
          <w:p w14:paraId="5AB0D5DF" w14:textId="77777777" w:rsidR="00B104C3" w:rsidRDefault="00B104C3" w:rsidP="00B104C3"/>
          <w:p w14:paraId="4D09A361" w14:textId="77777777" w:rsidR="00B104C3" w:rsidRDefault="00C016CC" w:rsidP="00B104C3">
            <w:r>
              <w:t>Nel caso del</w:t>
            </w:r>
            <w:r w:rsidR="00B104C3">
              <w:t>le priorità del PSR FEASR afferenti all’area socio-economica</w:t>
            </w:r>
            <w:r>
              <w:t xml:space="preserve"> si osserva </w:t>
            </w:r>
            <w:r w:rsidR="00B104C3">
              <w:t>un leggero miglioramento della performance finanziaria. In merito al</w:t>
            </w:r>
            <w:r w:rsidR="00606C66">
              <w:t xml:space="preserve"> raggiungimento dei target, alcuni indicatori mostrano risultati positivi </w:t>
            </w:r>
            <w:r w:rsidR="00B104C3">
              <w:t>(</w:t>
            </w:r>
            <w:r w:rsidR="00606C66">
              <w:t xml:space="preserve">e.g. </w:t>
            </w:r>
            <w:r w:rsidR="00B104C3">
              <w:t xml:space="preserve">percentuale di popolazione rurale interessata da strategie di sviluppo locale) </w:t>
            </w:r>
            <w:r w:rsidR="00606C66">
              <w:t xml:space="preserve">altri scontano il ritardo </w:t>
            </w:r>
            <w:r w:rsidR="00B104C3">
              <w:t>nell’avvio del LEADER.</w:t>
            </w:r>
          </w:p>
          <w:p w14:paraId="05CD9224" w14:textId="77777777" w:rsidR="00606C66" w:rsidRDefault="00606C66" w:rsidP="00B104C3"/>
          <w:p w14:paraId="3A6C10A6" w14:textId="29FFEC7E" w:rsidR="00606C66" w:rsidRDefault="00B3658B" w:rsidP="00140591">
            <w:r>
              <w:t>Per quanto riguarda l’</w:t>
            </w:r>
            <w:r w:rsidRPr="00B3658B">
              <w:rPr>
                <w:b/>
                <w:bCs/>
              </w:rPr>
              <w:t>area istituzionale</w:t>
            </w:r>
            <w:r>
              <w:t>, l</w:t>
            </w:r>
            <w:r w:rsidR="00140591" w:rsidRPr="00C016CC">
              <w:t>e risorse dedicate alle politiche per il miglioramento della efficienza della PA ammontano a 20 milioni di euro provenienti dal POR FSE.</w:t>
            </w:r>
            <w:r>
              <w:t xml:space="preserve"> </w:t>
            </w:r>
            <w:r w:rsidR="00140591" w:rsidRPr="00C016CC">
              <w:t xml:space="preserve">La performance finanziaria </w:t>
            </w:r>
            <w:r>
              <w:t>de</w:t>
            </w:r>
            <w:r w:rsidR="00140591" w:rsidRPr="00C016CC">
              <w:t>gli interventi sulla capacità istituzionale e amministrativa è migliorata notevolmente dal 2019 al 2020 passando da 14,60% nel 2019 a 34,59% nel 2020 grazie ad un aumento della quota ammissibile dichiarata dai beneficiari pari a circa 4 milioni di euro. Le azioni volte a migliorare la capacità amministrativa, oltre a caratterizzarsi per una buona performance finanziaria, si dimostrano meritevoli in termini di partecipazione e coinvolgimento di soggetti target.</w:t>
            </w:r>
          </w:p>
        </w:tc>
      </w:tr>
    </w:tbl>
    <w:p w14:paraId="2473A880" w14:textId="77777777" w:rsidR="002909CC" w:rsidRDefault="002909CC" w:rsidP="0086701E"/>
    <w:p w14:paraId="0413F7EB" w14:textId="10CC60CE" w:rsidR="002F3B80" w:rsidRDefault="002F3B80" w:rsidP="0086701E"/>
    <w:p w14:paraId="0BAA8BDE" w14:textId="77777777" w:rsidR="00D00E56" w:rsidRPr="00225D1F" w:rsidRDefault="00D00E56" w:rsidP="0086701E"/>
    <w:p w14:paraId="0D1A9571" w14:textId="77777777" w:rsidR="006F4DB0" w:rsidRDefault="004D6333" w:rsidP="00B27AA3">
      <w:pPr>
        <w:pStyle w:val="Titolo2"/>
      </w:pPr>
      <w:bookmarkStart w:id="14" w:name="_Toc91081389"/>
      <w:r>
        <w:t>Politiche riconducibili all’a</w:t>
      </w:r>
      <w:r w:rsidR="00DB533B">
        <w:t>rea economica</w:t>
      </w:r>
      <w:bookmarkEnd w:id="14"/>
      <w:r w:rsidR="006F4DB0" w:rsidRPr="00922E2A">
        <w:t xml:space="preserve"> </w:t>
      </w:r>
    </w:p>
    <w:p w14:paraId="4FE3C3D3" w14:textId="77777777" w:rsidR="00624B2A" w:rsidRPr="00624B2A" w:rsidRDefault="00624B2A" w:rsidP="00624B2A"/>
    <w:p w14:paraId="6FDC6332" w14:textId="77777777" w:rsidR="00752417" w:rsidRDefault="00752417" w:rsidP="00B27AA3">
      <w:pPr>
        <w:pStyle w:val="Titolo3"/>
      </w:pPr>
      <w:bookmarkStart w:id="15" w:name="_Toc91081390"/>
      <w:r w:rsidRPr="00922E2A">
        <w:t>Avanzamento degli interventi</w:t>
      </w:r>
      <w:bookmarkEnd w:id="15"/>
      <w:r w:rsidRPr="00922E2A">
        <w:t xml:space="preserve"> </w:t>
      </w:r>
    </w:p>
    <w:p w14:paraId="74D6646E" w14:textId="77777777" w:rsidR="004168BD" w:rsidRDefault="004168BD" w:rsidP="0055679D"/>
    <w:p w14:paraId="5FD7C61F" w14:textId="77777777" w:rsidR="00A65EDF" w:rsidRDefault="00A65EDF" w:rsidP="00470B30">
      <w:pPr>
        <w:pStyle w:val="Titolo4"/>
      </w:pPr>
      <w:r>
        <w:t>Avanzamento finanziario</w:t>
      </w:r>
    </w:p>
    <w:p w14:paraId="73D87E55" w14:textId="77777777" w:rsidR="002F3B80" w:rsidRPr="002F3B80" w:rsidRDefault="002F3B80" w:rsidP="002F3B80"/>
    <w:p w14:paraId="5373725F" w14:textId="77777777" w:rsidR="00396C3E" w:rsidRDefault="009E54BC" w:rsidP="00A65EDF">
      <w:r w:rsidRPr="009E54BC">
        <w:t>Le politiche co-finanziate dai fondi strutturali e di investimento europei</w:t>
      </w:r>
      <w:r w:rsidR="00CC6B8A">
        <w:t>, finalizzate a</w:t>
      </w:r>
      <w:r w:rsidRPr="009E54BC">
        <w:t xml:space="preserve"> contribuire ad una crescita intelligente, ossia allo sviluppo di una economia basata sulla conoscenza e sull'innovazione, convergono nell’area di analisi che nel presente rapporto è stata definita come “area economica”. Le missioni del Programma Regionale di Sviluppo (PRS) della XI Legislatura di Regione Lombardia che rientrano in questa area sono: sviluppo economico e competitività, turismo, agricoltura, politiche agroalimentari e pesca. A queste missioni si possono ricondurre gli interventi finanziati nell’ambito degli Assi I, II e III del POR FESR</w:t>
      </w:r>
      <w:r w:rsidR="00CC6B8A">
        <w:rPr>
          <w:rStyle w:val="Rimandonotaapidipagina"/>
        </w:rPr>
        <w:footnoteReference w:id="1"/>
      </w:r>
      <w:r w:rsidRPr="009E54BC">
        <w:t xml:space="preserve"> e le Priorità I, II e III del PSR FEASR</w:t>
      </w:r>
      <w:r w:rsidR="00CC6B8A">
        <w:rPr>
          <w:rStyle w:val="Rimandonotaapidipagina"/>
        </w:rPr>
        <w:footnoteReference w:id="2"/>
      </w:r>
      <w:r w:rsidR="007C4689">
        <w:t>.</w:t>
      </w:r>
    </w:p>
    <w:p w14:paraId="0EF78B25" w14:textId="77777777" w:rsidR="006B1999" w:rsidRDefault="006B1999" w:rsidP="00A65EDF">
      <w:bookmarkStart w:id="16" w:name="_Hlk74317588"/>
    </w:p>
    <w:p w14:paraId="49A1BBBE" w14:textId="5A207836" w:rsidR="009E54BC" w:rsidRDefault="009E54BC" w:rsidP="00A65EDF">
      <w:r>
        <w:t>L</w:t>
      </w:r>
      <w:r w:rsidR="00FD6D19">
        <w:t>a tabella che segue riporta l</w:t>
      </w:r>
      <w:r>
        <w:t xml:space="preserve">’avanzamento </w:t>
      </w:r>
      <w:r w:rsidR="002C6C31">
        <w:t xml:space="preserve">finanziario degli assi del </w:t>
      </w:r>
      <w:r w:rsidR="002C6C31" w:rsidRPr="006B1999">
        <w:rPr>
          <w:b/>
          <w:bCs/>
        </w:rPr>
        <w:t>POR FESR</w:t>
      </w:r>
      <w:r w:rsidR="00A44265">
        <w:t xml:space="preserve"> che contribuiscono agli obiettivi dell’area economica</w:t>
      </w:r>
      <w:r>
        <w:t xml:space="preserve">, al 31 dicembre 2020. </w:t>
      </w:r>
      <w:r w:rsidR="007C4689">
        <w:t>La</w:t>
      </w:r>
      <w:r w:rsidR="00AD02C3">
        <w:t xml:space="preserve"> maggior parte della dotazione finanziaria</w:t>
      </w:r>
      <w:r w:rsidR="002B3943">
        <w:t xml:space="preserve"> </w:t>
      </w:r>
      <w:r w:rsidR="00AD02C3">
        <w:t xml:space="preserve">del FESR (86,30%) </w:t>
      </w:r>
      <w:r w:rsidR="00900C78">
        <w:t>si distribuisce</w:t>
      </w:r>
      <w:r w:rsidR="00AD02C3">
        <w:t xml:space="preserve"> sugli </w:t>
      </w:r>
      <w:r w:rsidR="004F60E5">
        <w:t>A</w:t>
      </w:r>
      <w:r w:rsidR="00AD02C3">
        <w:t>ssi appartenenti all’area economica</w:t>
      </w:r>
      <w:r w:rsidR="002B3943">
        <w:t xml:space="preserve"> per un ammontare di 813,8 milioni di euro</w:t>
      </w:r>
      <w:r w:rsidR="003329F6">
        <w:t>, dei quali 53</w:t>
      </w:r>
      <w:r w:rsidR="00A76164">
        <w:t>9</w:t>
      </w:r>
      <w:r w:rsidR="003329F6">
        <w:t>,8 milioni di euro relativi all’</w:t>
      </w:r>
      <w:r w:rsidR="00CC6B8A">
        <w:t>A</w:t>
      </w:r>
      <w:r w:rsidR="003329F6">
        <w:t>sse I, 20 milioni di euro all’</w:t>
      </w:r>
      <w:r w:rsidR="00CC6B8A">
        <w:t>A</w:t>
      </w:r>
      <w:r w:rsidR="003329F6">
        <w:t>sse II e 253,9 milioni di euro all’</w:t>
      </w:r>
      <w:r w:rsidR="00CC6B8A">
        <w:t>A</w:t>
      </w:r>
      <w:r w:rsidR="003329F6">
        <w:t xml:space="preserve">sse III. </w:t>
      </w:r>
      <w:r w:rsidR="008B4FF8">
        <w:t>Complessivamente</w:t>
      </w:r>
      <w:r w:rsidR="002C6C31">
        <w:t xml:space="preserve"> la maggior parte delle risorse programmate per l’area economica</w:t>
      </w:r>
      <w:r w:rsidR="008B4FF8">
        <w:t xml:space="preserve"> (76,82%)</w:t>
      </w:r>
      <w:r w:rsidR="002C6C31">
        <w:t xml:space="preserve"> sono state impegnate</w:t>
      </w:r>
      <w:r w:rsidR="008B4FF8">
        <w:t xml:space="preserve">, </w:t>
      </w:r>
      <w:r w:rsidR="00761DE3">
        <w:t>mentre</w:t>
      </w:r>
      <w:r w:rsidR="008B4FF8">
        <w:t xml:space="preserve"> il 36% delle risorse programmate è stato effettivamente speso</w:t>
      </w:r>
      <w:r w:rsidR="00CC6B8A">
        <w:t xml:space="preserve"> (spesa ammissibile</w:t>
      </w:r>
      <w:r w:rsidR="00D474E1">
        <w:t xml:space="preserve"> dichiarata dei beneficiari</w:t>
      </w:r>
      <w:r w:rsidR="00CC6B8A">
        <w:t>)</w:t>
      </w:r>
      <w:r w:rsidR="008B4FF8">
        <w:t xml:space="preserve">. </w:t>
      </w:r>
      <w:r w:rsidR="00D80F4A">
        <w:t xml:space="preserve">Lo stato di avanzamento differisce </w:t>
      </w:r>
      <w:r w:rsidR="00CC6B8A">
        <w:t xml:space="preserve">in modo piuttosto considerevole </w:t>
      </w:r>
      <w:r w:rsidR="00D80F4A">
        <w:t xml:space="preserve">tra </w:t>
      </w:r>
      <w:r w:rsidR="00CC6B8A">
        <w:t xml:space="preserve">gli </w:t>
      </w:r>
      <w:r w:rsidR="00D80F4A">
        <w:t xml:space="preserve">assi. Difatti, mentre per gli </w:t>
      </w:r>
      <w:r w:rsidR="00CC6B8A">
        <w:t>A</w:t>
      </w:r>
      <w:r w:rsidR="00D80F4A">
        <w:t xml:space="preserve">ssi II e III la totalità o la quasi totalità delle risorse programmate sono state impegnate e più della metà </w:t>
      </w:r>
      <w:r w:rsidR="00DF10D2">
        <w:t>spese</w:t>
      </w:r>
      <w:r w:rsidR="00D80F4A">
        <w:t>, per l’</w:t>
      </w:r>
      <w:r w:rsidR="00CC6B8A">
        <w:t>A</w:t>
      </w:r>
      <w:r w:rsidR="00D80F4A">
        <w:t>sse I</w:t>
      </w:r>
      <w:r w:rsidR="00CC6B8A">
        <w:t>,</w:t>
      </w:r>
      <w:r w:rsidR="00D80F4A">
        <w:t xml:space="preserve"> sol</w:t>
      </w:r>
      <w:r w:rsidR="00761DE3">
        <w:t>o</w:t>
      </w:r>
      <w:r w:rsidR="00D80F4A">
        <w:t xml:space="preserve"> il 24,16% dell’ammontare programmato è stato speso </w:t>
      </w:r>
      <w:r w:rsidR="00DF10D2">
        <w:t>a fine</w:t>
      </w:r>
      <w:r w:rsidR="00D80F4A">
        <w:t xml:space="preserve"> 2020. </w:t>
      </w:r>
    </w:p>
    <w:p w14:paraId="5CAC55CB" w14:textId="77777777" w:rsidR="007251AB" w:rsidRDefault="007251AB" w:rsidP="00A65EDF"/>
    <w:p w14:paraId="5A642A8E" w14:textId="77777777" w:rsidR="009E54BC" w:rsidRDefault="002C6C31" w:rsidP="002C6C31">
      <w:pPr>
        <w:pStyle w:val="Didascalia"/>
      </w:pPr>
      <w:bookmarkStart w:id="17" w:name="_Toc91081429"/>
      <w:bookmarkStart w:id="18" w:name="_Hlk74304498"/>
      <w:bookmarkEnd w:id="16"/>
      <w:r>
        <w:t xml:space="preserve">Tabella </w:t>
      </w:r>
      <w:r w:rsidR="004E6566">
        <w:fldChar w:fldCharType="begin"/>
      </w:r>
      <w:r>
        <w:instrText xml:space="preserve"> SEQ Tabella \* ARABIC </w:instrText>
      </w:r>
      <w:r w:rsidR="004E6566">
        <w:fldChar w:fldCharType="separate"/>
      </w:r>
      <w:r w:rsidR="00E53D6C">
        <w:rPr>
          <w:noProof/>
        </w:rPr>
        <w:t>3</w:t>
      </w:r>
      <w:r w:rsidR="004E6566">
        <w:fldChar w:fldCharType="end"/>
      </w:r>
      <w:r w:rsidR="001230B4">
        <w:t>. A</w:t>
      </w:r>
      <w:r>
        <w:t xml:space="preserve">vanzamento </w:t>
      </w:r>
      <w:r w:rsidR="00CC6B8A">
        <w:t xml:space="preserve">finanziario </w:t>
      </w:r>
      <w:r>
        <w:t>FESR - Area economica – fine 2020</w:t>
      </w:r>
      <w:bookmarkEnd w:id="17"/>
    </w:p>
    <w:tbl>
      <w:tblPr>
        <w:tblW w:w="9752" w:type="dxa"/>
        <w:tblLayout w:type="fixed"/>
        <w:tblCellMar>
          <w:left w:w="57" w:type="dxa"/>
          <w:right w:w="57" w:type="dxa"/>
        </w:tblCellMar>
        <w:tblLook w:val="04A0" w:firstRow="1" w:lastRow="0" w:firstColumn="1" w:lastColumn="0" w:noHBand="0" w:noVBand="1"/>
      </w:tblPr>
      <w:tblGrid>
        <w:gridCol w:w="3855"/>
        <w:gridCol w:w="1361"/>
        <w:gridCol w:w="1361"/>
        <w:gridCol w:w="1361"/>
        <w:gridCol w:w="907"/>
        <w:gridCol w:w="907"/>
      </w:tblGrid>
      <w:tr w:rsidR="00EA0726" w:rsidRPr="004F60E5" w14:paraId="074E6EA4" w14:textId="77777777" w:rsidTr="00736089">
        <w:trPr>
          <w:trHeight w:val="345"/>
        </w:trPr>
        <w:tc>
          <w:tcPr>
            <w:tcW w:w="3855" w:type="dxa"/>
            <w:tcBorders>
              <w:top w:val="nil"/>
              <w:left w:val="nil"/>
              <w:bottom w:val="nil"/>
              <w:right w:val="nil"/>
            </w:tcBorders>
            <w:shd w:val="clear" w:color="auto" w:fill="669748" w:themeFill="accent2" w:themeFillShade="BF"/>
            <w:noWrap/>
            <w:vAlign w:val="bottom"/>
            <w:hideMark/>
          </w:tcPr>
          <w:bookmarkEnd w:id="18"/>
          <w:p w14:paraId="4FC1734F" w14:textId="77777777" w:rsidR="00EA0726" w:rsidRPr="004F60E5" w:rsidRDefault="00EA0726" w:rsidP="00EA0726">
            <w:pPr>
              <w:jc w:val="left"/>
              <w:rPr>
                <w:rFonts w:eastAsia="Times New Roman" w:cs="Calibri"/>
                <w:b/>
                <w:bCs/>
                <w:color w:val="FFFFFF"/>
                <w:sz w:val="16"/>
                <w:szCs w:val="16"/>
                <w:lang w:eastAsia="en-US"/>
              </w:rPr>
            </w:pPr>
            <w:r w:rsidRPr="004F60E5">
              <w:rPr>
                <w:rFonts w:eastAsia="Times New Roman" w:cs="Calibri"/>
                <w:b/>
                <w:bCs/>
                <w:color w:val="FFFFFF"/>
                <w:sz w:val="16"/>
                <w:szCs w:val="16"/>
                <w:lang w:eastAsia="en-US"/>
              </w:rPr>
              <w:t>Area</w:t>
            </w:r>
          </w:p>
        </w:tc>
        <w:tc>
          <w:tcPr>
            <w:tcW w:w="1361" w:type="dxa"/>
            <w:tcBorders>
              <w:top w:val="nil"/>
              <w:left w:val="nil"/>
              <w:bottom w:val="nil"/>
              <w:right w:val="nil"/>
            </w:tcBorders>
            <w:shd w:val="clear" w:color="auto" w:fill="669748" w:themeFill="accent2" w:themeFillShade="BF"/>
            <w:noWrap/>
            <w:vAlign w:val="bottom"/>
            <w:hideMark/>
          </w:tcPr>
          <w:p w14:paraId="4B7182DA" w14:textId="77777777" w:rsidR="00EA0726" w:rsidRPr="004F60E5" w:rsidRDefault="003A1B38" w:rsidP="008A282D">
            <w:pPr>
              <w:jc w:val="right"/>
              <w:rPr>
                <w:rFonts w:eastAsia="Times New Roman" w:cs="Calibri"/>
                <w:b/>
                <w:bCs/>
                <w:color w:val="FFFFFF"/>
                <w:sz w:val="16"/>
                <w:szCs w:val="16"/>
                <w:lang w:eastAsia="en-US"/>
              </w:rPr>
            </w:pPr>
            <w:r w:rsidRPr="004F60E5">
              <w:rPr>
                <w:rFonts w:eastAsia="Times New Roman" w:cs="Calibri"/>
                <w:b/>
                <w:bCs/>
                <w:color w:val="FFFFFF"/>
                <w:sz w:val="16"/>
                <w:szCs w:val="16"/>
                <w:lang w:eastAsia="en-US"/>
              </w:rPr>
              <w:t xml:space="preserve">A - </w:t>
            </w:r>
            <w:r w:rsidR="005E18CC" w:rsidRPr="004F60E5">
              <w:rPr>
                <w:rFonts w:eastAsia="Times New Roman" w:cs="Calibri"/>
                <w:b/>
                <w:bCs/>
                <w:color w:val="FFFFFF"/>
                <w:sz w:val="16"/>
                <w:szCs w:val="16"/>
                <w:lang w:eastAsia="en-US"/>
              </w:rPr>
              <w:t xml:space="preserve">Importo </w:t>
            </w:r>
            <w:r w:rsidR="00EA0726" w:rsidRPr="004F60E5">
              <w:rPr>
                <w:rFonts w:eastAsia="Times New Roman" w:cs="Calibri"/>
                <w:b/>
                <w:bCs/>
                <w:color w:val="FFFFFF"/>
                <w:sz w:val="16"/>
                <w:szCs w:val="16"/>
                <w:lang w:eastAsia="en-US"/>
              </w:rPr>
              <w:t>programmat</w:t>
            </w:r>
            <w:r w:rsidR="005E18CC" w:rsidRPr="004F60E5">
              <w:rPr>
                <w:rFonts w:eastAsia="Times New Roman" w:cs="Calibri"/>
                <w:b/>
                <w:bCs/>
                <w:color w:val="FFFFFF"/>
                <w:sz w:val="16"/>
                <w:szCs w:val="16"/>
                <w:lang w:eastAsia="en-US"/>
              </w:rPr>
              <w:t>o</w:t>
            </w:r>
            <w:r w:rsidR="00EA0726" w:rsidRPr="004F60E5">
              <w:rPr>
                <w:rFonts w:eastAsia="Times New Roman" w:cs="Calibri"/>
                <w:b/>
                <w:bCs/>
                <w:color w:val="FFFFFF"/>
                <w:sz w:val="16"/>
                <w:szCs w:val="16"/>
                <w:vertAlign w:val="superscript"/>
                <w:lang w:eastAsia="en-US"/>
              </w:rPr>
              <w:t>1</w:t>
            </w:r>
          </w:p>
        </w:tc>
        <w:tc>
          <w:tcPr>
            <w:tcW w:w="1361" w:type="dxa"/>
            <w:tcBorders>
              <w:top w:val="nil"/>
              <w:left w:val="nil"/>
              <w:bottom w:val="nil"/>
              <w:right w:val="nil"/>
            </w:tcBorders>
            <w:shd w:val="clear" w:color="auto" w:fill="669748" w:themeFill="accent2" w:themeFillShade="BF"/>
            <w:noWrap/>
            <w:vAlign w:val="bottom"/>
            <w:hideMark/>
          </w:tcPr>
          <w:p w14:paraId="5CB5C746" w14:textId="77777777" w:rsidR="00EA0726" w:rsidRPr="004F60E5" w:rsidRDefault="003A1B38" w:rsidP="008A282D">
            <w:pPr>
              <w:jc w:val="right"/>
              <w:rPr>
                <w:rFonts w:eastAsia="Times New Roman" w:cs="Calibri"/>
                <w:b/>
                <w:bCs/>
                <w:color w:val="FFFFFF"/>
                <w:sz w:val="16"/>
                <w:szCs w:val="16"/>
                <w:lang w:eastAsia="en-US"/>
              </w:rPr>
            </w:pPr>
            <w:r w:rsidRPr="004F60E5">
              <w:rPr>
                <w:rFonts w:eastAsia="Times New Roman" w:cs="Calibri"/>
                <w:b/>
                <w:bCs/>
                <w:color w:val="FFFFFF"/>
                <w:sz w:val="16"/>
                <w:szCs w:val="16"/>
                <w:lang w:eastAsia="en-US"/>
              </w:rPr>
              <w:t xml:space="preserve">B - </w:t>
            </w:r>
            <w:r w:rsidR="005E18CC" w:rsidRPr="004F60E5">
              <w:rPr>
                <w:rFonts w:eastAsia="Times New Roman" w:cs="Calibri"/>
                <w:b/>
                <w:bCs/>
                <w:color w:val="FFFFFF"/>
                <w:sz w:val="16"/>
                <w:szCs w:val="16"/>
                <w:lang w:eastAsia="en-US"/>
              </w:rPr>
              <w:t>Importo impegnato</w:t>
            </w:r>
          </w:p>
        </w:tc>
        <w:tc>
          <w:tcPr>
            <w:tcW w:w="1361" w:type="dxa"/>
            <w:tcBorders>
              <w:top w:val="nil"/>
              <w:left w:val="nil"/>
              <w:bottom w:val="nil"/>
              <w:right w:val="nil"/>
            </w:tcBorders>
            <w:shd w:val="clear" w:color="auto" w:fill="669748" w:themeFill="accent2" w:themeFillShade="BF"/>
            <w:noWrap/>
            <w:vAlign w:val="bottom"/>
            <w:hideMark/>
          </w:tcPr>
          <w:p w14:paraId="44AABFB7" w14:textId="77777777" w:rsidR="00EA0726" w:rsidRPr="004F60E5" w:rsidRDefault="003A1B38" w:rsidP="008A282D">
            <w:pPr>
              <w:jc w:val="right"/>
              <w:rPr>
                <w:rFonts w:eastAsia="Times New Roman" w:cs="Calibri"/>
                <w:b/>
                <w:bCs/>
                <w:color w:val="FFFFFF"/>
                <w:sz w:val="16"/>
                <w:szCs w:val="16"/>
                <w:lang w:eastAsia="en-US"/>
              </w:rPr>
            </w:pPr>
            <w:r w:rsidRPr="004F60E5">
              <w:rPr>
                <w:rFonts w:eastAsia="Times New Roman" w:cs="Calibri"/>
                <w:b/>
                <w:bCs/>
                <w:color w:val="FFFFFF"/>
                <w:sz w:val="16"/>
                <w:szCs w:val="16"/>
                <w:lang w:eastAsia="en-US"/>
              </w:rPr>
              <w:t xml:space="preserve">C - </w:t>
            </w:r>
            <w:r w:rsidR="00EA0726" w:rsidRPr="004F60E5">
              <w:rPr>
                <w:rFonts w:eastAsia="Times New Roman" w:cs="Calibri"/>
                <w:b/>
                <w:bCs/>
                <w:color w:val="FFFFFF"/>
                <w:sz w:val="16"/>
                <w:szCs w:val="16"/>
                <w:lang w:eastAsia="en-US"/>
              </w:rPr>
              <w:t xml:space="preserve">Spesa </w:t>
            </w:r>
            <w:r w:rsidR="005E18CC" w:rsidRPr="004F60E5">
              <w:rPr>
                <w:rFonts w:eastAsia="Times New Roman" w:cs="Calibri"/>
                <w:b/>
                <w:bCs/>
                <w:color w:val="FFFFFF"/>
                <w:sz w:val="16"/>
                <w:szCs w:val="16"/>
                <w:lang w:eastAsia="en-US"/>
              </w:rPr>
              <w:t xml:space="preserve">ammissibile </w:t>
            </w:r>
            <w:r w:rsidR="00A3508B" w:rsidRPr="004F60E5">
              <w:rPr>
                <w:rFonts w:eastAsia="Times New Roman" w:cs="Calibri"/>
                <w:b/>
                <w:bCs/>
                <w:color w:val="FFFFFF"/>
                <w:sz w:val="16"/>
                <w:szCs w:val="16"/>
                <w:lang w:eastAsia="en-US"/>
              </w:rPr>
              <w:t>dichiarata da</w:t>
            </w:r>
            <w:r w:rsidR="00E70636" w:rsidRPr="004F60E5">
              <w:rPr>
                <w:rFonts w:eastAsia="Times New Roman" w:cs="Calibri"/>
                <w:b/>
                <w:bCs/>
                <w:color w:val="FFFFFF"/>
                <w:sz w:val="16"/>
                <w:szCs w:val="16"/>
                <w:lang w:eastAsia="en-US"/>
              </w:rPr>
              <w:t>i</w:t>
            </w:r>
            <w:r w:rsidR="00A3508B" w:rsidRPr="004F60E5">
              <w:rPr>
                <w:rFonts w:eastAsia="Times New Roman" w:cs="Calibri"/>
                <w:b/>
                <w:bCs/>
                <w:color w:val="FFFFFF"/>
                <w:sz w:val="16"/>
                <w:szCs w:val="16"/>
                <w:lang w:eastAsia="en-US"/>
              </w:rPr>
              <w:t xml:space="preserve"> beneficiari</w:t>
            </w:r>
          </w:p>
        </w:tc>
        <w:tc>
          <w:tcPr>
            <w:tcW w:w="907" w:type="dxa"/>
            <w:tcBorders>
              <w:top w:val="nil"/>
              <w:left w:val="nil"/>
              <w:bottom w:val="nil"/>
              <w:right w:val="nil"/>
            </w:tcBorders>
            <w:shd w:val="clear" w:color="auto" w:fill="669748" w:themeFill="accent2" w:themeFillShade="BF"/>
            <w:noWrap/>
            <w:vAlign w:val="bottom"/>
            <w:hideMark/>
          </w:tcPr>
          <w:p w14:paraId="6589AFE9" w14:textId="77777777" w:rsidR="00EA0726" w:rsidRPr="004F60E5" w:rsidRDefault="003A1B38" w:rsidP="008A282D">
            <w:pPr>
              <w:jc w:val="right"/>
              <w:rPr>
                <w:rFonts w:eastAsia="Times New Roman" w:cs="Calibri"/>
                <w:b/>
                <w:bCs/>
                <w:color w:val="FFFFFF"/>
                <w:sz w:val="16"/>
                <w:szCs w:val="16"/>
                <w:lang w:eastAsia="en-US"/>
              </w:rPr>
            </w:pPr>
            <w:r w:rsidRPr="004F60E5">
              <w:rPr>
                <w:rFonts w:eastAsia="Times New Roman" w:cs="Calibri"/>
                <w:b/>
                <w:bCs/>
                <w:color w:val="FFFFFF"/>
                <w:sz w:val="16"/>
                <w:szCs w:val="16"/>
                <w:lang w:eastAsia="en-US"/>
              </w:rPr>
              <w:t xml:space="preserve">B/A - </w:t>
            </w:r>
            <w:r w:rsidR="00EA0726" w:rsidRPr="004F60E5">
              <w:rPr>
                <w:rFonts w:eastAsia="Times New Roman" w:cs="Calibri"/>
                <w:b/>
                <w:bCs/>
                <w:color w:val="FFFFFF"/>
                <w:sz w:val="16"/>
                <w:szCs w:val="16"/>
                <w:lang w:eastAsia="en-US"/>
              </w:rPr>
              <w:t>% impegn</w:t>
            </w:r>
            <w:r w:rsidR="005E18CC" w:rsidRPr="004F60E5">
              <w:rPr>
                <w:rFonts w:eastAsia="Times New Roman" w:cs="Calibri"/>
                <w:b/>
                <w:bCs/>
                <w:color w:val="FFFFFF"/>
                <w:sz w:val="16"/>
                <w:szCs w:val="16"/>
                <w:lang w:eastAsia="en-US"/>
              </w:rPr>
              <w:t>a</w:t>
            </w:r>
            <w:r w:rsidR="00EA0726" w:rsidRPr="004F60E5">
              <w:rPr>
                <w:rFonts w:eastAsia="Times New Roman" w:cs="Calibri"/>
                <w:b/>
                <w:bCs/>
                <w:color w:val="FFFFFF"/>
                <w:sz w:val="16"/>
                <w:szCs w:val="16"/>
                <w:lang w:eastAsia="en-US"/>
              </w:rPr>
              <w:t>to</w:t>
            </w:r>
          </w:p>
        </w:tc>
        <w:tc>
          <w:tcPr>
            <w:tcW w:w="907" w:type="dxa"/>
            <w:tcBorders>
              <w:top w:val="nil"/>
              <w:left w:val="nil"/>
              <w:bottom w:val="nil"/>
              <w:right w:val="nil"/>
            </w:tcBorders>
            <w:shd w:val="clear" w:color="auto" w:fill="669748" w:themeFill="accent2" w:themeFillShade="BF"/>
            <w:noWrap/>
            <w:vAlign w:val="bottom"/>
            <w:hideMark/>
          </w:tcPr>
          <w:p w14:paraId="6E2E7514" w14:textId="77777777" w:rsidR="00EA0726" w:rsidRPr="004F60E5" w:rsidRDefault="003A1B38" w:rsidP="008A282D">
            <w:pPr>
              <w:jc w:val="right"/>
              <w:rPr>
                <w:rFonts w:eastAsia="Times New Roman" w:cs="Calibri"/>
                <w:b/>
                <w:bCs/>
                <w:color w:val="FFFFFF"/>
                <w:sz w:val="16"/>
                <w:szCs w:val="16"/>
                <w:lang w:eastAsia="en-US"/>
              </w:rPr>
            </w:pPr>
            <w:r w:rsidRPr="004F60E5">
              <w:rPr>
                <w:rFonts w:eastAsia="Times New Roman" w:cs="Calibri"/>
                <w:b/>
                <w:bCs/>
                <w:color w:val="FFFFFF"/>
                <w:sz w:val="16"/>
                <w:szCs w:val="16"/>
                <w:lang w:eastAsia="en-US"/>
              </w:rPr>
              <w:t xml:space="preserve">C/A - </w:t>
            </w:r>
            <w:r w:rsidR="00EA0726" w:rsidRPr="004F60E5">
              <w:rPr>
                <w:rFonts w:eastAsia="Times New Roman" w:cs="Calibri"/>
                <w:b/>
                <w:bCs/>
                <w:color w:val="FFFFFF"/>
                <w:sz w:val="16"/>
                <w:szCs w:val="16"/>
                <w:lang w:eastAsia="en-US"/>
              </w:rPr>
              <w:t>% speso</w:t>
            </w:r>
          </w:p>
        </w:tc>
      </w:tr>
      <w:tr w:rsidR="00EA0726" w:rsidRPr="004F60E5" w14:paraId="5387BBB4" w14:textId="77777777" w:rsidTr="00EA0726">
        <w:trPr>
          <w:trHeight w:val="300"/>
        </w:trPr>
        <w:tc>
          <w:tcPr>
            <w:tcW w:w="3855" w:type="dxa"/>
            <w:tcBorders>
              <w:top w:val="nil"/>
              <w:left w:val="nil"/>
              <w:bottom w:val="single" w:sz="4" w:space="0" w:color="305496"/>
              <w:right w:val="nil"/>
            </w:tcBorders>
            <w:shd w:val="clear" w:color="000000" w:fill="E7E6E6"/>
            <w:noWrap/>
            <w:vAlign w:val="bottom"/>
            <w:hideMark/>
          </w:tcPr>
          <w:p w14:paraId="66F72C1E" w14:textId="77777777" w:rsidR="00EA0726" w:rsidRPr="004F60E5" w:rsidRDefault="00EA0726" w:rsidP="00EA0726">
            <w:pPr>
              <w:jc w:val="left"/>
              <w:rPr>
                <w:rFonts w:eastAsia="Times New Roman" w:cs="Calibri"/>
                <w:b/>
                <w:bCs/>
                <w:color w:val="000000"/>
                <w:sz w:val="16"/>
                <w:szCs w:val="16"/>
                <w:lang w:eastAsia="en-US"/>
              </w:rPr>
            </w:pPr>
            <w:r w:rsidRPr="004F60E5">
              <w:rPr>
                <w:rFonts w:eastAsia="Times New Roman" w:cs="Calibri"/>
                <w:b/>
                <w:bCs/>
                <w:color w:val="000000"/>
                <w:sz w:val="16"/>
                <w:szCs w:val="16"/>
                <w:lang w:eastAsia="en-US"/>
              </w:rPr>
              <w:t>Area economica</w:t>
            </w:r>
          </w:p>
        </w:tc>
        <w:tc>
          <w:tcPr>
            <w:tcW w:w="1361" w:type="dxa"/>
            <w:tcBorders>
              <w:top w:val="nil"/>
              <w:left w:val="nil"/>
              <w:bottom w:val="single" w:sz="4" w:space="0" w:color="305496"/>
              <w:right w:val="nil"/>
            </w:tcBorders>
            <w:shd w:val="clear" w:color="000000" w:fill="E7E6E6"/>
            <w:noWrap/>
            <w:vAlign w:val="bottom"/>
            <w:hideMark/>
          </w:tcPr>
          <w:p w14:paraId="336470FD" w14:textId="77777777" w:rsidR="00EA0726" w:rsidRPr="004F60E5" w:rsidRDefault="00EA0726" w:rsidP="00CC6B8A">
            <w:pPr>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813.855.732,00</w:t>
            </w:r>
          </w:p>
        </w:tc>
        <w:tc>
          <w:tcPr>
            <w:tcW w:w="1361" w:type="dxa"/>
            <w:tcBorders>
              <w:top w:val="nil"/>
              <w:left w:val="nil"/>
              <w:bottom w:val="single" w:sz="4" w:space="0" w:color="305496"/>
              <w:right w:val="nil"/>
            </w:tcBorders>
            <w:shd w:val="clear" w:color="000000" w:fill="E7E6E6"/>
            <w:noWrap/>
            <w:vAlign w:val="bottom"/>
            <w:hideMark/>
          </w:tcPr>
          <w:p w14:paraId="2F4F5794" w14:textId="77777777" w:rsidR="00EA0726" w:rsidRPr="004F60E5" w:rsidRDefault="00EA0726" w:rsidP="00CC6B8A">
            <w:pPr>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625.193.714,00</w:t>
            </w:r>
          </w:p>
        </w:tc>
        <w:tc>
          <w:tcPr>
            <w:tcW w:w="1361" w:type="dxa"/>
            <w:tcBorders>
              <w:top w:val="nil"/>
              <w:left w:val="nil"/>
              <w:bottom w:val="single" w:sz="4" w:space="0" w:color="305496"/>
              <w:right w:val="nil"/>
            </w:tcBorders>
            <w:shd w:val="clear" w:color="000000" w:fill="E7E6E6"/>
            <w:noWrap/>
            <w:vAlign w:val="bottom"/>
            <w:hideMark/>
          </w:tcPr>
          <w:p w14:paraId="11DF8F0D" w14:textId="77777777" w:rsidR="00EA0726" w:rsidRPr="004F60E5" w:rsidRDefault="00EA0726" w:rsidP="00CC6B8A">
            <w:pPr>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293.319.172,00</w:t>
            </w:r>
          </w:p>
        </w:tc>
        <w:tc>
          <w:tcPr>
            <w:tcW w:w="907" w:type="dxa"/>
            <w:tcBorders>
              <w:top w:val="nil"/>
              <w:left w:val="nil"/>
              <w:bottom w:val="single" w:sz="4" w:space="0" w:color="305496"/>
              <w:right w:val="nil"/>
            </w:tcBorders>
            <w:shd w:val="clear" w:color="000000" w:fill="E7E6E6"/>
            <w:noWrap/>
            <w:vAlign w:val="bottom"/>
            <w:hideMark/>
          </w:tcPr>
          <w:p w14:paraId="487FA7BC" w14:textId="77777777" w:rsidR="00EA0726" w:rsidRPr="004F60E5" w:rsidRDefault="00EA0726" w:rsidP="00CC6B8A">
            <w:pPr>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76,82%</w:t>
            </w:r>
          </w:p>
        </w:tc>
        <w:tc>
          <w:tcPr>
            <w:tcW w:w="907" w:type="dxa"/>
            <w:tcBorders>
              <w:top w:val="nil"/>
              <w:left w:val="nil"/>
              <w:bottom w:val="single" w:sz="4" w:space="0" w:color="305496"/>
              <w:right w:val="nil"/>
            </w:tcBorders>
            <w:shd w:val="clear" w:color="000000" w:fill="E7E6E6"/>
            <w:noWrap/>
            <w:vAlign w:val="bottom"/>
            <w:hideMark/>
          </w:tcPr>
          <w:p w14:paraId="6452B21C" w14:textId="77777777" w:rsidR="00EA0726" w:rsidRPr="004F60E5" w:rsidRDefault="00EA0726" w:rsidP="00CC6B8A">
            <w:pPr>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36,04%</w:t>
            </w:r>
          </w:p>
        </w:tc>
      </w:tr>
      <w:tr w:rsidR="00EA0726" w:rsidRPr="004F60E5" w14:paraId="5A6A1E8C" w14:textId="77777777" w:rsidTr="00EA0726">
        <w:trPr>
          <w:trHeight w:val="300"/>
        </w:trPr>
        <w:tc>
          <w:tcPr>
            <w:tcW w:w="3855" w:type="dxa"/>
            <w:tcBorders>
              <w:top w:val="nil"/>
              <w:left w:val="nil"/>
              <w:bottom w:val="nil"/>
              <w:right w:val="nil"/>
            </w:tcBorders>
            <w:shd w:val="clear" w:color="auto" w:fill="auto"/>
            <w:noWrap/>
            <w:vAlign w:val="bottom"/>
            <w:hideMark/>
          </w:tcPr>
          <w:p w14:paraId="1938D8F0" w14:textId="77777777" w:rsidR="00EA0726" w:rsidRPr="004F60E5" w:rsidRDefault="00EA0726" w:rsidP="00EA0726">
            <w:pPr>
              <w:jc w:val="left"/>
              <w:rPr>
                <w:rFonts w:eastAsia="Times New Roman" w:cs="Calibri"/>
                <w:color w:val="000000"/>
                <w:sz w:val="16"/>
                <w:szCs w:val="16"/>
                <w:lang w:eastAsia="en-US"/>
              </w:rPr>
            </w:pPr>
            <w:r w:rsidRPr="004F60E5">
              <w:rPr>
                <w:rFonts w:eastAsia="Times New Roman" w:cs="Calibri"/>
                <w:color w:val="000000"/>
                <w:sz w:val="16"/>
                <w:szCs w:val="16"/>
                <w:lang w:eastAsia="en-US"/>
              </w:rPr>
              <w:t xml:space="preserve">I  -  </w:t>
            </w:r>
            <w:r w:rsidR="00EE25BB" w:rsidRPr="004F60E5">
              <w:rPr>
                <w:rFonts w:eastAsia="Times New Roman" w:cs="Calibri"/>
                <w:color w:val="000000"/>
                <w:sz w:val="16"/>
                <w:szCs w:val="16"/>
                <w:lang w:eastAsia="en-US"/>
              </w:rPr>
              <w:t>Rafforzare la ricerca, lo sviluppo tecnologico e l'innovazione</w:t>
            </w:r>
          </w:p>
        </w:tc>
        <w:tc>
          <w:tcPr>
            <w:tcW w:w="1361" w:type="dxa"/>
            <w:tcBorders>
              <w:top w:val="nil"/>
              <w:left w:val="nil"/>
              <w:bottom w:val="nil"/>
              <w:right w:val="nil"/>
            </w:tcBorders>
            <w:shd w:val="clear" w:color="auto" w:fill="auto"/>
            <w:noWrap/>
            <w:vAlign w:val="bottom"/>
            <w:hideMark/>
          </w:tcPr>
          <w:p w14:paraId="34E71BEC" w14:textId="77777777" w:rsidR="00EA0726" w:rsidRPr="004F60E5" w:rsidRDefault="00EA0726" w:rsidP="00CC6B8A">
            <w:pPr>
              <w:jc w:val="right"/>
              <w:rPr>
                <w:rFonts w:eastAsia="Times New Roman" w:cs="Calibri"/>
                <w:color w:val="000000"/>
                <w:sz w:val="16"/>
                <w:szCs w:val="16"/>
                <w:lang w:eastAsia="en-US"/>
              </w:rPr>
            </w:pPr>
            <w:r w:rsidRPr="004F60E5">
              <w:rPr>
                <w:rFonts w:eastAsia="Times New Roman" w:cs="Calibri"/>
                <w:color w:val="000000"/>
                <w:sz w:val="16"/>
                <w:szCs w:val="16"/>
                <w:lang w:eastAsia="en-US"/>
              </w:rPr>
              <w:t>539.868.378,00</w:t>
            </w:r>
          </w:p>
        </w:tc>
        <w:tc>
          <w:tcPr>
            <w:tcW w:w="1361" w:type="dxa"/>
            <w:tcBorders>
              <w:top w:val="nil"/>
              <w:left w:val="nil"/>
              <w:bottom w:val="nil"/>
              <w:right w:val="nil"/>
            </w:tcBorders>
            <w:shd w:val="clear" w:color="auto" w:fill="auto"/>
            <w:noWrap/>
            <w:vAlign w:val="bottom"/>
            <w:hideMark/>
          </w:tcPr>
          <w:p w14:paraId="2126F112" w14:textId="77777777" w:rsidR="00EA0726" w:rsidRPr="004F60E5" w:rsidRDefault="00EA0726" w:rsidP="00CC6B8A">
            <w:pPr>
              <w:jc w:val="right"/>
              <w:rPr>
                <w:rFonts w:eastAsia="Times New Roman" w:cs="Calibri"/>
                <w:color w:val="000000"/>
                <w:sz w:val="16"/>
                <w:szCs w:val="16"/>
                <w:lang w:eastAsia="en-US"/>
              </w:rPr>
            </w:pPr>
            <w:r w:rsidRPr="004F60E5">
              <w:rPr>
                <w:rFonts w:eastAsia="Times New Roman" w:cs="Calibri"/>
                <w:color w:val="000000"/>
                <w:sz w:val="16"/>
                <w:szCs w:val="16"/>
                <w:lang w:eastAsia="en-US"/>
              </w:rPr>
              <w:t>376.042.302,00</w:t>
            </w:r>
          </w:p>
        </w:tc>
        <w:tc>
          <w:tcPr>
            <w:tcW w:w="1361" w:type="dxa"/>
            <w:tcBorders>
              <w:top w:val="nil"/>
              <w:left w:val="nil"/>
              <w:bottom w:val="nil"/>
              <w:right w:val="nil"/>
            </w:tcBorders>
            <w:shd w:val="clear" w:color="auto" w:fill="auto"/>
            <w:noWrap/>
            <w:vAlign w:val="bottom"/>
            <w:hideMark/>
          </w:tcPr>
          <w:p w14:paraId="6DFB0C30" w14:textId="77777777" w:rsidR="00EA0726" w:rsidRPr="004F60E5" w:rsidRDefault="00EA0726" w:rsidP="00CC6B8A">
            <w:pPr>
              <w:jc w:val="right"/>
              <w:rPr>
                <w:rFonts w:eastAsia="Times New Roman" w:cs="Calibri"/>
                <w:color w:val="000000"/>
                <w:sz w:val="16"/>
                <w:szCs w:val="16"/>
                <w:lang w:eastAsia="en-US"/>
              </w:rPr>
            </w:pPr>
            <w:r w:rsidRPr="004F60E5">
              <w:rPr>
                <w:rFonts w:eastAsia="Times New Roman" w:cs="Calibri"/>
                <w:color w:val="000000"/>
                <w:sz w:val="16"/>
                <w:szCs w:val="16"/>
                <w:lang w:eastAsia="en-US"/>
              </w:rPr>
              <w:t>130.454.266,00</w:t>
            </w:r>
          </w:p>
        </w:tc>
        <w:tc>
          <w:tcPr>
            <w:tcW w:w="907" w:type="dxa"/>
            <w:tcBorders>
              <w:top w:val="nil"/>
              <w:left w:val="nil"/>
              <w:bottom w:val="nil"/>
              <w:right w:val="nil"/>
            </w:tcBorders>
            <w:shd w:val="clear" w:color="auto" w:fill="auto"/>
            <w:noWrap/>
            <w:vAlign w:val="bottom"/>
            <w:hideMark/>
          </w:tcPr>
          <w:p w14:paraId="530F86AC" w14:textId="77777777" w:rsidR="00EA0726" w:rsidRPr="004F60E5" w:rsidRDefault="00EA0726" w:rsidP="00CC6B8A">
            <w:pPr>
              <w:jc w:val="right"/>
              <w:rPr>
                <w:rFonts w:eastAsia="Times New Roman" w:cs="Calibri"/>
                <w:color w:val="000000"/>
                <w:sz w:val="16"/>
                <w:szCs w:val="16"/>
                <w:lang w:eastAsia="en-US"/>
              </w:rPr>
            </w:pPr>
            <w:r w:rsidRPr="004F60E5">
              <w:rPr>
                <w:rFonts w:eastAsia="Times New Roman" w:cs="Calibri"/>
                <w:color w:val="000000"/>
                <w:sz w:val="16"/>
                <w:szCs w:val="16"/>
                <w:lang w:eastAsia="en-US"/>
              </w:rPr>
              <w:t>69,65%</w:t>
            </w:r>
          </w:p>
        </w:tc>
        <w:tc>
          <w:tcPr>
            <w:tcW w:w="907" w:type="dxa"/>
            <w:tcBorders>
              <w:top w:val="nil"/>
              <w:left w:val="nil"/>
              <w:bottom w:val="nil"/>
              <w:right w:val="nil"/>
            </w:tcBorders>
            <w:shd w:val="clear" w:color="auto" w:fill="auto"/>
            <w:noWrap/>
            <w:vAlign w:val="bottom"/>
            <w:hideMark/>
          </w:tcPr>
          <w:p w14:paraId="15AE4A6E" w14:textId="77777777" w:rsidR="00EA0726" w:rsidRPr="004F60E5" w:rsidRDefault="00EA0726" w:rsidP="00CC6B8A">
            <w:pPr>
              <w:jc w:val="right"/>
              <w:rPr>
                <w:rFonts w:eastAsia="Times New Roman" w:cs="Calibri"/>
                <w:color w:val="000000"/>
                <w:sz w:val="16"/>
                <w:szCs w:val="16"/>
                <w:lang w:eastAsia="en-US"/>
              </w:rPr>
            </w:pPr>
            <w:r w:rsidRPr="004F60E5">
              <w:rPr>
                <w:rFonts w:eastAsia="Times New Roman" w:cs="Calibri"/>
                <w:color w:val="000000"/>
                <w:sz w:val="16"/>
                <w:szCs w:val="16"/>
                <w:lang w:eastAsia="en-US"/>
              </w:rPr>
              <w:t>24,16%</w:t>
            </w:r>
          </w:p>
        </w:tc>
      </w:tr>
      <w:tr w:rsidR="00EA0726" w:rsidRPr="004F60E5" w14:paraId="77BC6122" w14:textId="77777777" w:rsidTr="00EA0726">
        <w:trPr>
          <w:trHeight w:val="600"/>
        </w:trPr>
        <w:tc>
          <w:tcPr>
            <w:tcW w:w="3855" w:type="dxa"/>
            <w:tcBorders>
              <w:top w:val="nil"/>
              <w:left w:val="nil"/>
              <w:right w:val="nil"/>
            </w:tcBorders>
            <w:shd w:val="clear" w:color="auto" w:fill="auto"/>
            <w:vAlign w:val="bottom"/>
            <w:hideMark/>
          </w:tcPr>
          <w:p w14:paraId="3422D0BA" w14:textId="77777777" w:rsidR="00EA0726" w:rsidRPr="004F60E5" w:rsidRDefault="00EA0726" w:rsidP="00EA0726">
            <w:pPr>
              <w:jc w:val="left"/>
              <w:rPr>
                <w:rFonts w:eastAsia="Times New Roman" w:cs="Calibri"/>
                <w:color w:val="000000"/>
                <w:sz w:val="16"/>
                <w:szCs w:val="16"/>
                <w:lang w:eastAsia="en-US"/>
              </w:rPr>
            </w:pPr>
            <w:r w:rsidRPr="004F60E5">
              <w:rPr>
                <w:rFonts w:eastAsia="Times New Roman" w:cs="Calibri"/>
                <w:color w:val="000000"/>
                <w:sz w:val="16"/>
                <w:szCs w:val="16"/>
                <w:lang w:eastAsia="en-US"/>
              </w:rPr>
              <w:t xml:space="preserve">II  </w:t>
            </w:r>
            <w:r w:rsidR="00EE25BB" w:rsidRPr="004F60E5">
              <w:rPr>
                <w:rFonts w:eastAsia="Times New Roman" w:cs="Calibri"/>
                <w:color w:val="000000"/>
                <w:sz w:val="16"/>
                <w:szCs w:val="16"/>
                <w:lang w:eastAsia="en-US"/>
              </w:rPr>
              <w:t>-  Migliorare l'accesso alle tecnologie dell'informazione ed alla comunicazione, nonché’ l'impiego e la qualità delle medesime</w:t>
            </w:r>
          </w:p>
        </w:tc>
        <w:tc>
          <w:tcPr>
            <w:tcW w:w="1361" w:type="dxa"/>
            <w:tcBorders>
              <w:top w:val="nil"/>
              <w:left w:val="nil"/>
              <w:right w:val="nil"/>
            </w:tcBorders>
            <w:shd w:val="clear" w:color="auto" w:fill="auto"/>
            <w:noWrap/>
            <w:vAlign w:val="bottom"/>
            <w:hideMark/>
          </w:tcPr>
          <w:p w14:paraId="36AE50AE" w14:textId="77777777" w:rsidR="00EA0726" w:rsidRPr="004F60E5" w:rsidRDefault="00EA0726" w:rsidP="00CC6B8A">
            <w:pPr>
              <w:jc w:val="right"/>
              <w:rPr>
                <w:rFonts w:eastAsia="Times New Roman" w:cs="Calibri"/>
                <w:color w:val="000000"/>
                <w:sz w:val="16"/>
                <w:szCs w:val="16"/>
                <w:lang w:eastAsia="en-US"/>
              </w:rPr>
            </w:pPr>
            <w:r w:rsidRPr="004F60E5">
              <w:rPr>
                <w:rFonts w:eastAsia="Times New Roman" w:cs="Calibri"/>
                <w:color w:val="000000"/>
                <w:sz w:val="16"/>
                <w:szCs w:val="16"/>
                <w:lang w:eastAsia="en-US"/>
              </w:rPr>
              <w:t>20.000.000,00</w:t>
            </w:r>
          </w:p>
        </w:tc>
        <w:tc>
          <w:tcPr>
            <w:tcW w:w="1361" w:type="dxa"/>
            <w:tcBorders>
              <w:top w:val="nil"/>
              <w:left w:val="nil"/>
              <w:right w:val="nil"/>
            </w:tcBorders>
            <w:shd w:val="clear" w:color="auto" w:fill="auto"/>
            <w:noWrap/>
            <w:vAlign w:val="bottom"/>
            <w:hideMark/>
          </w:tcPr>
          <w:p w14:paraId="5859E645" w14:textId="77777777" w:rsidR="00EA0726" w:rsidRPr="004F60E5" w:rsidRDefault="00EA0726" w:rsidP="00CC6B8A">
            <w:pPr>
              <w:jc w:val="right"/>
              <w:rPr>
                <w:rFonts w:eastAsia="Times New Roman" w:cs="Calibri"/>
                <w:color w:val="000000"/>
                <w:sz w:val="16"/>
                <w:szCs w:val="16"/>
                <w:lang w:eastAsia="en-US"/>
              </w:rPr>
            </w:pPr>
            <w:r w:rsidRPr="004F60E5">
              <w:rPr>
                <w:rFonts w:eastAsia="Times New Roman" w:cs="Calibri"/>
                <w:color w:val="000000"/>
                <w:sz w:val="16"/>
                <w:szCs w:val="16"/>
                <w:lang w:eastAsia="en-US"/>
              </w:rPr>
              <w:t>20.000.000,00</w:t>
            </w:r>
          </w:p>
        </w:tc>
        <w:tc>
          <w:tcPr>
            <w:tcW w:w="1361" w:type="dxa"/>
            <w:tcBorders>
              <w:top w:val="nil"/>
              <w:left w:val="nil"/>
              <w:right w:val="nil"/>
            </w:tcBorders>
            <w:shd w:val="clear" w:color="auto" w:fill="auto"/>
            <w:noWrap/>
            <w:vAlign w:val="bottom"/>
            <w:hideMark/>
          </w:tcPr>
          <w:p w14:paraId="0BE3D4B7" w14:textId="77777777" w:rsidR="00EA0726" w:rsidRPr="004F60E5" w:rsidRDefault="00EA0726" w:rsidP="00CC6B8A">
            <w:pPr>
              <w:jc w:val="right"/>
              <w:rPr>
                <w:rFonts w:eastAsia="Times New Roman" w:cs="Calibri"/>
                <w:color w:val="000000"/>
                <w:sz w:val="16"/>
                <w:szCs w:val="16"/>
                <w:lang w:eastAsia="en-US"/>
              </w:rPr>
            </w:pPr>
            <w:r w:rsidRPr="004F60E5">
              <w:rPr>
                <w:rFonts w:eastAsia="Times New Roman" w:cs="Calibri"/>
                <w:color w:val="000000"/>
                <w:sz w:val="16"/>
                <w:szCs w:val="16"/>
                <w:lang w:eastAsia="en-US"/>
              </w:rPr>
              <w:t>11.929.718,00</w:t>
            </w:r>
          </w:p>
        </w:tc>
        <w:tc>
          <w:tcPr>
            <w:tcW w:w="907" w:type="dxa"/>
            <w:tcBorders>
              <w:top w:val="nil"/>
              <w:left w:val="nil"/>
              <w:right w:val="nil"/>
            </w:tcBorders>
            <w:shd w:val="clear" w:color="auto" w:fill="auto"/>
            <w:noWrap/>
            <w:vAlign w:val="bottom"/>
            <w:hideMark/>
          </w:tcPr>
          <w:p w14:paraId="3E641652" w14:textId="77777777" w:rsidR="00EA0726" w:rsidRPr="004F60E5" w:rsidRDefault="00EA0726" w:rsidP="00CC6B8A">
            <w:pPr>
              <w:jc w:val="right"/>
              <w:rPr>
                <w:rFonts w:eastAsia="Times New Roman" w:cs="Calibri"/>
                <w:color w:val="000000"/>
                <w:sz w:val="16"/>
                <w:szCs w:val="16"/>
                <w:lang w:eastAsia="en-US"/>
              </w:rPr>
            </w:pPr>
            <w:r w:rsidRPr="004F60E5">
              <w:rPr>
                <w:rFonts w:eastAsia="Times New Roman" w:cs="Calibri"/>
                <w:color w:val="000000"/>
                <w:sz w:val="16"/>
                <w:szCs w:val="16"/>
                <w:lang w:eastAsia="en-US"/>
              </w:rPr>
              <w:t>100,00%</w:t>
            </w:r>
          </w:p>
        </w:tc>
        <w:tc>
          <w:tcPr>
            <w:tcW w:w="907" w:type="dxa"/>
            <w:tcBorders>
              <w:top w:val="nil"/>
              <w:left w:val="nil"/>
              <w:right w:val="nil"/>
            </w:tcBorders>
            <w:shd w:val="clear" w:color="auto" w:fill="auto"/>
            <w:noWrap/>
            <w:vAlign w:val="bottom"/>
            <w:hideMark/>
          </w:tcPr>
          <w:p w14:paraId="20B91737" w14:textId="77777777" w:rsidR="00EA0726" w:rsidRPr="004F60E5" w:rsidRDefault="00EA0726" w:rsidP="00CC6B8A">
            <w:pPr>
              <w:jc w:val="right"/>
              <w:rPr>
                <w:rFonts w:eastAsia="Times New Roman" w:cs="Calibri"/>
                <w:color w:val="000000"/>
                <w:sz w:val="16"/>
                <w:szCs w:val="16"/>
                <w:lang w:eastAsia="en-US"/>
              </w:rPr>
            </w:pPr>
            <w:r w:rsidRPr="004F60E5">
              <w:rPr>
                <w:rFonts w:eastAsia="Times New Roman" w:cs="Calibri"/>
                <w:color w:val="000000"/>
                <w:sz w:val="16"/>
                <w:szCs w:val="16"/>
                <w:lang w:eastAsia="en-US"/>
              </w:rPr>
              <w:t>59,65%</w:t>
            </w:r>
          </w:p>
        </w:tc>
      </w:tr>
      <w:tr w:rsidR="00EA0726" w:rsidRPr="004F60E5" w14:paraId="3D2D8298" w14:textId="77777777" w:rsidTr="00EA0726">
        <w:trPr>
          <w:trHeight w:val="300"/>
        </w:trPr>
        <w:tc>
          <w:tcPr>
            <w:tcW w:w="3855" w:type="dxa"/>
            <w:tcBorders>
              <w:top w:val="nil"/>
              <w:left w:val="nil"/>
              <w:bottom w:val="single" w:sz="4" w:space="0" w:color="305496"/>
              <w:right w:val="nil"/>
            </w:tcBorders>
            <w:shd w:val="clear" w:color="auto" w:fill="auto"/>
            <w:noWrap/>
            <w:vAlign w:val="bottom"/>
            <w:hideMark/>
          </w:tcPr>
          <w:p w14:paraId="10E7527C" w14:textId="77777777" w:rsidR="00EA0726" w:rsidRPr="004F60E5" w:rsidRDefault="00EA0726" w:rsidP="00EA0726">
            <w:pPr>
              <w:jc w:val="left"/>
              <w:rPr>
                <w:rFonts w:eastAsia="Times New Roman" w:cs="Calibri"/>
                <w:color w:val="000000"/>
                <w:sz w:val="16"/>
                <w:szCs w:val="16"/>
                <w:lang w:eastAsia="en-US"/>
              </w:rPr>
            </w:pPr>
            <w:r w:rsidRPr="004F60E5">
              <w:rPr>
                <w:rFonts w:eastAsia="Times New Roman" w:cs="Calibri"/>
                <w:color w:val="000000"/>
                <w:sz w:val="16"/>
                <w:szCs w:val="16"/>
                <w:lang w:eastAsia="en-US"/>
              </w:rPr>
              <w:t xml:space="preserve">III  -  </w:t>
            </w:r>
            <w:r w:rsidR="00EE25BB" w:rsidRPr="004F60E5">
              <w:rPr>
                <w:rFonts w:eastAsia="Times New Roman" w:cs="Calibri"/>
                <w:color w:val="000000"/>
                <w:sz w:val="16"/>
                <w:szCs w:val="16"/>
                <w:lang w:eastAsia="en-US"/>
              </w:rPr>
              <w:t>Promuovere la competitività delle piccole e medie imprese</w:t>
            </w:r>
          </w:p>
        </w:tc>
        <w:tc>
          <w:tcPr>
            <w:tcW w:w="1361" w:type="dxa"/>
            <w:tcBorders>
              <w:top w:val="nil"/>
              <w:left w:val="nil"/>
              <w:bottom w:val="single" w:sz="4" w:space="0" w:color="305496"/>
              <w:right w:val="nil"/>
            </w:tcBorders>
            <w:shd w:val="clear" w:color="auto" w:fill="auto"/>
            <w:noWrap/>
            <w:vAlign w:val="bottom"/>
            <w:hideMark/>
          </w:tcPr>
          <w:p w14:paraId="15541FB7" w14:textId="77777777" w:rsidR="00EA0726" w:rsidRPr="004F60E5" w:rsidRDefault="00EA0726" w:rsidP="00CC6B8A">
            <w:pPr>
              <w:jc w:val="right"/>
              <w:rPr>
                <w:rFonts w:eastAsia="Times New Roman" w:cs="Calibri"/>
                <w:color w:val="000000"/>
                <w:sz w:val="16"/>
                <w:szCs w:val="16"/>
                <w:lang w:eastAsia="en-US"/>
              </w:rPr>
            </w:pPr>
            <w:r w:rsidRPr="004F60E5">
              <w:rPr>
                <w:rFonts w:eastAsia="Times New Roman" w:cs="Calibri"/>
                <w:color w:val="000000"/>
                <w:sz w:val="16"/>
                <w:szCs w:val="16"/>
                <w:lang w:eastAsia="en-US"/>
              </w:rPr>
              <w:t>253.987.354,00</w:t>
            </w:r>
          </w:p>
        </w:tc>
        <w:tc>
          <w:tcPr>
            <w:tcW w:w="1361" w:type="dxa"/>
            <w:tcBorders>
              <w:top w:val="nil"/>
              <w:left w:val="nil"/>
              <w:bottom w:val="single" w:sz="4" w:space="0" w:color="305496"/>
              <w:right w:val="nil"/>
            </w:tcBorders>
            <w:shd w:val="clear" w:color="auto" w:fill="auto"/>
            <w:noWrap/>
            <w:vAlign w:val="bottom"/>
            <w:hideMark/>
          </w:tcPr>
          <w:p w14:paraId="57515997" w14:textId="77777777" w:rsidR="00EA0726" w:rsidRPr="004F60E5" w:rsidRDefault="00EA0726" w:rsidP="00CC6B8A">
            <w:pPr>
              <w:jc w:val="right"/>
              <w:rPr>
                <w:rFonts w:eastAsia="Times New Roman" w:cs="Calibri"/>
                <w:color w:val="000000"/>
                <w:sz w:val="16"/>
                <w:szCs w:val="16"/>
                <w:lang w:eastAsia="en-US"/>
              </w:rPr>
            </w:pPr>
            <w:r w:rsidRPr="004F60E5">
              <w:rPr>
                <w:rFonts w:eastAsia="Times New Roman" w:cs="Calibri"/>
                <w:color w:val="000000"/>
                <w:sz w:val="16"/>
                <w:szCs w:val="16"/>
                <w:lang w:eastAsia="en-US"/>
              </w:rPr>
              <w:t>229.151.412,00</w:t>
            </w:r>
          </w:p>
        </w:tc>
        <w:tc>
          <w:tcPr>
            <w:tcW w:w="1361" w:type="dxa"/>
            <w:tcBorders>
              <w:top w:val="nil"/>
              <w:left w:val="nil"/>
              <w:bottom w:val="single" w:sz="4" w:space="0" w:color="305496"/>
              <w:right w:val="nil"/>
            </w:tcBorders>
            <w:shd w:val="clear" w:color="auto" w:fill="auto"/>
            <w:noWrap/>
            <w:vAlign w:val="bottom"/>
            <w:hideMark/>
          </w:tcPr>
          <w:p w14:paraId="66E6D2D7" w14:textId="77777777" w:rsidR="00EA0726" w:rsidRPr="004F60E5" w:rsidRDefault="00EA0726" w:rsidP="00CC6B8A">
            <w:pPr>
              <w:jc w:val="right"/>
              <w:rPr>
                <w:rFonts w:eastAsia="Times New Roman" w:cs="Calibri"/>
                <w:color w:val="000000"/>
                <w:sz w:val="16"/>
                <w:szCs w:val="16"/>
                <w:lang w:eastAsia="en-US"/>
              </w:rPr>
            </w:pPr>
            <w:r w:rsidRPr="004F60E5">
              <w:rPr>
                <w:rFonts w:eastAsia="Times New Roman" w:cs="Calibri"/>
                <w:color w:val="000000"/>
                <w:sz w:val="16"/>
                <w:szCs w:val="16"/>
                <w:lang w:eastAsia="en-US"/>
              </w:rPr>
              <w:t>150.935.188,00</w:t>
            </w:r>
          </w:p>
        </w:tc>
        <w:tc>
          <w:tcPr>
            <w:tcW w:w="907" w:type="dxa"/>
            <w:tcBorders>
              <w:top w:val="nil"/>
              <w:left w:val="nil"/>
              <w:bottom w:val="single" w:sz="4" w:space="0" w:color="305496"/>
              <w:right w:val="nil"/>
            </w:tcBorders>
            <w:shd w:val="clear" w:color="auto" w:fill="auto"/>
            <w:noWrap/>
            <w:vAlign w:val="bottom"/>
            <w:hideMark/>
          </w:tcPr>
          <w:p w14:paraId="40336BE8" w14:textId="77777777" w:rsidR="00EA0726" w:rsidRPr="004F60E5" w:rsidRDefault="00EA0726" w:rsidP="00CC6B8A">
            <w:pPr>
              <w:jc w:val="right"/>
              <w:rPr>
                <w:rFonts w:eastAsia="Times New Roman" w:cs="Calibri"/>
                <w:color w:val="000000"/>
                <w:sz w:val="16"/>
                <w:szCs w:val="16"/>
                <w:lang w:eastAsia="en-US"/>
              </w:rPr>
            </w:pPr>
            <w:r w:rsidRPr="004F60E5">
              <w:rPr>
                <w:rFonts w:eastAsia="Times New Roman" w:cs="Calibri"/>
                <w:color w:val="000000"/>
                <w:sz w:val="16"/>
                <w:szCs w:val="16"/>
                <w:lang w:eastAsia="en-US"/>
              </w:rPr>
              <w:t>90,22%</w:t>
            </w:r>
          </w:p>
        </w:tc>
        <w:tc>
          <w:tcPr>
            <w:tcW w:w="907" w:type="dxa"/>
            <w:tcBorders>
              <w:top w:val="nil"/>
              <w:left w:val="nil"/>
              <w:bottom w:val="single" w:sz="4" w:space="0" w:color="305496"/>
              <w:right w:val="nil"/>
            </w:tcBorders>
            <w:shd w:val="clear" w:color="auto" w:fill="auto"/>
            <w:noWrap/>
            <w:vAlign w:val="bottom"/>
            <w:hideMark/>
          </w:tcPr>
          <w:p w14:paraId="0FBF690B" w14:textId="77777777" w:rsidR="00EA0726" w:rsidRPr="004F60E5" w:rsidRDefault="00EA0726" w:rsidP="00CC6B8A">
            <w:pPr>
              <w:jc w:val="right"/>
              <w:rPr>
                <w:rFonts w:eastAsia="Times New Roman" w:cs="Calibri"/>
                <w:color w:val="000000"/>
                <w:sz w:val="16"/>
                <w:szCs w:val="16"/>
                <w:lang w:eastAsia="en-US"/>
              </w:rPr>
            </w:pPr>
            <w:r w:rsidRPr="004F60E5">
              <w:rPr>
                <w:rFonts w:eastAsia="Times New Roman" w:cs="Calibri"/>
                <w:color w:val="000000"/>
                <w:sz w:val="16"/>
                <w:szCs w:val="16"/>
                <w:lang w:eastAsia="en-US"/>
              </w:rPr>
              <w:t>59,43%</w:t>
            </w:r>
          </w:p>
        </w:tc>
      </w:tr>
    </w:tbl>
    <w:p w14:paraId="15F7D285" w14:textId="77777777" w:rsidR="00287AF5" w:rsidRDefault="00287AF5" w:rsidP="00406254">
      <w:pPr>
        <w:rPr>
          <w:sz w:val="18"/>
          <w:szCs w:val="18"/>
        </w:rPr>
      </w:pPr>
      <w:bookmarkStart w:id="19" w:name="_Hlk74321839"/>
      <w:bookmarkStart w:id="20" w:name="_Hlk74137246"/>
      <w:r>
        <w:rPr>
          <w:sz w:val="18"/>
          <w:szCs w:val="18"/>
        </w:rPr>
        <w:t xml:space="preserve">Fonte: </w:t>
      </w:r>
      <w:r w:rsidR="00594984">
        <w:rPr>
          <w:sz w:val="18"/>
          <w:szCs w:val="18"/>
        </w:rPr>
        <w:t>EU Open Data, 31.12.2020</w:t>
      </w:r>
    </w:p>
    <w:p w14:paraId="5F53EEDD" w14:textId="77777777" w:rsidR="00406254" w:rsidRDefault="00451F67" w:rsidP="00406254">
      <w:pPr>
        <w:rPr>
          <w:sz w:val="18"/>
          <w:szCs w:val="18"/>
        </w:rPr>
      </w:pPr>
      <w:r w:rsidRPr="00451F67">
        <w:rPr>
          <w:sz w:val="18"/>
          <w:szCs w:val="18"/>
        </w:rPr>
        <w:t xml:space="preserve">Nota: </w:t>
      </w:r>
      <w:r w:rsidRPr="00451F67">
        <w:rPr>
          <w:sz w:val="18"/>
          <w:szCs w:val="18"/>
          <w:vertAlign w:val="superscript"/>
        </w:rPr>
        <w:t xml:space="preserve">1 </w:t>
      </w:r>
      <w:r w:rsidRPr="00451F67">
        <w:rPr>
          <w:sz w:val="18"/>
          <w:szCs w:val="18"/>
        </w:rPr>
        <w:t>L’importo programmato comprende sia le risorse finanziarie dell’UE che nazionali.</w:t>
      </w:r>
      <w:bookmarkEnd w:id="19"/>
    </w:p>
    <w:p w14:paraId="31FF771E" w14:textId="77777777" w:rsidR="00451F67" w:rsidRPr="00451F67" w:rsidRDefault="00451F67" w:rsidP="00406254">
      <w:pPr>
        <w:rPr>
          <w:sz w:val="18"/>
          <w:szCs w:val="18"/>
        </w:rPr>
      </w:pPr>
    </w:p>
    <w:p w14:paraId="308983C7" w14:textId="77777777" w:rsidR="007251AB" w:rsidRDefault="007251AB" w:rsidP="009A4842">
      <w:bookmarkStart w:id="21" w:name="_Hlk74324212"/>
    </w:p>
    <w:p w14:paraId="269146E1" w14:textId="77777777" w:rsidR="009A4842" w:rsidRDefault="00D474E1" w:rsidP="009A4842">
      <w:r>
        <w:t xml:space="preserve">Nella tabella che segue, si riporta </w:t>
      </w:r>
      <w:r w:rsidR="00C42FA4">
        <w:t>l’avanzamento finanziario dei singoli interventi</w:t>
      </w:r>
      <w:r>
        <w:t xml:space="preserve">, </w:t>
      </w:r>
      <w:r w:rsidR="00C42FA4">
        <w:t xml:space="preserve">calcolato come percentuale </w:t>
      </w:r>
      <w:r w:rsidR="00A3508B">
        <w:t>dell</w:t>
      </w:r>
      <w:r w:rsidR="00E2210D">
        <w:t>a</w:t>
      </w:r>
      <w:r w:rsidR="008E4BFF">
        <w:t xml:space="preserve"> spesa ammissibile dichiarata dai beneficiari</w:t>
      </w:r>
      <w:r w:rsidR="00E2210D">
        <w:t xml:space="preserve"> relativamente alle risorse impegnate</w:t>
      </w:r>
      <w:r w:rsidR="00C42FA4">
        <w:t xml:space="preserve">. </w:t>
      </w:r>
      <w:r w:rsidR="00074BBB">
        <w:t xml:space="preserve">A fine 2020, </w:t>
      </w:r>
      <w:r w:rsidR="006B5A08">
        <w:t>l’</w:t>
      </w:r>
      <w:r>
        <w:t>A</w:t>
      </w:r>
      <w:r w:rsidR="006B5A08">
        <w:t xml:space="preserve">sse III </w:t>
      </w:r>
      <w:r>
        <w:t xml:space="preserve">mostra </w:t>
      </w:r>
      <w:r w:rsidR="006B5A08">
        <w:t xml:space="preserve">la migliore performance </w:t>
      </w:r>
      <w:r w:rsidR="00B84999">
        <w:t>tra gli assi del programma, con una spesa ammissibile</w:t>
      </w:r>
      <w:r w:rsidR="00540932">
        <w:t xml:space="preserve"> dichiarata</w:t>
      </w:r>
      <w:r w:rsidR="00B84999">
        <w:t xml:space="preserve"> dai beneficiari pari al 65,87% dell’importo impegnato.</w:t>
      </w:r>
      <w:r w:rsidR="009A4842">
        <w:t xml:space="preserve"> </w:t>
      </w:r>
      <w:r w:rsidR="00C060AA">
        <w:t xml:space="preserve">A livello di singolo intervento questa percentuale varia considerevolmente. </w:t>
      </w:r>
      <w:r w:rsidR="00737A76">
        <w:t>A fine 2020, il “</w:t>
      </w:r>
      <w:r w:rsidR="00737A76" w:rsidRPr="00737A76">
        <w:t>Bando per il consolidamento dei 9 Cluster Tecnologici Lombardi CTL</w:t>
      </w:r>
      <w:r w:rsidR="00737A76">
        <w:t>”</w:t>
      </w:r>
      <w:r w:rsidR="00737A76">
        <w:rPr>
          <w:rStyle w:val="Rimandonotaapidipagina"/>
        </w:rPr>
        <w:footnoteReference w:id="3"/>
      </w:r>
      <w:r w:rsidR="00737A76">
        <w:t xml:space="preserve"> risulta essere l’unico intervento per il quale tutte le risorse impegnate sono state spese.</w:t>
      </w:r>
      <w:r w:rsidR="00B657AF">
        <w:t xml:space="preserve"> </w:t>
      </w:r>
      <w:r w:rsidR="00C060AA">
        <w:t xml:space="preserve">Per alcuni interventi invece, </w:t>
      </w:r>
      <w:r w:rsidR="001F57B3">
        <w:t xml:space="preserve">la quota della spesa pubblica ammissibile coperta dalla spesa ammissibile dichiarata dai beneficiari </w:t>
      </w:r>
      <w:r w:rsidR="006B1999">
        <w:t xml:space="preserve">è </w:t>
      </w:r>
      <w:r w:rsidR="001F57B3">
        <w:t>pari a 0</w:t>
      </w:r>
      <w:r w:rsidR="00F0294E">
        <w:t>, tra questi troviamo</w:t>
      </w:r>
      <w:r w:rsidR="00C41C5D">
        <w:t xml:space="preserve"> </w:t>
      </w:r>
      <w:r w:rsidR="00F0294E">
        <w:t>il bando “</w:t>
      </w:r>
      <w:r w:rsidR="00F0294E" w:rsidRPr="00F0294E">
        <w:t xml:space="preserve">Misura </w:t>
      </w:r>
      <w:r w:rsidR="006B1999" w:rsidRPr="00F0294E">
        <w:t xml:space="preserve">Ricerca </w:t>
      </w:r>
      <w:r w:rsidR="0030242F">
        <w:t>COVID</w:t>
      </w:r>
      <w:r w:rsidR="006B1999" w:rsidRPr="00F0294E">
        <w:t>-19 Linea 2 Fesr</w:t>
      </w:r>
      <w:r w:rsidR="00F0294E" w:rsidRPr="00F0294E">
        <w:t>: Ricerca industriale e Sviluppo Sperimentale</w:t>
      </w:r>
      <w:r w:rsidR="00F0294E">
        <w:t>” che è stato introdotto nel 2020, a seguito d</w:t>
      </w:r>
      <w:r w:rsidR="006B1999">
        <w:t xml:space="preserve">ella </w:t>
      </w:r>
      <w:r w:rsidR="00F0294E">
        <w:t>riprogrammazione</w:t>
      </w:r>
      <w:r w:rsidR="006B1999">
        <w:t xml:space="preserve"> finalizzata a </w:t>
      </w:r>
      <w:r w:rsidR="00F0294E">
        <w:t>contrastare gli effetti negativi della pandemia</w:t>
      </w:r>
      <w:r w:rsidR="00E21F3D">
        <w:t>, e le cui concessioni sono state chiuse solo a ottobre 2020</w:t>
      </w:r>
      <w:r w:rsidR="00F0294E">
        <w:t>.</w:t>
      </w:r>
    </w:p>
    <w:bookmarkEnd w:id="21"/>
    <w:p w14:paraId="2E58FA8F" w14:textId="77777777" w:rsidR="007251AB" w:rsidRDefault="007251AB">
      <w:pPr>
        <w:spacing w:after="320" w:line="300" w:lineRule="auto"/>
        <w:jc w:val="left"/>
      </w:pPr>
      <w:r>
        <w:br w:type="page"/>
      </w:r>
    </w:p>
    <w:p w14:paraId="26910B1B" w14:textId="77777777" w:rsidR="00396C3E" w:rsidRDefault="007434ED" w:rsidP="007434ED">
      <w:pPr>
        <w:pStyle w:val="Didascalia"/>
      </w:pPr>
      <w:bookmarkStart w:id="22" w:name="_Toc91081430"/>
      <w:r>
        <w:t xml:space="preserve">Tabella </w:t>
      </w:r>
      <w:r w:rsidR="004E6566">
        <w:fldChar w:fldCharType="begin"/>
      </w:r>
      <w:r>
        <w:instrText xml:space="preserve"> SEQ Tabella \* ARABIC </w:instrText>
      </w:r>
      <w:r w:rsidR="004E6566">
        <w:fldChar w:fldCharType="separate"/>
      </w:r>
      <w:r w:rsidR="00E53D6C">
        <w:rPr>
          <w:noProof/>
        </w:rPr>
        <w:t>4</w:t>
      </w:r>
      <w:r w:rsidR="004E6566">
        <w:fldChar w:fldCharType="end"/>
      </w:r>
      <w:r w:rsidR="001230B4">
        <w:t>. A</w:t>
      </w:r>
      <w:r>
        <w:t>vanzamento degli interventi</w:t>
      </w:r>
      <w:r w:rsidR="009E54BC">
        <w:t xml:space="preserve"> FESR</w:t>
      </w:r>
      <w:r>
        <w:t xml:space="preserve"> - Area economica</w:t>
      </w:r>
      <w:r w:rsidR="009E54BC">
        <w:t xml:space="preserve"> – fine 2020</w:t>
      </w:r>
      <w:bookmarkEnd w:id="22"/>
    </w:p>
    <w:tbl>
      <w:tblPr>
        <w:tblW w:w="9751" w:type="dxa"/>
        <w:tblLayout w:type="fixed"/>
        <w:tblLook w:val="04A0" w:firstRow="1" w:lastRow="0" w:firstColumn="1" w:lastColumn="0" w:noHBand="0" w:noVBand="1"/>
      </w:tblPr>
      <w:tblGrid>
        <w:gridCol w:w="4819"/>
        <w:gridCol w:w="1389"/>
        <w:gridCol w:w="1389"/>
        <w:gridCol w:w="1134"/>
        <w:gridCol w:w="1020"/>
      </w:tblGrid>
      <w:tr w:rsidR="008F2592" w:rsidRPr="004F60E5" w14:paraId="77018ED8" w14:textId="77777777" w:rsidTr="00736089">
        <w:trPr>
          <w:trHeight w:val="1200"/>
        </w:trPr>
        <w:tc>
          <w:tcPr>
            <w:tcW w:w="4819" w:type="dxa"/>
            <w:tcBorders>
              <w:top w:val="single" w:sz="8" w:space="0" w:color="548235"/>
              <w:left w:val="nil"/>
              <w:bottom w:val="nil"/>
              <w:right w:val="nil"/>
            </w:tcBorders>
            <w:shd w:val="clear" w:color="auto" w:fill="669748" w:themeFill="accent2" w:themeFillShade="BF"/>
            <w:vAlign w:val="bottom"/>
            <w:hideMark/>
          </w:tcPr>
          <w:bookmarkEnd w:id="20"/>
          <w:p w14:paraId="2563C568" w14:textId="77777777" w:rsidR="008F2592" w:rsidRPr="004F60E5" w:rsidRDefault="008F2592" w:rsidP="004F60E5">
            <w:pPr>
              <w:spacing w:line="0" w:lineRule="atLeast"/>
              <w:ind w:right="24"/>
              <w:jc w:val="left"/>
              <w:rPr>
                <w:rFonts w:eastAsia="Times New Roman" w:cs="Calibri"/>
                <w:b/>
                <w:bCs/>
                <w:color w:val="FFFFFF"/>
                <w:sz w:val="16"/>
                <w:szCs w:val="16"/>
                <w:lang w:eastAsia="en-US"/>
              </w:rPr>
            </w:pPr>
            <w:r w:rsidRPr="004F60E5">
              <w:rPr>
                <w:rFonts w:eastAsia="Times New Roman" w:cs="Calibri"/>
                <w:b/>
                <w:bCs/>
                <w:color w:val="FFFFFF"/>
                <w:sz w:val="16"/>
                <w:szCs w:val="16"/>
                <w:lang w:eastAsia="en-US"/>
              </w:rPr>
              <w:t>Interventi</w:t>
            </w:r>
          </w:p>
        </w:tc>
        <w:tc>
          <w:tcPr>
            <w:tcW w:w="1389" w:type="dxa"/>
            <w:tcBorders>
              <w:top w:val="single" w:sz="8" w:space="0" w:color="548235"/>
              <w:left w:val="nil"/>
              <w:bottom w:val="nil"/>
              <w:right w:val="nil"/>
            </w:tcBorders>
            <w:shd w:val="clear" w:color="auto" w:fill="669748" w:themeFill="accent2" w:themeFillShade="BF"/>
            <w:vAlign w:val="bottom"/>
            <w:hideMark/>
          </w:tcPr>
          <w:p w14:paraId="7F98DBE7" w14:textId="77777777" w:rsidR="008F2592" w:rsidRPr="004F60E5" w:rsidRDefault="00C060AA" w:rsidP="004F60E5">
            <w:pPr>
              <w:spacing w:line="0" w:lineRule="atLeast"/>
              <w:jc w:val="right"/>
              <w:rPr>
                <w:rFonts w:eastAsia="Times New Roman" w:cs="Calibri"/>
                <w:b/>
                <w:bCs/>
                <w:color w:val="FFFFFF"/>
                <w:sz w:val="16"/>
                <w:szCs w:val="16"/>
                <w:lang w:eastAsia="en-US"/>
              </w:rPr>
            </w:pPr>
            <w:r w:rsidRPr="004F60E5">
              <w:rPr>
                <w:rFonts w:eastAsia="Times New Roman" w:cs="Calibri"/>
                <w:b/>
                <w:bCs/>
                <w:color w:val="FFFFFF"/>
                <w:sz w:val="16"/>
                <w:szCs w:val="16"/>
                <w:lang w:eastAsia="en-US"/>
              </w:rPr>
              <w:t xml:space="preserve">A - </w:t>
            </w:r>
            <w:r w:rsidR="008F2592" w:rsidRPr="004F60E5">
              <w:rPr>
                <w:rFonts w:eastAsia="Times New Roman" w:cs="Calibri"/>
                <w:b/>
                <w:bCs/>
                <w:color w:val="FFFFFF"/>
                <w:sz w:val="16"/>
                <w:szCs w:val="16"/>
                <w:lang w:eastAsia="en-US"/>
              </w:rPr>
              <w:t>Spesa pubblica ammissibile delle operazioni selezionate per il sostegno (EUR)</w:t>
            </w:r>
          </w:p>
        </w:tc>
        <w:tc>
          <w:tcPr>
            <w:tcW w:w="1389" w:type="dxa"/>
            <w:tcBorders>
              <w:top w:val="single" w:sz="8" w:space="0" w:color="548235"/>
              <w:left w:val="nil"/>
              <w:bottom w:val="nil"/>
              <w:right w:val="nil"/>
            </w:tcBorders>
            <w:shd w:val="clear" w:color="auto" w:fill="669748" w:themeFill="accent2" w:themeFillShade="BF"/>
            <w:vAlign w:val="bottom"/>
            <w:hideMark/>
          </w:tcPr>
          <w:p w14:paraId="263924CE" w14:textId="77777777" w:rsidR="008F2592" w:rsidRPr="004F60E5" w:rsidRDefault="00C060AA" w:rsidP="004F60E5">
            <w:pPr>
              <w:spacing w:line="0" w:lineRule="atLeast"/>
              <w:jc w:val="right"/>
              <w:rPr>
                <w:rFonts w:eastAsia="Times New Roman" w:cs="Calibri"/>
                <w:b/>
                <w:bCs/>
                <w:color w:val="FFFFFF"/>
                <w:sz w:val="16"/>
                <w:szCs w:val="16"/>
                <w:lang w:eastAsia="en-US"/>
              </w:rPr>
            </w:pPr>
            <w:r w:rsidRPr="004F60E5">
              <w:rPr>
                <w:rFonts w:eastAsia="Times New Roman" w:cs="Calibri"/>
                <w:b/>
                <w:bCs/>
                <w:color w:val="FFFFFF"/>
                <w:sz w:val="16"/>
                <w:szCs w:val="16"/>
                <w:lang w:eastAsia="en-US"/>
              </w:rPr>
              <w:t xml:space="preserve">B - </w:t>
            </w:r>
            <w:r w:rsidR="008F2592" w:rsidRPr="004F60E5">
              <w:rPr>
                <w:rFonts w:eastAsia="Times New Roman" w:cs="Calibri"/>
                <w:b/>
                <w:bCs/>
                <w:color w:val="FFFFFF"/>
                <w:sz w:val="16"/>
                <w:szCs w:val="16"/>
                <w:lang w:eastAsia="en-US"/>
              </w:rPr>
              <w:t>Spesa totale ammissibile dichiarata dai beneficiari all'AdG (EUR)</w:t>
            </w:r>
          </w:p>
        </w:tc>
        <w:tc>
          <w:tcPr>
            <w:tcW w:w="1134" w:type="dxa"/>
            <w:tcBorders>
              <w:top w:val="single" w:sz="8" w:space="0" w:color="548235"/>
              <w:left w:val="nil"/>
              <w:bottom w:val="nil"/>
              <w:right w:val="nil"/>
            </w:tcBorders>
            <w:shd w:val="clear" w:color="auto" w:fill="669748" w:themeFill="accent2" w:themeFillShade="BF"/>
            <w:vAlign w:val="bottom"/>
            <w:hideMark/>
          </w:tcPr>
          <w:p w14:paraId="7945BE49" w14:textId="77777777" w:rsidR="008F2592" w:rsidRPr="004F60E5" w:rsidRDefault="00C060AA" w:rsidP="004F60E5">
            <w:pPr>
              <w:spacing w:line="0" w:lineRule="atLeast"/>
              <w:jc w:val="right"/>
              <w:rPr>
                <w:rFonts w:eastAsia="Times New Roman" w:cs="Calibri"/>
                <w:b/>
                <w:bCs/>
                <w:color w:val="FFFFFF"/>
                <w:sz w:val="16"/>
                <w:szCs w:val="16"/>
                <w:lang w:eastAsia="en-US"/>
              </w:rPr>
            </w:pPr>
            <w:r w:rsidRPr="004F60E5">
              <w:rPr>
                <w:rFonts w:eastAsia="Times New Roman" w:cs="Calibri"/>
                <w:b/>
                <w:bCs/>
                <w:color w:val="FFFFFF"/>
                <w:sz w:val="16"/>
                <w:szCs w:val="16"/>
                <w:lang w:eastAsia="en-US"/>
              </w:rPr>
              <w:t>B/A - S</w:t>
            </w:r>
            <w:r w:rsidR="008F2592" w:rsidRPr="004F60E5">
              <w:rPr>
                <w:rFonts w:eastAsia="Times New Roman" w:cs="Calibri"/>
                <w:b/>
                <w:bCs/>
                <w:color w:val="FFFFFF"/>
                <w:sz w:val="16"/>
                <w:szCs w:val="16"/>
                <w:lang w:eastAsia="en-US"/>
              </w:rPr>
              <w:t>pesa ammissibile dichiarata dai beneficiari (%)</w:t>
            </w:r>
          </w:p>
        </w:tc>
        <w:tc>
          <w:tcPr>
            <w:tcW w:w="1020" w:type="dxa"/>
            <w:tcBorders>
              <w:top w:val="single" w:sz="8" w:space="0" w:color="548235"/>
              <w:left w:val="nil"/>
              <w:bottom w:val="nil"/>
              <w:right w:val="nil"/>
            </w:tcBorders>
            <w:shd w:val="clear" w:color="auto" w:fill="669748" w:themeFill="accent2" w:themeFillShade="BF"/>
            <w:vAlign w:val="bottom"/>
            <w:hideMark/>
          </w:tcPr>
          <w:p w14:paraId="03A1F35B" w14:textId="77777777" w:rsidR="008F2592" w:rsidRPr="004F60E5" w:rsidRDefault="008F2592" w:rsidP="004F60E5">
            <w:pPr>
              <w:spacing w:line="0" w:lineRule="atLeast"/>
              <w:jc w:val="right"/>
              <w:rPr>
                <w:rFonts w:eastAsia="Times New Roman" w:cs="Calibri"/>
                <w:b/>
                <w:bCs/>
                <w:color w:val="FFFFFF"/>
                <w:sz w:val="16"/>
                <w:szCs w:val="16"/>
                <w:lang w:eastAsia="en-US"/>
              </w:rPr>
            </w:pPr>
            <w:r w:rsidRPr="004F60E5">
              <w:rPr>
                <w:rFonts w:eastAsia="Times New Roman" w:cs="Calibri"/>
                <w:b/>
                <w:bCs/>
                <w:color w:val="FFFFFF"/>
                <w:sz w:val="16"/>
                <w:szCs w:val="16"/>
                <w:lang w:eastAsia="en-US"/>
              </w:rPr>
              <w:t>Numero di operazioni selezionate</w:t>
            </w:r>
          </w:p>
        </w:tc>
      </w:tr>
      <w:tr w:rsidR="008F2592" w:rsidRPr="004F60E5" w14:paraId="70864B16" w14:textId="77777777" w:rsidTr="00EA0726">
        <w:trPr>
          <w:trHeight w:val="300"/>
        </w:trPr>
        <w:tc>
          <w:tcPr>
            <w:tcW w:w="4819" w:type="dxa"/>
            <w:tcBorders>
              <w:top w:val="nil"/>
              <w:left w:val="nil"/>
              <w:bottom w:val="single" w:sz="4" w:space="0" w:color="305496"/>
              <w:right w:val="nil"/>
            </w:tcBorders>
            <w:shd w:val="clear" w:color="auto" w:fill="auto"/>
            <w:noWrap/>
            <w:vAlign w:val="bottom"/>
            <w:hideMark/>
          </w:tcPr>
          <w:p w14:paraId="11D1FBCB" w14:textId="77777777" w:rsidR="008F2592" w:rsidRPr="004F60E5" w:rsidRDefault="008F2592" w:rsidP="004F60E5">
            <w:pPr>
              <w:spacing w:line="0" w:lineRule="atLeast"/>
              <w:jc w:val="left"/>
              <w:rPr>
                <w:rFonts w:eastAsia="Times New Roman" w:cs="Calibri"/>
                <w:b/>
                <w:bCs/>
                <w:color w:val="000000"/>
                <w:sz w:val="16"/>
                <w:szCs w:val="16"/>
                <w:lang w:eastAsia="en-US"/>
              </w:rPr>
            </w:pPr>
            <w:r w:rsidRPr="004F60E5">
              <w:rPr>
                <w:rFonts w:eastAsia="Times New Roman" w:cs="Calibri"/>
                <w:b/>
                <w:bCs/>
                <w:color w:val="000000"/>
                <w:sz w:val="16"/>
                <w:szCs w:val="16"/>
                <w:lang w:eastAsia="en-US"/>
              </w:rPr>
              <w:t xml:space="preserve">Area </w:t>
            </w:r>
            <w:r w:rsidR="00E37FC4" w:rsidRPr="004F60E5">
              <w:rPr>
                <w:rFonts w:eastAsia="Times New Roman" w:cs="Calibri"/>
                <w:b/>
                <w:bCs/>
                <w:color w:val="000000"/>
                <w:sz w:val="16"/>
                <w:szCs w:val="16"/>
                <w:lang w:eastAsia="en-US"/>
              </w:rPr>
              <w:t>e</w:t>
            </w:r>
            <w:r w:rsidRPr="004F60E5">
              <w:rPr>
                <w:rFonts w:eastAsia="Times New Roman" w:cs="Calibri"/>
                <w:b/>
                <w:bCs/>
                <w:color w:val="000000"/>
                <w:sz w:val="16"/>
                <w:szCs w:val="16"/>
                <w:lang w:eastAsia="en-US"/>
              </w:rPr>
              <w:t>conomica</w:t>
            </w:r>
          </w:p>
        </w:tc>
        <w:tc>
          <w:tcPr>
            <w:tcW w:w="1389" w:type="dxa"/>
            <w:tcBorders>
              <w:top w:val="nil"/>
              <w:left w:val="nil"/>
              <w:bottom w:val="single" w:sz="4" w:space="0" w:color="305496"/>
              <w:right w:val="nil"/>
            </w:tcBorders>
            <w:shd w:val="clear" w:color="auto" w:fill="auto"/>
            <w:noWrap/>
            <w:vAlign w:val="bottom"/>
            <w:hideMark/>
          </w:tcPr>
          <w:p w14:paraId="3FB55005" w14:textId="190D627D" w:rsidR="008F2592" w:rsidRPr="004F60E5" w:rsidRDefault="008F2592" w:rsidP="004F60E5">
            <w:pPr>
              <w:spacing w:line="0" w:lineRule="atLeast"/>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625.193.714</w:t>
            </w:r>
          </w:p>
        </w:tc>
        <w:tc>
          <w:tcPr>
            <w:tcW w:w="1389" w:type="dxa"/>
            <w:tcBorders>
              <w:top w:val="nil"/>
              <w:left w:val="nil"/>
              <w:bottom w:val="single" w:sz="4" w:space="0" w:color="305496"/>
              <w:right w:val="nil"/>
            </w:tcBorders>
            <w:shd w:val="clear" w:color="auto" w:fill="auto"/>
            <w:noWrap/>
            <w:vAlign w:val="bottom"/>
            <w:hideMark/>
          </w:tcPr>
          <w:p w14:paraId="29CBAF47" w14:textId="318820A4" w:rsidR="008F2592" w:rsidRPr="004F60E5" w:rsidRDefault="008F2592" w:rsidP="004F60E5">
            <w:pPr>
              <w:spacing w:line="0" w:lineRule="atLeast"/>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293.319.172</w:t>
            </w:r>
          </w:p>
        </w:tc>
        <w:tc>
          <w:tcPr>
            <w:tcW w:w="1134" w:type="dxa"/>
            <w:tcBorders>
              <w:top w:val="nil"/>
              <w:left w:val="nil"/>
              <w:bottom w:val="single" w:sz="4" w:space="0" w:color="305496"/>
              <w:right w:val="nil"/>
            </w:tcBorders>
            <w:shd w:val="clear" w:color="auto" w:fill="auto"/>
            <w:noWrap/>
            <w:vAlign w:val="bottom"/>
            <w:hideMark/>
          </w:tcPr>
          <w:p w14:paraId="060FFA02" w14:textId="77777777" w:rsidR="008F2592" w:rsidRPr="004F60E5" w:rsidRDefault="008F2592" w:rsidP="004F60E5">
            <w:pPr>
              <w:spacing w:line="0" w:lineRule="atLeast"/>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46,92%</w:t>
            </w:r>
          </w:p>
        </w:tc>
        <w:tc>
          <w:tcPr>
            <w:tcW w:w="1020" w:type="dxa"/>
            <w:tcBorders>
              <w:top w:val="nil"/>
              <w:left w:val="nil"/>
              <w:bottom w:val="single" w:sz="4" w:space="0" w:color="305496"/>
              <w:right w:val="nil"/>
            </w:tcBorders>
            <w:shd w:val="clear" w:color="auto" w:fill="auto"/>
            <w:noWrap/>
            <w:vAlign w:val="bottom"/>
            <w:hideMark/>
          </w:tcPr>
          <w:p w14:paraId="2DF6CF95" w14:textId="4E58F524" w:rsidR="008F2592" w:rsidRPr="004F60E5" w:rsidRDefault="008F2592" w:rsidP="004F60E5">
            <w:pPr>
              <w:spacing w:line="0" w:lineRule="atLeast"/>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3.053</w:t>
            </w:r>
          </w:p>
        </w:tc>
      </w:tr>
      <w:tr w:rsidR="008F2592" w:rsidRPr="004F60E5" w14:paraId="0576D24F" w14:textId="77777777" w:rsidTr="00EA0726">
        <w:trPr>
          <w:trHeight w:val="300"/>
        </w:trPr>
        <w:tc>
          <w:tcPr>
            <w:tcW w:w="4819" w:type="dxa"/>
            <w:tcBorders>
              <w:top w:val="single" w:sz="4" w:space="0" w:color="305496"/>
              <w:left w:val="nil"/>
              <w:bottom w:val="single" w:sz="4" w:space="0" w:color="305496"/>
              <w:right w:val="nil"/>
            </w:tcBorders>
            <w:shd w:val="clear" w:color="auto" w:fill="E4E3E2" w:themeFill="background2"/>
            <w:noWrap/>
            <w:vAlign w:val="bottom"/>
            <w:hideMark/>
          </w:tcPr>
          <w:p w14:paraId="6AFB8187" w14:textId="77777777" w:rsidR="008F2592" w:rsidRPr="004F60E5" w:rsidRDefault="008F2592" w:rsidP="004F60E5">
            <w:pPr>
              <w:spacing w:line="0" w:lineRule="atLeast"/>
              <w:jc w:val="left"/>
              <w:rPr>
                <w:rFonts w:eastAsia="Times New Roman" w:cs="Calibri"/>
                <w:b/>
                <w:bCs/>
                <w:color w:val="000000"/>
                <w:sz w:val="16"/>
                <w:szCs w:val="16"/>
                <w:lang w:eastAsia="en-US"/>
              </w:rPr>
            </w:pPr>
            <w:r w:rsidRPr="004F60E5">
              <w:rPr>
                <w:rFonts w:eastAsia="Times New Roman" w:cs="Calibri"/>
                <w:b/>
                <w:bCs/>
                <w:color w:val="000000"/>
                <w:sz w:val="16"/>
                <w:szCs w:val="16"/>
                <w:lang w:eastAsia="en-US"/>
              </w:rPr>
              <w:t>I  -  RAFFORZARE LA RICERCA, LO SVILUPPO TECNOLOGICO E L'INNOVAZIONE</w:t>
            </w:r>
          </w:p>
        </w:tc>
        <w:tc>
          <w:tcPr>
            <w:tcW w:w="1389" w:type="dxa"/>
            <w:tcBorders>
              <w:top w:val="single" w:sz="4" w:space="0" w:color="305496"/>
              <w:left w:val="nil"/>
              <w:bottom w:val="single" w:sz="4" w:space="0" w:color="305496"/>
              <w:right w:val="nil"/>
            </w:tcBorders>
            <w:shd w:val="clear" w:color="auto" w:fill="E4E3E2" w:themeFill="background2"/>
            <w:noWrap/>
            <w:vAlign w:val="bottom"/>
            <w:hideMark/>
          </w:tcPr>
          <w:p w14:paraId="4DA4FFAB" w14:textId="45C13D72" w:rsidR="008F2592" w:rsidRPr="004F60E5" w:rsidRDefault="008F2592" w:rsidP="004F60E5">
            <w:pPr>
              <w:spacing w:line="0" w:lineRule="atLeast"/>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376.042.302</w:t>
            </w:r>
          </w:p>
        </w:tc>
        <w:tc>
          <w:tcPr>
            <w:tcW w:w="1389" w:type="dxa"/>
            <w:tcBorders>
              <w:top w:val="single" w:sz="4" w:space="0" w:color="305496"/>
              <w:left w:val="nil"/>
              <w:bottom w:val="single" w:sz="4" w:space="0" w:color="305496"/>
              <w:right w:val="nil"/>
            </w:tcBorders>
            <w:shd w:val="clear" w:color="auto" w:fill="E4E3E2" w:themeFill="background2"/>
            <w:noWrap/>
            <w:vAlign w:val="bottom"/>
            <w:hideMark/>
          </w:tcPr>
          <w:p w14:paraId="4DF1250D" w14:textId="215F1050" w:rsidR="008F2592" w:rsidRPr="004F60E5" w:rsidRDefault="008F2592" w:rsidP="004F60E5">
            <w:pPr>
              <w:spacing w:line="0" w:lineRule="atLeast"/>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130.454.266</w:t>
            </w:r>
          </w:p>
        </w:tc>
        <w:tc>
          <w:tcPr>
            <w:tcW w:w="1134" w:type="dxa"/>
            <w:tcBorders>
              <w:top w:val="single" w:sz="4" w:space="0" w:color="305496"/>
              <w:left w:val="nil"/>
              <w:bottom w:val="single" w:sz="4" w:space="0" w:color="305496"/>
              <w:right w:val="nil"/>
            </w:tcBorders>
            <w:shd w:val="clear" w:color="auto" w:fill="E4E3E2" w:themeFill="background2"/>
            <w:noWrap/>
            <w:vAlign w:val="bottom"/>
            <w:hideMark/>
          </w:tcPr>
          <w:p w14:paraId="37274D13" w14:textId="77777777" w:rsidR="008F2592" w:rsidRPr="004F60E5" w:rsidRDefault="008F2592" w:rsidP="004F60E5">
            <w:pPr>
              <w:spacing w:line="0" w:lineRule="atLeast"/>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34,69%</w:t>
            </w:r>
          </w:p>
        </w:tc>
        <w:tc>
          <w:tcPr>
            <w:tcW w:w="1020" w:type="dxa"/>
            <w:tcBorders>
              <w:top w:val="single" w:sz="4" w:space="0" w:color="305496"/>
              <w:left w:val="nil"/>
              <w:bottom w:val="single" w:sz="4" w:space="0" w:color="305496"/>
              <w:right w:val="nil"/>
            </w:tcBorders>
            <w:shd w:val="clear" w:color="auto" w:fill="E4E3E2" w:themeFill="background2"/>
            <w:noWrap/>
            <w:vAlign w:val="bottom"/>
            <w:hideMark/>
          </w:tcPr>
          <w:p w14:paraId="79C49436" w14:textId="570194FE" w:rsidR="008F2592" w:rsidRPr="004F60E5" w:rsidRDefault="008F2592" w:rsidP="004F60E5">
            <w:pPr>
              <w:spacing w:line="0" w:lineRule="atLeast"/>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893</w:t>
            </w:r>
          </w:p>
        </w:tc>
      </w:tr>
      <w:tr w:rsidR="008F2592" w:rsidRPr="004F60E5" w14:paraId="43D7CC23" w14:textId="77777777" w:rsidTr="00EA0726">
        <w:trPr>
          <w:trHeight w:val="300"/>
        </w:trPr>
        <w:tc>
          <w:tcPr>
            <w:tcW w:w="4819" w:type="dxa"/>
            <w:tcBorders>
              <w:top w:val="single" w:sz="4" w:space="0" w:color="305496"/>
              <w:left w:val="nil"/>
              <w:bottom w:val="nil"/>
              <w:right w:val="nil"/>
            </w:tcBorders>
            <w:shd w:val="clear" w:color="auto" w:fill="auto"/>
            <w:vAlign w:val="bottom"/>
            <w:hideMark/>
          </w:tcPr>
          <w:p w14:paraId="3A6EC963"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AI2 - Aree Interne Innovazione</w:t>
            </w:r>
          </w:p>
        </w:tc>
        <w:tc>
          <w:tcPr>
            <w:tcW w:w="1389" w:type="dxa"/>
            <w:tcBorders>
              <w:top w:val="single" w:sz="4" w:space="0" w:color="305496"/>
              <w:left w:val="nil"/>
              <w:bottom w:val="nil"/>
              <w:right w:val="nil"/>
            </w:tcBorders>
            <w:shd w:val="clear" w:color="auto" w:fill="auto"/>
            <w:noWrap/>
            <w:vAlign w:val="bottom"/>
            <w:hideMark/>
          </w:tcPr>
          <w:p w14:paraId="4730A6A4" w14:textId="72BDBC7F"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1.498.629</w:t>
            </w:r>
          </w:p>
        </w:tc>
        <w:tc>
          <w:tcPr>
            <w:tcW w:w="1389" w:type="dxa"/>
            <w:tcBorders>
              <w:top w:val="single" w:sz="4" w:space="0" w:color="305496"/>
              <w:left w:val="nil"/>
              <w:bottom w:val="nil"/>
              <w:right w:val="nil"/>
            </w:tcBorders>
            <w:shd w:val="clear" w:color="auto" w:fill="auto"/>
            <w:noWrap/>
            <w:vAlign w:val="bottom"/>
            <w:hideMark/>
          </w:tcPr>
          <w:p w14:paraId="3075CCF4" w14:textId="73F54760"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370.020</w:t>
            </w:r>
          </w:p>
        </w:tc>
        <w:tc>
          <w:tcPr>
            <w:tcW w:w="1134" w:type="dxa"/>
            <w:tcBorders>
              <w:top w:val="single" w:sz="4" w:space="0" w:color="305496"/>
              <w:left w:val="nil"/>
              <w:bottom w:val="nil"/>
              <w:right w:val="nil"/>
            </w:tcBorders>
            <w:shd w:val="clear" w:color="auto" w:fill="auto"/>
            <w:noWrap/>
            <w:vAlign w:val="bottom"/>
            <w:hideMark/>
          </w:tcPr>
          <w:p w14:paraId="32446B48"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24,69%</w:t>
            </w:r>
          </w:p>
        </w:tc>
        <w:tc>
          <w:tcPr>
            <w:tcW w:w="1020" w:type="dxa"/>
            <w:tcBorders>
              <w:top w:val="single" w:sz="4" w:space="0" w:color="305496"/>
              <w:left w:val="nil"/>
              <w:bottom w:val="nil"/>
              <w:right w:val="nil"/>
            </w:tcBorders>
            <w:shd w:val="clear" w:color="auto" w:fill="auto"/>
            <w:noWrap/>
            <w:vAlign w:val="bottom"/>
            <w:hideMark/>
          </w:tcPr>
          <w:p w14:paraId="05D47D4E" w14:textId="23C015CD"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w:t>
            </w:r>
          </w:p>
        </w:tc>
      </w:tr>
      <w:tr w:rsidR="008F2592" w:rsidRPr="004F60E5" w14:paraId="64EAB10F" w14:textId="77777777" w:rsidTr="004F60E5">
        <w:trPr>
          <w:trHeight w:val="514"/>
        </w:trPr>
        <w:tc>
          <w:tcPr>
            <w:tcW w:w="4819" w:type="dxa"/>
            <w:tcBorders>
              <w:top w:val="nil"/>
              <w:left w:val="nil"/>
              <w:bottom w:val="nil"/>
              <w:right w:val="nil"/>
            </w:tcBorders>
            <w:shd w:val="clear" w:color="auto" w:fill="auto"/>
            <w:vAlign w:val="bottom"/>
            <w:hideMark/>
          </w:tcPr>
          <w:p w14:paraId="48BF3A66"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Attività di coordinamento animazione   consolidamento e sviluppo di un ambiente di Open Innovation attraverso la piattaforma regionale</w:t>
            </w:r>
          </w:p>
        </w:tc>
        <w:tc>
          <w:tcPr>
            <w:tcW w:w="1389" w:type="dxa"/>
            <w:tcBorders>
              <w:top w:val="nil"/>
              <w:left w:val="nil"/>
              <w:bottom w:val="nil"/>
              <w:right w:val="nil"/>
            </w:tcBorders>
            <w:shd w:val="clear" w:color="auto" w:fill="auto"/>
            <w:noWrap/>
            <w:vAlign w:val="bottom"/>
            <w:hideMark/>
          </w:tcPr>
          <w:p w14:paraId="6B30332B" w14:textId="1B1130EB"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3.271.441</w:t>
            </w:r>
          </w:p>
        </w:tc>
        <w:tc>
          <w:tcPr>
            <w:tcW w:w="1389" w:type="dxa"/>
            <w:tcBorders>
              <w:top w:val="nil"/>
              <w:left w:val="nil"/>
              <w:bottom w:val="nil"/>
              <w:right w:val="nil"/>
            </w:tcBorders>
            <w:shd w:val="clear" w:color="auto" w:fill="auto"/>
            <w:noWrap/>
            <w:vAlign w:val="bottom"/>
            <w:hideMark/>
          </w:tcPr>
          <w:p w14:paraId="3327E9D7" w14:textId="7D8E59DF"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1.749.576</w:t>
            </w:r>
          </w:p>
        </w:tc>
        <w:tc>
          <w:tcPr>
            <w:tcW w:w="1134" w:type="dxa"/>
            <w:tcBorders>
              <w:top w:val="nil"/>
              <w:left w:val="nil"/>
              <w:bottom w:val="nil"/>
              <w:right w:val="nil"/>
            </w:tcBorders>
            <w:shd w:val="clear" w:color="auto" w:fill="auto"/>
            <w:noWrap/>
            <w:vAlign w:val="bottom"/>
            <w:hideMark/>
          </w:tcPr>
          <w:p w14:paraId="1D42A244"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53,48%</w:t>
            </w:r>
          </w:p>
        </w:tc>
        <w:tc>
          <w:tcPr>
            <w:tcW w:w="1020" w:type="dxa"/>
            <w:tcBorders>
              <w:top w:val="nil"/>
              <w:left w:val="nil"/>
              <w:bottom w:val="nil"/>
              <w:right w:val="nil"/>
            </w:tcBorders>
            <w:shd w:val="clear" w:color="auto" w:fill="auto"/>
            <w:noWrap/>
            <w:vAlign w:val="bottom"/>
            <w:hideMark/>
          </w:tcPr>
          <w:p w14:paraId="2057D748" w14:textId="591AAA2F"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4</w:t>
            </w:r>
          </w:p>
        </w:tc>
      </w:tr>
      <w:tr w:rsidR="008F2592" w:rsidRPr="004F60E5" w14:paraId="4356426B" w14:textId="77777777" w:rsidTr="008F2592">
        <w:trPr>
          <w:trHeight w:val="300"/>
        </w:trPr>
        <w:tc>
          <w:tcPr>
            <w:tcW w:w="4819" w:type="dxa"/>
            <w:tcBorders>
              <w:top w:val="nil"/>
              <w:left w:val="nil"/>
              <w:bottom w:val="nil"/>
              <w:right w:val="nil"/>
            </w:tcBorders>
            <w:shd w:val="clear" w:color="auto" w:fill="auto"/>
            <w:vAlign w:val="bottom"/>
            <w:hideMark/>
          </w:tcPr>
          <w:p w14:paraId="1A97665E"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Bando per il consolidamento dei 9 Cluster Tecnologici Lombardi CTL</w:t>
            </w:r>
          </w:p>
        </w:tc>
        <w:tc>
          <w:tcPr>
            <w:tcW w:w="1389" w:type="dxa"/>
            <w:tcBorders>
              <w:top w:val="nil"/>
              <w:left w:val="nil"/>
              <w:bottom w:val="nil"/>
              <w:right w:val="nil"/>
            </w:tcBorders>
            <w:shd w:val="clear" w:color="auto" w:fill="auto"/>
            <w:noWrap/>
            <w:vAlign w:val="bottom"/>
            <w:hideMark/>
          </w:tcPr>
          <w:p w14:paraId="3D3ED66D" w14:textId="6EFFB5BF"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551.453</w:t>
            </w:r>
          </w:p>
        </w:tc>
        <w:tc>
          <w:tcPr>
            <w:tcW w:w="1389" w:type="dxa"/>
            <w:tcBorders>
              <w:top w:val="nil"/>
              <w:left w:val="nil"/>
              <w:bottom w:val="nil"/>
              <w:right w:val="nil"/>
            </w:tcBorders>
            <w:shd w:val="clear" w:color="auto" w:fill="auto"/>
            <w:noWrap/>
            <w:vAlign w:val="bottom"/>
            <w:hideMark/>
          </w:tcPr>
          <w:p w14:paraId="2EB4E8DE" w14:textId="62EC5712"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551.450</w:t>
            </w:r>
          </w:p>
        </w:tc>
        <w:tc>
          <w:tcPr>
            <w:tcW w:w="1134" w:type="dxa"/>
            <w:tcBorders>
              <w:top w:val="nil"/>
              <w:left w:val="nil"/>
              <w:bottom w:val="nil"/>
              <w:right w:val="nil"/>
            </w:tcBorders>
            <w:shd w:val="clear" w:color="auto" w:fill="auto"/>
            <w:noWrap/>
            <w:vAlign w:val="bottom"/>
            <w:hideMark/>
          </w:tcPr>
          <w:p w14:paraId="6D565B3F"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24F76E7C" w14:textId="1FD542F4"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8</w:t>
            </w:r>
          </w:p>
        </w:tc>
      </w:tr>
      <w:tr w:rsidR="008F2592" w:rsidRPr="004F60E5" w14:paraId="15E10B5E" w14:textId="77777777" w:rsidTr="008F2592">
        <w:trPr>
          <w:trHeight w:val="300"/>
        </w:trPr>
        <w:tc>
          <w:tcPr>
            <w:tcW w:w="4819" w:type="dxa"/>
            <w:tcBorders>
              <w:top w:val="nil"/>
              <w:left w:val="nil"/>
              <w:bottom w:val="nil"/>
              <w:right w:val="nil"/>
            </w:tcBorders>
            <w:shd w:val="clear" w:color="auto" w:fill="auto"/>
            <w:vAlign w:val="bottom"/>
            <w:hideMark/>
          </w:tcPr>
          <w:p w14:paraId="5F3EE5A0"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Call HUB Ricerca e Innovazione</w:t>
            </w:r>
          </w:p>
        </w:tc>
        <w:tc>
          <w:tcPr>
            <w:tcW w:w="1389" w:type="dxa"/>
            <w:tcBorders>
              <w:top w:val="nil"/>
              <w:left w:val="nil"/>
              <w:bottom w:val="nil"/>
              <w:right w:val="nil"/>
            </w:tcBorders>
            <w:shd w:val="clear" w:color="auto" w:fill="auto"/>
            <w:noWrap/>
            <w:vAlign w:val="bottom"/>
            <w:hideMark/>
          </w:tcPr>
          <w:p w14:paraId="0AFC1467" w14:textId="53765651"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114.635.610</w:t>
            </w:r>
          </w:p>
        </w:tc>
        <w:tc>
          <w:tcPr>
            <w:tcW w:w="1389" w:type="dxa"/>
            <w:tcBorders>
              <w:top w:val="nil"/>
              <w:left w:val="nil"/>
              <w:bottom w:val="nil"/>
              <w:right w:val="nil"/>
            </w:tcBorders>
            <w:shd w:val="clear" w:color="auto" w:fill="auto"/>
            <w:noWrap/>
            <w:vAlign w:val="bottom"/>
            <w:hideMark/>
          </w:tcPr>
          <w:p w14:paraId="03A76EC4" w14:textId="7DDA4CCB"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765.448</w:t>
            </w:r>
          </w:p>
        </w:tc>
        <w:tc>
          <w:tcPr>
            <w:tcW w:w="1134" w:type="dxa"/>
            <w:tcBorders>
              <w:top w:val="nil"/>
              <w:left w:val="nil"/>
              <w:bottom w:val="nil"/>
              <w:right w:val="nil"/>
            </w:tcBorders>
            <w:shd w:val="clear" w:color="auto" w:fill="auto"/>
            <w:noWrap/>
            <w:vAlign w:val="bottom"/>
            <w:hideMark/>
          </w:tcPr>
          <w:p w14:paraId="49510349"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0,67%</w:t>
            </w:r>
          </w:p>
        </w:tc>
        <w:tc>
          <w:tcPr>
            <w:tcW w:w="1020" w:type="dxa"/>
            <w:tcBorders>
              <w:top w:val="nil"/>
              <w:left w:val="nil"/>
              <w:bottom w:val="nil"/>
              <w:right w:val="nil"/>
            </w:tcBorders>
            <w:shd w:val="clear" w:color="auto" w:fill="auto"/>
            <w:noWrap/>
            <w:vAlign w:val="bottom"/>
            <w:hideMark/>
          </w:tcPr>
          <w:p w14:paraId="43F7D632" w14:textId="3AC1131D"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33</w:t>
            </w:r>
          </w:p>
        </w:tc>
      </w:tr>
      <w:tr w:rsidR="008F2592" w:rsidRPr="004F60E5" w14:paraId="17470261" w14:textId="77777777" w:rsidTr="008F2592">
        <w:trPr>
          <w:trHeight w:val="300"/>
        </w:trPr>
        <w:tc>
          <w:tcPr>
            <w:tcW w:w="4819" w:type="dxa"/>
            <w:tcBorders>
              <w:top w:val="nil"/>
              <w:left w:val="nil"/>
              <w:bottom w:val="nil"/>
              <w:right w:val="nil"/>
            </w:tcBorders>
            <w:shd w:val="clear" w:color="auto" w:fill="auto"/>
            <w:vAlign w:val="bottom"/>
            <w:hideMark/>
          </w:tcPr>
          <w:p w14:paraId="757DC865" w14:textId="77777777" w:rsidR="008F2592" w:rsidRPr="004F60E5" w:rsidRDefault="008F2592" w:rsidP="004F60E5">
            <w:pPr>
              <w:spacing w:line="0" w:lineRule="atLeast"/>
              <w:jc w:val="left"/>
              <w:rPr>
                <w:rFonts w:eastAsia="Times New Roman" w:cs="Calibri"/>
                <w:color w:val="000000"/>
                <w:sz w:val="16"/>
                <w:szCs w:val="16"/>
                <w:lang w:eastAsia="en-US"/>
              </w:rPr>
            </w:pPr>
            <w:proofErr w:type="spellStart"/>
            <w:r w:rsidRPr="004F60E5">
              <w:rPr>
                <w:rFonts w:eastAsia="Times New Roman" w:cs="Calibri"/>
                <w:color w:val="000000"/>
                <w:sz w:val="16"/>
                <w:szCs w:val="16"/>
                <w:lang w:eastAsia="en-US"/>
              </w:rPr>
              <w:t>Fashiontech</w:t>
            </w:r>
            <w:proofErr w:type="spellEnd"/>
          </w:p>
        </w:tc>
        <w:tc>
          <w:tcPr>
            <w:tcW w:w="1389" w:type="dxa"/>
            <w:tcBorders>
              <w:top w:val="nil"/>
              <w:left w:val="nil"/>
              <w:bottom w:val="nil"/>
              <w:right w:val="nil"/>
            </w:tcBorders>
            <w:shd w:val="clear" w:color="auto" w:fill="auto"/>
            <w:noWrap/>
            <w:vAlign w:val="bottom"/>
            <w:hideMark/>
          </w:tcPr>
          <w:p w14:paraId="757DD42F" w14:textId="1C0713AF"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9.829.984</w:t>
            </w:r>
          </w:p>
        </w:tc>
        <w:tc>
          <w:tcPr>
            <w:tcW w:w="1389" w:type="dxa"/>
            <w:tcBorders>
              <w:top w:val="nil"/>
              <w:left w:val="nil"/>
              <w:bottom w:val="nil"/>
              <w:right w:val="nil"/>
            </w:tcBorders>
            <w:shd w:val="clear" w:color="auto" w:fill="auto"/>
            <w:noWrap/>
            <w:vAlign w:val="bottom"/>
            <w:hideMark/>
          </w:tcPr>
          <w:p w14:paraId="7741F4E6" w14:textId="568AD360"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651.639</w:t>
            </w:r>
          </w:p>
        </w:tc>
        <w:tc>
          <w:tcPr>
            <w:tcW w:w="1134" w:type="dxa"/>
            <w:tcBorders>
              <w:top w:val="nil"/>
              <w:left w:val="nil"/>
              <w:bottom w:val="nil"/>
              <w:right w:val="nil"/>
            </w:tcBorders>
            <w:shd w:val="clear" w:color="auto" w:fill="auto"/>
            <w:noWrap/>
            <w:vAlign w:val="bottom"/>
            <w:hideMark/>
          </w:tcPr>
          <w:p w14:paraId="385D1610"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6,63%</w:t>
            </w:r>
          </w:p>
        </w:tc>
        <w:tc>
          <w:tcPr>
            <w:tcW w:w="1020" w:type="dxa"/>
            <w:tcBorders>
              <w:top w:val="nil"/>
              <w:left w:val="nil"/>
              <w:bottom w:val="nil"/>
              <w:right w:val="nil"/>
            </w:tcBorders>
            <w:shd w:val="clear" w:color="auto" w:fill="auto"/>
            <w:noWrap/>
            <w:vAlign w:val="bottom"/>
            <w:hideMark/>
          </w:tcPr>
          <w:p w14:paraId="66243D0D" w14:textId="26DBE98F"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17</w:t>
            </w:r>
          </w:p>
        </w:tc>
      </w:tr>
      <w:tr w:rsidR="008F2592" w:rsidRPr="004F60E5" w14:paraId="23F25DB9" w14:textId="77777777" w:rsidTr="008F2592">
        <w:trPr>
          <w:trHeight w:val="300"/>
        </w:trPr>
        <w:tc>
          <w:tcPr>
            <w:tcW w:w="4819" w:type="dxa"/>
            <w:tcBorders>
              <w:top w:val="nil"/>
              <w:left w:val="nil"/>
              <w:bottom w:val="nil"/>
              <w:right w:val="nil"/>
            </w:tcBorders>
            <w:shd w:val="clear" w:color="auto" w:fill="auto"/>
            <w:vAlign w:val="bottom"/>
            <w:hideMark/>
          </w:tcPr>
          <w:p w14:paraId="1A32F0DF"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Fondo Linea R&amp;S per Aggregazioni</w:t>
            </w:r>
          </w:p>
        </w:tc>
        <w:tc>
          <w:tcPr>
            <w:tcW w:w="1389" w:type="dxa"/>
            <w:tcBorders>
              <w:top w:val="nil"/>
              <w:left w:val="nil"/>
              <w:bottom w:val="nil"/>
              <w:right w:val="nil"/>
            </w:tcBorders>
            <w:shd w:val="clear" w:color="auto" w:fill="auto"/>
            <w:noWrap/>
            <w:vAlign w:val="bottom"/>
            <w:hideMark/>
          </w:tcPr>
          <w:p w14:paraId="2F4F663E" w14:textId="5D9BEB10"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29.750.000</w:t>
            </w:r>
          </w:p>
        </w:tc>
        <w:tc>
          <w:tcPr>
            <w:tcW w:w="1389" w:type="dxa"/>
            <w:tcBorders>
              <w:top w:val="nil"/>
              <w:left w:val="nil"/>
              <w:bottom w:val="nil"/>
              <w:right w:val="nil"/>
            </w:tcBorders>
            <w:shd w:val="clear" w:color="auto" w:fill="auto"/>
            <w:noWrap/>
            <w:vAlign w:val="bottom"/>
            <w:hideMark/>
          </w:tcPr>
          <w:p w14:paraId="14121A17" w14:textId="4195B608"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27.750.000</w:t>
            </w:r>
          </w:p>
        </w:tc>
        <w:tc>
          <w:tcPr>
            <w:tcW w:w="1134" w:type="dxa"/>
            <w:tcBorders>
              <w:top w:val="nil"/>
              <w:left w:val="nil"/>
              <w:bottom w:val="nil"/>
              <w:right w:val="nil"/>
            </w:tcBorders>
            <w:shd w:val="clear" w:color="auto" w:fill="auto"/>
            <w:noWrap/>
            <w:vAlign w:val="bottom"/>
            <w:hideMark/>
          </w:tcPr>
          <w:p w14:paraId="157F955D"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93,28%</w:t>
            </w:r>
          </w:p>
        </w:tc>
        <w:tc>
          <w:tcPr>
            <w:tcW w:w="1020" w:type="dxa"/>
            <w:tcBorders>
              <w:top w:val="nil"/>
              <w:left w:val="nil"/>
              <w:bottom w:val="nil"/>
              <w:right w:val="nil"/>
            </w:tcBorders>
            <w:shd w:val="clear" w:color="auto" w:fill="auto"/>
            <w:noWrap/>
            <w:vAlign w:val="bottom"/>
            <w:hideMark/>
          </w:tcPr>
          <w:p w14:paraId="5A91BC51" w14:textId="277515FE"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w:t>
            </w:r>
          </w:p>
        </w:tc>
      </w:tr>
      <w:tr w:rsidR="008F2592" w:rsidRPr="004F60E5" w14:paraId="0B785A0E" w14:textId="77777777" w:rsidTr="008F2592">
        <w:trPr>
          <w:trHeight w:val="345"/>
        </w:trPr>
        <w:tc>
          <w:tcPr>
            <w:tcW w:w="4819" w:type="dxa"/>
            <w:tcBorders>
              <w:top w:val="nil"/>
              <w:left w:val="nil"/>
              <w:bottom w:val="nil"/>
              <w:right w:val="nil"/>
            </w:tcBorders>
            <w:shd w:val="clear" w:color="auto" w:fill="auto"/>
            <w:vAlign w:val="bottom"/>
            <w:hideMark/>
          </w:tcPr>
          <w:p w14:paraId="24024412"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FRIM FESR 2020</w:t>
            </w:r>
            <w:r w:rsidR="009E3807" w:rsidRPr="004F60E5">
              <w:rPr>
                <w:rFonts w:eastAsia="Times New Roman" w:cs="Calibri"/>
                <w:color w:val="000000"/>
                <w:sz w:val="16"/>
                <w:szCs w:val="16"/>
                <w:lang w:eastAsia="en-US"/>
              </w:rPr>
              <w:t>*</w:t>
            </w:r>
          </w:p>
        </w:tc>
        <w:tc>
          <w:tcPr>
            <w:tcW w:w="1389" w:type="dxa"/>
            <w:tcBorders>
              <w:top w:val="nil"/>
              <w:left w:val="nil"/>
              <w:bottom w:val="nil"/>
              <w:right w:val="nil"/>
            </w:tcBorders>
            <w:shd w:val="clear" w:color="auto" w:fill="auto"/>
            <w:noWrap/>
            <w:vAlign w:val="bottom"/>
            <w:hideMark/>
          </w:tcPr>
          <w:p w14:paraId="05FA336B" w14:textId="51D976E2"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55.000.000</w:t>
            </w:r>
          </w:p>
        </w:tc>
        <w:tc>
          <w:tcPr>
            <w:tcW w:w="1389" w:type="dxa"/>
            <w:tcBorders>
              <w:top w:val="nil"/>
              <w:left w:val="nil"/>
              <w:bottom w:val="nil"/>
              <w:right w:val="nil"/>
            </w:tcBorders>
            <w:shd w:val="clear" w:color="auto" w:fill="auto"/>
            <w:noWrap/>
            <w:vAlign w:val="bottom"/>
            <w:hideMark/>
          </w:tcPr>
          <w:p w14:paraId="6A935148" w14:textId="1EB28C21"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32.500.000</w:t>
            </w:r>
          </w:p>
        </w:tc>
        <w:tc>
          <w:tcPr>
            <w:tcW w:w="1134" w:type="dxa"/>
            <w:tcBorders>
              <w:top w:val="nil"/>
              <w:left w:val="nil"/>
              <w:bottom w:val="nil"/>
              <w:right w:val="nil"/>
            </w:tcBorders>
            <w:shd w:val="clear" w:color="auto" w:fill="auto"/>
            <w:noWrap/>
            <w:vAlign w:val="bottom"/>
            <w:hideMark/>
          </w:tcPr>
          <w:p w14:paraId="30A226F3"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59,09%</w:t>
            </w:r>
          </w:p>
        </w:tc>
        <w:tc>
          <w:tcPr>
            <w:tcW w:w="1020" w:type="dxa"/>
            <w:tcBorders>
              <w:top w:val="nil"/>
              <w:left w:val="nil"/>
              <w:bottom w:val="nil"/>
              <w:right w:val="nil"/>
            </w:tcBorders>
            <w:shd w:val="clear" w:color="auto" w:fill="auto"/>
            <w:noWrap/>
            <w:vAlign w:val="bottom"/>
            <w:hideMark/>
          </w:tcPr>
          <w:p w14:paraId="57BD126A" w14:textId="42B6812A"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w:t>
            </w:r>
          </w:p>
        </w:tc>
      </w:tr>
      <w:tr w:rsidR="008F2592" w:rsidRPr="004F60E5" w14:paraId="6E489F8F" w14:textId="77777777" w:rsidTr="008F2592">
        <w:trPr>
          <w:trHeight w:val="345"/>
        </w:trPr>
        <w:tc>
          <w:tcPr>
            <w:tcW w:w="4819" w:type="dxa"/>
            <w:tcBorders>
              <w:top w:val="nil"/>
              <w:left w:val="nil"/>
              <w:bottom w:val="nil"/>
              <w:right w:val="nil"/>
            </w:tcBorders>
            <w:shd w:val="clear" w:color="auto" w:fill="auto"/>
            <w:vAlign w:val="bottom"/>
            <w:hideMark/>
          </w:tcPr>
          <w:p w14:paraId="232393FE"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INNODRIVER</w:t>
            </w:r>
            <w:r w:rsidR="009E3807" w:rsidRPr="004F60E5">
              <w:rPr>
                <w:rFonts w:eastAsia="Times New Roman" w:cs="Calibri"/>
                <w:color w:val="000000"/>
                <w:sz w:val="16"/>
                <w:szCs w:val="16"/>
                <w:lang w:eastAsia="en-US"/>
              </w:rPr>
              <w:t>*</w:t>
            </w:r>
          </w:p>
        </w:tc>
        <w:tc>
          <w:tcPr>
            <w:tcW w:w="1389" w:type="dxa"/>
            <w:tcBorders>
              <w:top w:val="nil"/>
              <w:left w:val="nil"/>
              <w:bottom w:val="nil"/>
              <w:right w:val="nil"/>
            </w:tcBorders>
            <w:shd w:val="clear" w:color="auto" w:fill="auto"/>
            <w:noWrap/>
            <w:vAlign w:val="bottom"/>
            <w:hideMark/>
          </w:tcPr>
          <w:p w14:paraId="26F14700" w14:textId="6E86046B"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12.936.068</w:t>
            </w:r>
          </w:p>
        </w:tc>
        <w:tc>
          <w:tcPr>
            <w:tcW w:w="1389" w:type="dxa"/>
            <w:tcBorders>
              <w:top w:val="nil"/>
              <w:left w:val="nil"/>
              <w:bottom w:val="nil"/>
              <w:right w:val="nil"/>
            </w:tcBorders>
            <w:shd w:val="clear" w:color="auto" w:fill="auto"/>
            <w:noWrap/>
            <w:vAlign w:val="bottom"/>
            <w:hideMark/>
          </w:tcPr>
          <w:p w14:paraId="113D88AB" w14:textId="266466BF"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5.752.745</w:t>
            </w:r>
          </w:p>
        </w:tc>
        <w:tc>
          <w:tcPr>
            <w:tcW w:w="1134" w:type="dxa"/>
            <w:tcBorders>
              <w:top w:val="nil"/>
              <w:left w:val="nil"/>
              <w:bottom w:val="nil"/>
              <w:right w:val="nil"/>
            </w:tcBorders>
            <w:shd w:val="clear" w:color="auto" w:fill="auto"/>
            <w:noWrap/>
            <w:vAlign w:val="bottom"/>
            <w:hideMark/>
          </w:tcPr>
          <w:p w14:paraId="00B0CE68"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44,47%</w:t>
            </w:r>
          </w:p>
        </w:tc>
        <w:tc>
          <w:tcPr>
            <w:tcW w:w="1020" w:type="dxa"/>
            <w:tcBorders>
              <w:top w:val="nil"/>
              <w:left w:val="nil"/>
              <w:bottom w:val="nil"/>
              <w:right w:val="nil"/>
            </w:tcBorders>
            <w:shd w:val="clear" w:color="auto" w:fill="auto"/>
            <w:noWrap/>
            <w:vAlign w:val="bottom"/>
            <w:hideMark/>
          </w:tcPr>
          <w:p w14:paraId="19EB2DCC" w14:textId="74C67A2F"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666</w:t>
            </w:r>
          </w:p>
        </w:tc>
      </w:tr>
      <w:tr w:rsidR="008F2592" w:rsidRPr="004F60E5" w14:paraId="144ED84D" w14:textId="77777777" w:rsidTr="008F2592">
        <w:trPr>
          <w:trHeight w:val="300"/>
        </w:trPr>
        <w:tc>
          <w:tcPr>
            <w:tcW w:w="4819" w:type="dxa"/>
            <w:tcBorders>
              <w:top w:val="nil"/>
              <w:left w:val="nil"/>
              <w:bottom w:val="nil"/>
              <w:right w:val="nil"/>
            </w:tcBorders>
            <w:shd w:val="clear" w:color="auto" w:fill="auto"/>
            <w:vAlign w:val="bottom"/>
            <w:hideMark/>
          </w:tcPr>
          <w:p w14:paraId="731E1BFB" w14:textId="77777777" w:rsidR="008F2592" w:rsidRPr="004F60E5" w:rsidRDefault="008F2592" w:rsidP="004F60E5">
            <w:pPr>
              <w:spacing w:line="0" w:lineRule="atLeast"/>
              <w:jc w:val="left"/>
              <w:rPr>
                <w:rFonts w:eastAsia="Times New Roman" w:cs="Calibri"/>
                <w:color w:val="000000"/>
                <w:sz w:val="16"/>
                <w:szCs w:val="16"/>
                <w:lang w:eastAsia="en-US"/>
              </w:rPr>
            </w:pPr>
            <w:proofErr w:type="spellStart"/>
            <w:r w:rsidRPr="004F60E5">
              <w:rPr>
                <w:rFonts w:eastAsia="Times New Roman" w:cs="Calibri"/>
                <w:color w:val="000000"/>
                <w:sz w:val="16"/>
                <w:szCs w:val="16"/>
                <w:lang w:eastAsia="en-US"/>
              </w:rPr>
              <w:t>Innovalombardia</w:t>
            </w:r>
            <w:proofErr w:type="spellEnd"/>
            <w:r w:rsidRPr="004F60E5">
              <w:rPr>
                <w:rFonts w:eastAsia="Times New Roman" w:cs="Calibri"/>
                <w:color w:val="000000"/>
                <w:sz w:val="16"/>
                <w:szCs w:val="16"/>
                <w:lang w:eastAsia="en-US"/>
              </w:rPr>
              <w:t xml:space="preserve"> Linea Innovazione</w:t>
            </w:r>
          </w:p>
        </w:tc>
        <w:tc>
          <w:tcPr>
            <w:tcW w:w="1389" w:type="dxa"/>
            <w:tcBorders>
              <w:top w:val="nil"/>
              <w:left w:val="nil"/>
              <w:bottom w:val="nil"/>
              <w:right w:val="nil"/>
            </w:tcBorders>
            <w:shd w:val="clear" w:color="auto" w:fill="auto"/>
            <w:noWrap/>
            <w:vAlign w:val="bottom"/>
            <w:hideMark/>
          </w:tcPr>
          <w:p w14:paraId="65246B7C" w14:textId="7D4A643E"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1.362.255</w:t>
            </w:r>
          </w:p>
        </w:tc>
        <w:tc>
          <w:tcPr>
            <w:tcW w:w="1389" w:type="dxa"/>
            <w:tcBorders>
              <w:top w:val="nil"/>
              <w:left w:val="nil"/>
              <w:bottom w:val="nil"/>
              <w:right w:val="nil"/>
            </w:tcBorders>
            <w:shd w:val="clear" w:color="auto" w:fill="auto"/>
            <w:noWrap/>
            <w:vAlign w:val="bottom"/>
            <w:hideMark/>
          </w:tcPr>
          <w:p w14:paraId="413C6544" w14:textId="29F49270"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28.191</w:t>
            </w:r>
          </w:p>
        </w:tc>
        <w:tc>
          <w:tcPr>
            <w:tcW w:w="1134" w:type="dxa"/>
            <w:tcBorders>
              <w:top w:val="nil"/>
              <w:left w:val="nil"/>
              <w:bottom w:val="nil"/>
              <w:right w:val="nil"/>
            </w:tcBorders>
            <w:shd w:val="clear" w:color="auto" w:fill="auto"/>
            <w:noWrap/>
            <w:vAlign w:val="bottom"/>
            <w:hideMark/>
          </w:tcPr>
          <w:p w14:paraId="4505A6C9"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2,07%</w:t>
            </w:r>
          </w:p>
        </w:tc>
        <w:tc>
          <w:tcPr>
            <w:tcW w:w="1020" w:type="dxa"/>
            <w:tcBorders>
              <w:top w:val="nil"/>
              <w:left w:val="nil"/>
              <w:bottom w:val="nil"/>
              <w:right w:val="nil"/>
            </w:tcBorders>
            <w:shd w:val="clear" w:color="auto" w:fill="auto"/>
            <w:noWrap/>
            <w:vAlign w:val="bottom"/>
            <w:hideMark/>
          </w:tcPr>
          <w:p w14:paraId="04DC58FF" w14:textId="26A2AC8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9</w:t>
            </w:r>
          </w:p>
        </w:tc>
      </w:tr>
      <w:tr w:rsidR="008F2592" w:rsidRPr="004F60E5" w14:paraId="58B158D8" w14:textId="77777777" w:rsidTr="008F2592">
        <w:trPr>
          <w:trHeight w:val="300"/>
        </w:trPr>
        <w:tc>
          <w:tcPr>
            <w:tcW w:w="4819" w:type="dxa"/>
            <w:tcBorders>
              <w:top w:val="nil"/>
              <w:left w:val="nil"/>
              <w:bottom w:val="nil"/>
              <w:right w:val="nil"/>
            </w:tcBorders>
            <w:shd w:val="clear" w:color="auto" w:fill="auto"/>
            <w:vAlign w:val="bottom"/>
            <w:hideMark/>
          </w:tcPr>
          <w:p w14:paraId="2FCCB526" w14:textId="77777777" w:rsidR="008F2592" w:rsidRPr="004F60E5" w:rsidRDefault="008815F6"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Linea "accordi per la ricerca e l'innovazione" - call</w:t>
            </w:r>
          </w:p>
        </w:tc>
        <w:tc>
          <w:tcPr>
            <w:tcW w:w="1389" w:type="dxa"/>
            <w:tcBorders>
              <w:top w:val="nil"/>
              <w:left w:val="nil"/>
              <w:bottom w:val="nil"/>
              <w:right w:val="nil"/>
            </w:tcBorders>
            <w:shd w:val="clear" w:color="auto" w:fill="auto"/>
            <w:noWrap/>
            <w:vAlign w:val="bottom"/>
            <w:hideMark/>
          </w:tcPr>
          <w:p w14:paraId="5B4E4EF7" w14:textId="49C188B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97.208.370</w:t>
            </w:r>
          </w:p>
        </w:tc>
        <w:tc>
          <w:tcPr>
            <w:tcW w:w="1389" w:type="dxa"/>
            <w:tcBorders>
              <w:top w:val="nil"/>
              <w:left w:val="nil"/>
              <w:bottom w:val="nil"/>
              <w:right w:val="nil"/>
            </w:tcBorders>
            <w:shd w:val="clear" w:color="auto" w:fill="auto"/>
            <w:noWrap/>
            <w:vAlign w:val="bottom"/>
            <w:hideMark/>
          </w:tcPr>
          <w:p w14:paraId="6638439A" w14:textId="20A6ADDF"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38.485.543</w:t>
            </w:r>
          </w:p>
        </w:tc>
        <w:tc>
          <w:tcPr>
            <w:tcW w:w="1134" w:type="dxa"/>
            <w:tcBorders>
              <w:top w:val="nil"/>
              <w:left w:val="nil"/>
              <w:bottom w:val="nil"/>
              <w:right w:val="nil"/>
            </w:tcBorders>
            <w:shd w:val="clear" w:color="auto" w:fill="auto"/>
            <w:noWrap/>
            <w:vAlign w:val="bottom"/>
            <w:hideMark/>
          </w:tcPr>
          <w:p w14:paraId="17865E0A"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39,59%</w:t>
            </w:r>
          </w:p>
        </w:tc>
        <w:tc>
          <w:tcPr>
            <w:tcW w:w="1020" w:type="dxa"/>
            <w:tcBorders>
              <w:top w:val="nil"/>
              <w:left w:val="nil"/>
              <w:bottom w:val="nil"/>
              <w:right w:val="nil"/>
            </w:tcBorders>
            <w:shd w:val="clear" w:color="auto" w:fill="auto"/>
            <w:noWrap/>
            <w:vAlign w:val="bottom"/>
            <w:hideMark/>
          </w:tcPr>
          <w:p w14:paraId="18D2591C" w14:textId="3569123D"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29</w:t>
            </w:r>
          </w:p>
        </w:tc>
      </w:tr>
      <w:tr w:rsidR="008F2592" w:rsidRPr="004F60E5" w14:paraId="56B120C7" w14:textId="77777777" w:rsidTr="008F2592">
        <w:trPr>
          <w:trHeight w:val="300"/>
        </w:trPr>
        <w:tc>
          <w:tcPr>
            <w:tcW w:w="4819" w:type="dxa"/>
            <w:tcBorders>
              <w:top w:val="nil"/>
              <w:left w:val="nil"/>
              <w:bottom w:val="nil"/>
              <w:right w:val="nil"/>
            </w:tcBorders>
            <w:shd w:val="clear" w:color="auto" w:fill="auto"/>
            <w:vAlign w:val="bottom"/>
            <w:hideMark/>
          </w:tcPr>
          <w:p w14:paraId="26AA2FDC"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Linea RS per aggregazioni</w:t>
            </w:r>
          </w:p>
        </w:tc>
        <w:tc>
          <w:tcPr>
            <w:tcW w:w="1389" w:type="dxa"/>
            <w:tcBorders>
              <w:top w:val="nil"/>
              <w:left w:val="nil"/>
              <w:bottom w:val="nil"/>
              <w:right w:val="nil"/>
            </w:tcBorders>
            <w:shd w:val="clear" w:color="auto" w:fill="auto"/>
            <w:noWrap/>
            <w:vAlign w:val="bottom"/>
            <w:hideMark/>
          </w:tcPr>
          <w:p w14:paraId="69FAD925" w14:textId="1AED79EA"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12.717.063</w:t>
            </w:r>
          </w:p>
        </w:tc>
        <w:tc>
          <w:tcPr>
            <w:tcW w:w="1389" w:type="dxa"/>
            <w:tcBorders>
              <w:top w:val="nil"/>
              <w:left w:val="nil"/>
              <w:bottom w:val="nil"/>
              <w:right w:val="nil"/>
            </w:tcBorders>
            <w:shd w:val="clear" w:color="auto" w:fill="auto"/>
            <w:noWrap/>
            <w:vAlign w:val="bottom"/>
            <w:hideMark/>
          </w:tcPr>
          <w:p w14:paraId="5769528E" w14:textId="236AD1FD"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10.013.961</w:t>
            </w:r>
          </w:p>
        </w:tc>
        <w:tc>
          <w:tcPr>
            <w:tcW w:w="1134" w:type="dxa"/>
            <w:tcBorders>
              <w:top w:val="nil"/>
              <w:left w:val="nil"/>
              <w:bottom w:val="nil"/>
              <w:right w:val="nil"/>
            </w:tcBorders>
            <w:shd w:val="clear" w:color="auto" w:fill="auto"/>
            <w:noWrap/>
            <w:vAlign w:val="bottom"/>
            <w:hideMark/>
          </w:tcPr>
          <w:p w14:paraId="7E9103EC"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78,74%</w:t>
            </w:r>
          </w:p>
        </w:tc>
        <w:tc>
          <w:tcPr>
            <w:tcW w:w="1020" w:type="dxa"/>
            <w:tcBorders>
              <w:top w:val="nil"/>
              <w:left w:val="nil"/>
              <w:bottom w:val="nil"/>
              <w:right w:val="nil"/>
            </w:tcBorders>
            <w:shd w:val="clear" w:color="auto" w:fill="auto"/>
            <w:noWrap/>
            <w:vAlign w:val="bottom"/>
            <w:hideMark/>
          </w:tcPr>
          <w:p w14:paraId="1C507BFC" w14:textId="5406916E"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47</w:t>
            </w:r>
          </w:p>
        </w:tc>
      </w:tr>
      <w:tr w:rsidR="008F2592" w:rsidRPr="004F60E5" w14:paraId="73761404" w14:textId="77777777" w:rsidTr="008F2592">
        <w:trPr>
          <w:trHeight w:val="300"/>
        </w:trPr>
        <w:tc>
          <w:tcPr>
            <w:tcW w:w="4819" w:type="dxa"/>
            <w:tcBorders>
              <w:top w:val="nil"/>
              <w:left w:val="nil"/>
              <w:bottom w:val="nil"/>
              <w:right w:val="nil"/>
            </w:tcBorders>
            <w:shd w:val="clear" w:color="auto" w:fill="auto"/>
            <w:vAlign w:val="bottom"/>
            <w:hideMark/>
          </w:tcPr>
          <w:p w14:paraId="64434EE7"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 xml:space="preserve">Misura </w:t>
            </w:r>
            <w:r w:rsidR="008815F6" w:rsidRPr="004F60E5">
              <w:rPr>
                <w:rFonts w:eastAsia="Times New Roman" w:cs="Calibri"/>
                <w:color w:val="000000"/>
                <w:sz w:val="16"/>
                <w:szCs w:val="16"/>
                <w:lang w:eastAsia="en-US"/>
              </w:rPr>
              <w:t xml:space="preserve">ricerca </w:t>
            </w:r>
            <w:r w:rsidRPr="004F60E5">
              <w:rPr>
                <w:rFonts w:eastAsia="Times New Roman" w:cs="Calibri"/>
                <w:color w:val="000000"/>
                <w:sz w:val="16"/>
                <w:szCs w:val="16"/>
                <w:lang w:eastAsia="en-US"/>
              </w:rPr>
              <w:t xml:space="preserve">COVID-19 </w:t>
            </w:r>
            <w:r w:rsidR="008815F6" w:rsidRPr="004F60E5">
              <w:rPr>
                <w:rFonts w:eastAsia="Times New Roman" w:cs="Calibri"/>
                <w:color w:val="000000"/>
                <w:sz w:val="16"/>
                <w:szCs w:val="16"/>
                <w:lang w:eastAsia="en-US"/>
              </w:rPr>
              <w:t>linea</w:t>
            </w:r>
            <w:r w:rsidRPr="004F60E5">
              <w:rPr>
                <w:rFonts w:eastAsia="Times New Roman" w:cs="Calibri"/>
                <w:color w:val="000000"/>
                <w:sz w:val="16"/>
                <w:szCs w:val="16"/>
                <w:lang w:eastAsia="en-US"/>
              </w:rPr>
              <w:t xml:space="preserve"> 2 FESR: Ricerca industriale e Sviluppo Sperimentale</w:t>
            </w:r>
          </w:p>
        </w:tc>
        <w:tc>
          <w:tcPr>
            <w:tcW w:w="1389" w:type="dxa"/>
            <w:tcBorders>
              <w:top w:val="nil"/>
              <w:left w:val="nil"/>
              <w:bottom w:val="nil"/>
              <w:right w:val="nil"/>
            </w:tcBorders>
            <w:shd w:val="clear" w:color="auto" w:fill="auto"/>
            <w:noWrap/>
            <w:vAlign w:val="bottom"/>
            <w:hideMark/>
          </w:tcPr>
          <w:p w14:paraId="0536E13E" w14:textId="1B05FD7C"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6.949.482</w:t>
            </w:r>
          </w:p>
        </w:tc>
        <w:tc>
          <w:tcPr>
            <w:tcW w:w="1389" w:type="dxa"/>
            <w:tcBorders>
              <w:top w:val="nil"/>
              <w:left w:val="nil"/>
              <w:bottom w:val="nil"/>
              <w:right w:val="nil"/>
            </w:tcBorders>
            <w:shd w:val="clear" w:color="auto" w:fill="auto"/>
            <w:noWrap/>
            <w:vAlign w:val="bottom"/>
            <w:hideMark/>
          </w:tcPr>
          <w:p w14:paraId="256BBB87" w14:textId="4FDA2D53"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0</w:t>
            </w:r>
          </w:p>
        </w:tc>
        <w:tc>
          <w:tcPr>
            <w:tcW w:w="1134" w:type="dxa"/>
            <w:tcBorders>
              <w:top w:val="nil"/>
              <w:left w:val="nil"/>
              <w:bottom w:val="nil"/>
              <w:right w:val="nil"/>
            </w:tcBorders>
            <w:shd w:val="clear" w:color="auto" w:fill="auto"/>
            <w:noWrap/>
            <w:vAlign w:val="bottom"/>
            <w:hideMark/>
          </w:tcPr>
          <w:p w14:paraId="3105DFC5"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4966451C" w14:textId="0009BA99"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20</w:t>
            </w:r>
          </w:p>
        </w:tc>
      </w:tr>
      <w:tr w:rsidR="008F2592" w:rsidRPr="004F60E5" w14:paraId="3C04E9BE" w14:textId="77777777" w:rsidTr="008F2592">
        <w:trPr>
          <w:trHeight w:val="300"/>
        </w:trPr>
        <w:tc>
          <w:tcPr>
            <w:tcW w:w="4819" w:type="dxa"/>
            <w:tcBorders>
              <w:top w:val="nil"/>
              <w:left w:val="nil"/>
              <w:bottom w:val="nil"/>
              <w:right w:val="nil"/>
            </w:tcBorders>
            <w:shd w:val="clear" w:color="auto" w:fill="auto"/>
            <w:vAlign w:val="bottom"/>
            <w:hideMark/>
          </w:tcPr>
          <w:p w14:paraId="13EADD49"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Procedure di gara PCP a valere su azione 1Ib31 del POR FESR 2014 2020</w:t>
            </w:r>
          </w:p>
        </w:tc>
        <w:tc>
          <w:tcPr>
            <w:tcW w:w="1389" w:type="dxa"/>
            <w:tcBorders>
              <w:top w:val="nil"/>
              <w:left w:val="nil"/>
              <w:bottom w:val="nil"/>
              <w:right w:val="nil"/>
            </w:tcBorders>
            <w:shd w:val="clear" w:color="auto" w:fill="auto"/>
            <w:noWrap/>
            <w:vAlign w:val="bottom"/>
            <w:hideMark/>
          </w:tcPr>
          <w:p w14:paraId="3437E880" w14:textId="10483336"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6.185.890</w:t>
            </w:r>
          </w:p>
        </w:tc>
        <w:tc>
          <w:tcPr>
            <w:tcW w:w="1389" w:type="dxa"/>
            <w:tcBorders>
              <w:top w:val="nil"/>
              <w:left w:val="nil"/>
              <w:bottom w:val="nil"/>
              <w:right w:val="nil"/>
            </w:tcBorders>
            <w:shd w:val="clear" w:color="auto" w:fill="auto"/>
            <w:noWrap/>
            <w:vAlign w:val="bottom"/>
            <w:hideMark/>
          </w:tcPr>
          <w:p w14:paraId="5FDF4C11" w14:textId="3CE157DD"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0</w:t>
            </w:r>
          </w:p>
        </w:tc>
        <w:tc>
          <w:tcPr>
            <w:tcW w:w="1134" w:type="dxa"/>
            <w:tcBorders>
              <w:top w:val="nil"/>
              <w:left w:val="nil"/>
              <w:bottom w:val="nil"/>
              <w:right w:val="nil"/>
            </w:tcBorders>
            <w:shd w:val="clear" w:color="auto" w:fill="auto"/>
            <w:noWrap/>
            <w:vAlign w:val="bottom"/>
            <w:hideMark/>
          </w:tcPr>
          <w:p w14:paraId="147612A7"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10B6486B" w14:textId="2BF4981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w:t>
            </w:r>
          </w:p>
        </w:tc>
      </w:tr>
      <w:tr w:rsidR="008F2592" w:rsidRPr="004F60E5" w14:paraId="2DE8B00F" w14:textId="77777777" w:rsidTr="008F2592">
        <w:trPr>
          <w:trHeight w:val="300"/>
        </w:trPr>
        <w:tc>
          <w:tcPr>
            <w:tcW w:w="4819" w:type="dxa"/>
            <w:tcBorders>
              <w:top w:val="nil"/>
              <w:left w:val="nil"/>
              <w:bottom w:val="nil"/>
              <w:right w:val="nil"/>
            </w:tcBorders>
            <w:shd w:val="clear" w:color="auto" w:fill="auto"/>
            <w:vAlign w:val="bottom"/>
            <w:hideMark/>
          </w:tcPr>
          <w:p w14:paraId="2387F2B2"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Smart Fashion and Design</w:t>
            </w:r>
          </w:p>
        </w:tc>
        <w:tc>
          <w:tcPr>
            <w:tcW w:w="1389" w:type="dxa"/>
            <w:tcBorders>
              <w:top w:val="nil"/>
              <w:left w:val="nil"/>
              <w:bottom w:val="nil"/>
              <w:right w:val="nil"/>
            </w:tcBorders>
            <w:shd w:val="clear" w:color="auto" w:fill="auto"/>
            <w:noWrap/>
            <w:vAlign w:val="bottom"/>
            <w:hideMark/>
          </w:tcPr>
          <w:p w14:paraId="317653E2" w14:textId="617B73B5"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24.146.057</w:t>
            </w:r>
          </w:p>
        </w:tc>
        <w:tc>
          <w:tcPr>
            <w:tcW w:w="1389" w:type="dxa"/>
            <w:tcBorders>
              <w:top w:val="nil"/>
              <w:left w:val="nil"/>
              <w:bottom w:val="nil"/>
              <w:right w:val="nil"/>
            </w:tcBorders>
            <w:shd w:val="clear" w:color="auto" w:fill="auto"/>
            <w:noWrap/>
            <w:vAlign w:val="bottom"/>
            <w:hideMark/>
          </w:tcPr>
          <w:p w14:paraId="237CC7F1" w14:textId="5812E049"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11.835.693</w:t>
            </w:r>
          </w:p>
        </w:tc>
        <w:tc>
          <w:tcPr>
            <w:tcW w:w="1134" w:type="dxa"/>
            <w:tcBorders>
              <w:top w:val="nil"/>
              <w:left w:val="nil"/>
              <w:bottom w:val="nil"/>
              <w:right w:val="nil"/>
            </w:tcBorders>
            <w:shd w:val="clear" w:color="auto" w:fill="auto"/>
            <w:noWrap/>
            <w:vAlign w:val="bottom"/>
            <w:hideMark/>
          </w:tcPr>
          <w:p w14:paraId="050F1CEE"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49,02%</w:t>
            </w:r>
          </w:p>
        </w:tc>
        <w:tc>
          <w:tcPr>
            <w:tcW w:w="1020" w:type="dxa"/>
            <w:tcBorders>
              <w:top w:val="nil"/>
              <w:left w:val="nil"/>
              <w:bottom w:val="nil"/>
              <w:right w:val="nil"/>
            </w:tcBorders>
            <w:shd w:val="clear" w:color="auto" w:fill="auto"/>
            <w:noWrap/>
            <w:vAlign w:val="bottom"/>
            <w:hideMark/>
          </w:tcPr>
          <w:p w14:paraId="2FD588AA" w14:textId="6733422F"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54</w:t>
            </w:r>
          </w:p>
        </w:tc>
      </w:tr>
      <w:tr w:rsidR="008F2592" w:rsidRPr="004F60E5" w14:paraId="17FB1267" w14:textId="77777777" w:rsidTr="00EA0726">
        <w:trPr>
          <w:trHeight w:val="600"/>
        </w:trPr>
        <w:tc>
          <w:tcPr>
            <w:tcW w:w="4819" w:type="dxa"/>
            <w:tcBorders>
              <w:top w:val="nil"/>
              <w:left w:val="nil"/>
              <w:bottom w:val="single" w:sz="4" w:space="0" w:color="305496"/>
              <w:right w:val="nil"/>
            </w:tcBorders>
            <w:shd w:val="clear" w:color="auto" w:fill="E4E3E2" w:themeFill="background2"/>
            <w:vAlign w:val="bottom"/>
            <w:hideMark/>
          </w:tcPr>
          <w:p w14:paraId="52B7022B" w14:textId="77777777" w:rsidR="008F2592" w:rsidRPr="004F60E5" w:rsidRDefault="008F2592" w:rsidP="004F60E5">
            <w:pPr>
              <w:spacing w:line="0" w:lineRule="atLeast"/>
              <w:jc w:val="left"/>
              <w:rPr>
                <w:rFonts w:eastAsia="Times New Roman" w:cs="Calibri"/>
                <w:b/>
                <w:bCs/>
                <w:color w:val="000000"/>
                <w:sz w:val="16"/>
                <w:szCs w:val="16"/>
                <w:lang w:eastAsia="en-US"/>
              </w:rPr>
            </w:pPr>
            <w:r w:rsidRPr="004F60E5">
              <w:rPr>
                <w:rFonts w:eastAsia="Times New Roman" w:cs="Calibri"/>
                <w:b/>
                <w:bCs/>
                <w:color w:val="000000"/>
                <w:sz w:val="16"/>
                <w:szCs w:val="16"/>
                <w:lang w:eastAsia="en-US"/>
              </w:rPr>
              <w:t>II  -  MIGLIORARE L'ACCESSO ALLE TECNOLOGIE DELL'INFORMAZIONE ED ALLA COMUNICAZIONE, NONCH</w:t>
            </w:r>
            <w:r w:rsidR="00F06662" w:rsidRPr="004F60E5">
              <w:rPr>
                <w:rFonts w:eastAsia="Times New Roman" w:cs="Calibri"/>
                <w:b/>
                <w:bCs/>
                <w:color w:val="000000"/>
                <w:sz w:val="16"/>
                <w:szCs w:val="16"/>
                <w:lang w:eastAsia="en-US"/>
              </w:rPr>
              <w:t>E’</w:t>
            </w:r>
            <w:r w:rsidRPr="004F60E5">
              <w:rPr>
                <w:rFonts w:eastAsia="Times New Roman" w:cs="Calibri"/>
                <w:b/>
                <w:bCs/>
                <w:color w:val="000000"/>
                <w:sz w:val="16"/>
                <w:szCs w:val="16"/>
                <w:lang w:eastAsia="en-US"/>
              </w:rPr>
              <w:t xml:space="preserve"> L'IMPIEGO E LA QUALIT DELLE MEDESIME</w:t>
            </w:r>
          </w:p>
        </w:tc>
        <w:tc>
          <w:tcPr>
            <w:tcW w:w="1389" w:type="dxa"/>
            <w:tcBorders>
              <w:top w:val="nil"/>
              <w:left w:val="nil"/>
              <w:bottom w:val="single" w:sz="4" w:space="0" w:color="305496"/>
              <w:right w:val="nil"/>
            </w:tcBorders>
            <w:shd w:val="clear" w:color="auto" w:fill="E4E3E2" w:themeFill="background2"/>
            <w:noWrap/>
            <w:vAlign w:val="bottom"/>
            <w:hideMark/>
          </w:tcPr>
          <w:p w14:paraId="51DB19D7" w14:textId="347EF3F8" w:rsidR="008F2592" w:rsidRPr="004F60E5" w:rsidRDefault="008F2592" w:rsidP="004F60E5">
            <w:pPr>
              <w:spacing w:line="0" w:lineRule="atLeast"/>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20.000.000</w:t>
            </w:r>
          </w:p>
        </w:tc>
        <w:tc>
          <w:tcPr>
            <w:tcW w:w="1389" w:type="dxa"/>
            <w:tcBorders>
              <w:top w:val="nil"/>
              <w:left w:val="nil"/>
              <w:bottom w:val="single" w:sz="4" w:space="0" w:color="305496"/>
              <w:right w:val="nil"/>
            </w:tcBorders>
            <w:shd w:val="clear" w:color="auto" w:fill="E4E3E2" w:themeFill="background2"/>
            <w:noWrap/>
            <w:vAlign w:val="bottom"/>
            <w:hideMark/>
          </w:tcPr>
          <w:p w14:paraId="5D7B2E5C" w14:textId="05624458" w:rsidR="008F2592" w:rsidRPr="004F60E5" w:rsidRDefault="008F2592" w:rsidP="004F60E5">
            <w:pPr>
              <w:spacing w:line="0" w:lineRule="atLeast"/>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11.929.718</w:t>
            </w:r>
          </w:p>
        </w:tc>
        <w:tc>
          <w:tcPr>
            <w:tcW w:w="1134" w:type="dxa"/>
            <w:tcBorders>
              <w:top w:val="nil"/>
              <w:left w:val="nil"/>
              <w:bottom w:val="single" w:sz="4" w:space="0" w:color="305496"/>
              <w:right w:val="nil"/>
            </w:tcBorders>
            <w:shd w:val="clear" w:color="auto" w:fill="E4E3E2" w:themeFill="background2"/>
            <w:noWrap/>
            <w:vAlign w:val="bottom"/>
            <w:hideMark/>
          </w:tcPr>
          <w:p w14:paraId="59AE76C8" w14:textId="77777777" w:rsidR="008F2592" w:rsidRPr="004F60E5" w:rsidRDefault="008F2592" w:rsidP="004F60E5">
            <w:pPr>
              <w:spacing w:line="0" w:lineRule="atLeast"/>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59,65%</w:t>
            </w:r>
          </w:p>
        </w:tc>
        <w:tc>
          <w:tcPr>
            <w:tcW w:w="1020" w:type="dxa"/>
            <w:tcBorders>
              <w:top w:val="nil"/>
              <w:left w:val="nil"/>
              <w:bottom w:val="single" w:sz="4" w:space="0" w:color="305496"/>
              <w:right w:val="nil"/>
            </w:tcBorders>
            <w:shd w:val="clear" w:color="auto" w:fill="E4E3E2" w:themeFill="background2"/>
            <w:noWrap/>
            <w:vAlign w:val="bottom"/>
            <w:hideMark/>
          </w:tcPr>
          <w:p w14:paraId="150FBE0F" w14:textId="25E48FE1" w:rsidR="008F2592" w:rsidRPr="004F60E5" w:rsidRDefault="008F2592" w:rsidP="004F60E5">
            <w:pPr>
              <w:spacing w:line="0" w:lineRule="atLeast"/>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1</w:t>
            </w:r>
          </w:p>
        </w:tc>
      </w:tr>
      <w:tr w:rsidR="008F2592" w:rsidRPr="004F60E5" w14:paraId="14461BE9" w14:textId="77777777" w:rsidTr="00EA0726">
        <w:trPr>
          <w:trHeight w:val="300"/>
        </w:trPr>
        <w:tc>
          <w:tcPr>
            <w:tcW w:w="4819" w:type="dxa"/>
            <w:tcBorders>
              <w:top w:val="single" w:sz="4" w:space="0" w:color="305496"/>
              <w:left w:val="nil"/>
              <w:bottom w:val="nil"/>
              <w:right w:val="nil"/>
            </w:tcBorders>
            <w:shd w:val="clear" w:color="auto" w:fill="auto"/>
            <w:noWrap/>
            <w:vAlign w:val="bottom"/>
            <w:hideMark/>
          </w:tcPr>
          <w:p w14:paraId="15FDC1CD"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Banda Ultra Larga</w:t>
            </w:r>
          </w:p>
        </w:tc>
        <w:tc>
          <w:tcPr>
            <w:tcW w:w="1389" w:type="dxa"/>
            <w:tcBorders>
              <w:top w:val="single" w:sz="4" w:space="0" w:color="305496"/>
              <w:left w:val="nil"/>
              <w:bottom w:val="nil"/>
              <w:right w:val="nil"/>
            </w:tcBorders>
            <w:shd w:val="clear" w:color="auto" w:fill="auto"/>
            <w:noWrap/>
            <w:vAlign w:val="bottom"/>
            <w:hideMark/>
          </w:tcPr>
          <w:p w14:paraId="43009AC8" w14:textId="4C706F26"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20.000.000</w:t>
            </w:r>
          </w:p>
        </w:tc>
        <w:tc>
          <w:tcPr>
            <w:tcW w:w="1389" w:type="dxa"/>
            <w:tcBorders>
              <w:top w:val="single" w:sz="4" w:space="0" w:color="305496"/>
              <w:left w:val="nil"/>
              <w:bottom w:val="nil"/>
              <w:right w:val="nil"/>
            </w:tcBorders>
            <w:shd w:val="clear" w:color="auto" w:fill="auto"/>
            <w:noWrap/>
            <w:vAlign w:val="bottom"/>
            <w:hideMark/>
          </w:tcPr>
          <w:p w14:paraId="093EC52C" w14:textId="1064D86E"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11.929.718</w:t>
            </w:r>
          </w:p>
        </w:tc>
        <w:tc>
          <w:tcPr>
            <w:tcW w:w="1134" w:type="dxa"/>
            <w:tcBorders>
              <w:top w:val="single" w:sz="4" w:space="0" w:color="305496"/>
              <w:left w:val="nil"/>
              <w:bottom w:val="nil"/>
              <w:right w:val="nil"/>
            </w:tcBorders>
            <w:shd w:val="clear" w:color="auto" w:fill="auto"/>
            <w:noWrap/>
            <w:vAlign w:val="bottom"/>
            <w:hideMark/>
          </w:tcPr>
          <w:p w14:paraId="481EECA5"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59,65%</w:t>
            </w:r>
          </w:p>
        </w:tc>
        <w:tc>
          <w:tcPr>
            <w:tcW w:w="1020" w:type="dxa"/>
            <w:tcBorders>
              <w:top w:val="single" w:sz="4" w:space="0" w:color="305496"/>
              <w:left w:val="nil"/>
              <w:bottom w:val="nil"/>
              <w:right w:val="nil"/>
            </w:tcBorders>
            <w:shd w:val="clear" w:color="auto" w:fill="auto"/>
            <w:noWrap/>
            <w:vAlign w:val="bottom"/>
            <w:hideMark/>
          </w:tcPr>
          <w:p w14:paraId="6569509A" w14:textId="07CF9C5A"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w:t>
            </w:r>
          </w:p>
        </w:tc>
      </w:tr>
      <w:tr w:rsidR="008F2592" w:rsidRPr="004F60E5" w14:paraId="50DEDEF7" w14:textId="77777777" w:rsidTr="00EA0726">
        <w:trPr>
          <w:trHeight w:val="300"/>
        </w:trPr>
        <w:tc>
          <w:tcPr>
            <w:tcW w:w="4819" w:type="dxa"/>
            <w:tcBorders>
              <w:top w:val="nil"/>
              <w:left w:val="nil"/>
              <w:bottom w:val="single" w:sz="4" w:space="0" w:color="305496"/>
              <w:right w:val="nil"/>
            </w:tcBorders>
            <w:shd w:val="clear" w:color="auto" w:fill="E4E3E2" w:themeFill="background2"/>
            <w:noWrap/>
            <w:vAlign w:val="bottom"/>
            <w:hideMark/>
          </w:tcPr>
          <w:p w14:paraId="60A965B3" w14:textId="77777777" w:rsidR="008F2592" w:rsidRPr="004F60E5" w:rsidRDefault="008F2592" w:rsidP="004F60E5">
            <w:pPr>
              <w:spacing w:line="0" w:lineRule="atLeast"/>
              <w:jc w:val="left"/>
              <w:rPr>
                <w:rFonts w:eastAsia="Times New Roman" w:cs="Calibri"/>
                <w:b/>
                <w:bCs/>
                <w:color w:val="000000"/>
                <w:sz w:val="16"/>
                <w:szCs w:val="16"/>
                <w:lang w:eastAsia="en-US"/>
              </w:rPr>
            </w:pPr>
            <w:r w:rsidRPr="004F60E5">
              <w:rPr>
                <w:rFonts w:eastAsia="Times New Roman" w:cs="Calibri"/>
                <w:b/>
                <w:bCs/>
                <w:color w:val="000000"/>
                <w:sz w:val="16"/>
                <w:szCs w:val="16"/>
                <w:lang w:eastAsia="en-US"/>
              </w:rPr>
              <w:t>III  -  PROMUOVERE LA COMPETITIVIT</w:t>
            </w:r>
            <w:r w:rsidR="002439D3" w:rsidRPr="004F60E5">
              <w:rPr>
                <w:rFonts w:eastAsia="Times New Roman" w:cs="Calibri"/>
                <w:b/>
                <w:bCs/>
                <w:color w:val="000000"/>
                <w:sz w:val="16"/>
                <w:szCs w:val="16"/>
                <w:lang w:eastAsia="en-US"/>
              </w:rPr>
              <w:t>A’</w:t>
            </w:r>
            <w:r w:rsidRPr="004F60E5">
              <w:rPr>
                <w:rFonts w:eastAsia="Times New Roman" w:cs="Calibri"/>
                <w:b/>
                <w:bCs/>
                <w:color w:val="000000"/>
                <w:sz w:val="16"/>
                <w:szCs w:val="16"/>
                <w:lang w:eastAsia="en-US"/>
              </w:rPr>
              <w:t xml:space="preserve"> DELLE PICCOLE E MEDIE IMPRESE</w:t>
            </w:r>
          </w:p>
        </w:tc>
        <w:tc>
          <w:tcPr>
            <w:tcW w:w="1389" w:type="dxa"/>
            <w:tcBorders>
              <w:top w:val="nil"/>
              <w:left w:val="nil"/>
              <w:bottom w:val="single" w:sz="4" w:space="0" w:color="305496"/>
              <w:right w:val="nil"/>
            </w:tcBorders>
            <w:shd w:val="clear" w:color="auto" w:fill="E4E3E2" w:themeFill="background2"/>
            <w:noWrap/>
            <w:vAlign w:val="bottom"/>
            <w:hideMark/>
          </w:tcPr>
          <w:p w14:paraId="5DAF7CBC" w14:textId="42ADD880" w:rsidR="008F2592" w:rsidRPr="004F60E5" w:rsidRDefault="008F2592" w:rsidP="004F60E5">
            <w:pPr>
              <w:spacing w:line="0" w:lineRule="atLeast"/>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229.151.412</w:t>
            </w:r>
          </w:p>
        </w:tc>
        <w:tc>
          <w:tcPr>
            <w:tcW w:w="1389" w:type="dxa"/>
            <w:tcBorders>
              <w:top w:val="nil"/>
              <w:left w:val="nil"/>
              <w:bottom w:val="single" w:sz="4" w:space="0" w:color="305496"/>
              <w:right w:val="nil"/>
            </w:tcBorders>
            <w:shd w:val="clear" w:color="auto" w:fill="E4E3E2" w:themeFill="background2"/>
            <w:noWrap/>
            <w:vAlign w:val="bottom"/>
            <w:hideMark/>
          </w:tcPr>
          <w:p w14:paraId="30512A0A" w14:textId="22577BFF" w:rsidR="008F2592" w:rsidRPr="004F60E5" w:rsidRDefault="008F2592" w:rsidP="004F60E5">
            <w:pPr>
              <w:spacing w:line="0" w:lineRule="atLeast"/>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150.935.188</w:t>
            </w:r>
          </w:p>
        </w:tc>
        <w:tc>
          <w:tcPr>
            <w:tcW w:w="1134" w:type="dxa"/>
            <w:tcBorders>
              <w:top w:val="nil"/>
              <w:left w:val="nil"/>
              <w:bottom w:val="single" w:sz="4" w:space="0" w:color="305496"/>
              <w:right w:val="nil"/>
            </w:tcBorders>
            <w:shd w:val="clear" w:color="auto" w:fill="E4E3E2" w:themeFill="background2"/>
            <w:noWrap/>
            <w:vAlign w:val="bottom"/>
            <w:hideMark/>
          </w:tcPr>
          <w:p w14:paraId="34C69122" w14:textId="77777777" w:rsidR="008F2592" w:rsidRPr="004F60E5" w:rsidRDefault="008F2592" w:rsidP="004F60E5">
            <w:pPr>
              <w:spacing w:line="0" w:lineRule="atLeast"/>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65,87%</w:t>
            </w:r>
          </w:p>
        </w:tc>
        <w:tc>
          <w:tcPr>
            <w:tcW w:w="1020" w:type="dxa"/>
            <w:tcBorders>
              <w:top w:val="nil"/>
              <w:left w:val="nil"/>
              <w:bottom w:val="single" w:sz="4" w:space="0" w:color="305496"/>
              <w:right w:val="nil"/>
            </w:tcBorders>
            <w:shd w:val="clear" w:color="auto" w:fill="E4E3E2" w:themeFill="background2"/>
            <w:noWrap/>
            <w:vAlign w:val="bottom"/>
            <w:hideMark/>
          </w:tcPr>
          <w:p w14:paraId="40BA947A" w14:textId="113CA2C8" w:rsidR="008F2592" w:rsidRPr="004F60E5" w:rsidRDefault="008F2592" w:rsidP="004F60E5">
            <w:pPr>
              <w:spacing w:line="0" w:lineRule="atLeast"/>
              <w:jc w:val="right"/>
              <w:rPr>
                <w:rFonts w:eastAsia="Times New Roman" w:cs="Calibri"/>
                <w:b/>
                <w:bCs/>
                <w:color w:val="000000"/>
                <w:sz w:val="16"/>
                <w:szCs w:val="16"/>
                <w:lang w:eastAsia="en-US"/>
              </w:rPr>
            </w:pPr>
            <w:r w:rsidRPr="004F60E5">
              <w:rPr>
                <w:rFonts w:eastAsia="Times New Roman" w:cs="Calibri"/>
                <w:b/>
                <w:bCs/>
                <w:color w:val="000000"/>
                <w:sz w:val="16"/>
                <w:szCs w:val="16"/>
                <w:lang w:eastAsia="en-US"/>
              </w:rPr>
              <w:t>2.159</w:t>
            </w:r>
          </w:p>
        </w:tc>
      </w:tr>
      <w:tr w:rsidR="008F2592" w:rsidRPr="004F60E5" w14:paraId="4420A34B" w14:textId="77777777" w:rsidTr="004F60E5">
        <w:trPr>
          <w:trHeight w:val="410"/>
        </w:trPr>
        <w:tc>
          <w:tcPr>
            <w:tcW w:w="4819" w:type="dxa"/>
            <w:tcBorders>
              <w:top w:val="single" w:sz="4" w:space="0" w:color="305496"/>
              <w:left w:val="nil"/>
              <w:bottom w:val="nil"/>
              <w:right w:val="nil"/>
            </w:tcBorders>
            <w:shd w:val="clear" w:color="auto" w:fill="auto"/>
            <w:vAlign w:val="bottom"/>
            <w:hideMark/>
          </w:tcPr>
          <w:p w14:paraId="111C90FC" w14:textId="77777777" w:rsidR="008F2592" w:rsidRPr="004F60E5" w:rsidRDefault="007C3F6D"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Agevolazioni lombarde per la valorizzazione degli investimenti aziendali al via</w:t>
            </w:r>
          </w:p>
        </w:tc>
        <w:tc>
          <w:tcPr>
            <w:tcW w:w="1389" w:type="dxa"/>
            <w:tcBorders>
              <w:top w:val="single" w:sz="4" w:space="0" w:color="305496"/>
              <w:left w:val="nil"/>
              <w:bottom w:val="nil"/>
              <w:right w:val="nil"/>
            </w:tcBorders>
            <w:shd w:val="clear" w:color="auto" w:fill="auto"/>
            <w:noWrap/>
            <w:vAlign w:val="bottom"/>
            <w:hideMark/>
          </w:tcPr>
          <w:p w14:paraId="0FF2D291" w14:textId="5E3D8E86"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39.388.762</w:t>
            </w:r>
          </w:p>
        </w:tc>
        <w:tc>
          <w:tcPr>
            <w:tcW w:w="1389" w:type="dxa"/>
            <w:tcBorders>
              <w:top w:val="single" w:sz="4" w:space="0" w:color="305496"/>
              <w:left w:val="nil"/>
              <w:bottom w:val="nil"/>
              <w:right w:val="nil"/>
            </w:tcBorders>
            <w:shd w:val="clear" w:color="auto" w:fill="auto"/>
            <w:noWrap/>
            <w:vAlign w:val="bottom"/>
            <w:hideMark/>
          </w:tcPr>
          <w:p w14:paraId="7184AEEF" w14:textId="7A918989"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27.701.116</w:t>
            </w:r>
          </w:p>
        </w:tc>
        <w:tc>
          <w:tcPr>
            <w:tcW w:w="1134" w:type="dxa"/>
            <w:tcBorders>
              <w:top w:val="single" w:sz="4" w:space="0" w:color="305496"/>
              <w:left w:val="nil"/>
              <w:bottom w:val="nil"/>
              <w:right w:val="nil"/>
            </w:tcBorders>
            <w:shd w:val="clear" w:color="auto" w:fill="auto"/>
            <w:noWrap/>
            <w:vAlign w:val="bottom"/>
            <w:hideMark/>
          </w:tcPr>
          <w:p w14:paraId="0A37F1C0"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70,33%</w:t>
            </w:r>
          </w:p>
        </w:tc>
        <w:tc>
          <w:tcPr>
            <w:tcW w:w="1020" w:type="dxa"/>
            <w:tcBorders>
              <w:top w:val="single" w:sz="4" w:space="0" w:color="305496"/>
              <w:left w:val="nil"/>
              <w:bottom w:val="nil"/>
              <w:right w:val="nil"/>
            </w:tcBorders>
            <w:shd w:val="clear" w:color="auto" w:fill="auto"/>
            <w:noWrap/>
            <w:vAlign w:val="bottom"/>
            <w:hideMark/>
          </w:tcPr>
          <w:p w14:paraId="1F420E05" w14:textId="3C564B53"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428</w:t>
            </w:r>
          </w:p>
        </w:tc>
      </w:tr>
      <w:tr w:rsidR="008F2592" w:rsidRPr="004F60E5" w14:paraId="2FA4D62B" w14:textId="77777777" w:rsidTr="004F60E5">
        <w:trPr>
          <w:trHeight w:val="245"/>
        </w:trPr>
        <w:tc>
          <w:tcPr>
            <w:tcW w:w="4819" w:type="dxa"/>
            <w:tcBorders>
              <w:top w:val="nil"/>
              <w:left w:val="nil"/>
              <w:bottom w:val="nil"/>
              <w:right w:val="nil"/>
            </w:tcBorders>
            <w:shd w:val="clear" w:color="auto" w:fill="auto"/>
            <w:vAlign w:val="bottom"/>
            <w:hideMark/>
          </w:tcPr>
          <w:p w14:paraId="3325470B" w14:textId="77777777" w:rsidR="008F2592" w:rsidRPr="004F60E5" w:rsidRDefault="007C3F6D" w:rsidP="004F60E5">
            <w:pPr>
              <w:spacing w:line="0" w:lineRule="atLeast"/>
              <w:jc w:val="left"/>
              <w:rPr>
                <w:rFonts w:eastAsia="Times New Roman" w:cs="Calibri"/>
                <w:color w:val="000000"/>
                <w:sz w:val="16"/>
                <w:szCs w:val="16"/>
                <w:lang w:eastAsia="en-US"/>
              </w:rPr>
            </w:pPr>
            <w:proofErr w:type="spellStart"/>
            <w:r w:rsidRPr="004F60E5">
              <w:rPr>
                <w:rFonts w:eastAsia="Times New Roman" w:cs="Calibri"/>
                <w:color w:val="000000"/>
                <w:sz w:val="16"/>
                <w:szCs w:val="16"/>
                <w:lang w:eastAsia="en-US"/>
              </w:rPr>
              <w:t>Arche'</w:t>
            </w:r>
            <w:proofErr w:type="spellEnd"/>
            <w:r w:rsidRPr="004F60E5">
              <w:rPr>
                <w:rFonts w:eastAsia="Times New Roman" w:cs="Calibri"/>
                <w:color w:val="000000"/>
                <w:sz w:val="16"/>
                <w:szCs w:val="16"/>
                <w:lang w:eastAsia="en-US"/>
              </w:rPr>
              <w:t>*</w:t>
            </w:r>
          </w:p>
        </w:tc>
        <w:tc>
          <w:tcPr>
            <w:tcW w:w="1389" w:type="dxa"/>
            <w:tcBorders>
              <w:top w:val="nil"/>
              <w:left w:val="nil"/>
              <w:bottom w:val="nil"/>
              <w:right w:val="nil"/>
            </w:tcBorders>
            <w:shd w:val="clear" w:color="auto" w:fill="auto"/>
            <w:noWrap/>
            <w:vAlign w:val="bottom"/>
            <w:hideMark/>
          </w:tcPr>
          <w:p w14:paraId="38233FD2" w14:textId="5594810C"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13.540.256</w:t>
            </w:r>
          </w:p>
        </w:tc>
        <w:tc>
          <w:tcPr>
            <w:tcW w:w="1389" w:type="dxa"/>
            <w:tcBorders>
              <w:top w:val="nil"/>
              <w:left w:val="nil"/>
              <w:bottom w:val="nil"/>
              <w:right w:val="nil"/>
            </w:tcBorders>
            <w:shd w:val="clear" w:color="auto" w:fill="auto"/>
            <w:noWrap/>
            <w:vAlign w:val="bottom"/>
            <w:hideMark/>
          </w:tcPr>
          <w:p w14:paraId="3B54386D" w14:textId="3D2797A8"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0</w:t>
            </w:r>
          </w:p>
        </w:tc>
        <w:tc>
          <w:tcPr>
            <w:tcW w:w="1134" w:type="dxa"/>
            <w:tcBorders>
              <w:top w:val="nil"/>
              <w:left w:val="nil"/>
              <w:bottom w:val="nil"/>
              <w:right w:val="nil"/>
            </w:tcBorders>
            <w:shd w:val="clear" w:color="auto" w:fill="auto"/>
            <w:noWrap/>
            <w:vAlign w:val="bottom"/>
            <w:hideMark/>
          </w:tcPr>
          <w:p w14:paraId="29057EF9"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52E4D3F9" w14:textId="32F1C9E5"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286</w:t>
            </w:r>
          </w:p>
        </w:tc>
      </w:tr>
      <w:tr w:rsidR="008F2592" w:rsidRPr="004F60E5" w14:paraId="49BA02C8" w14:textId="77777777" w:rsidTr="008F2592">
        <w:trPr>
          <w:trHeight w:val="300"/>
        </w:trPr>
        <w:tc>
          <w:tcPr>
            <w:tcW w:w="4819" w:type="dxa"/>
            <w:tcBorders>
              <w:top w:val="nil"/>
              <w:left w:val="nil"/>
              <w:bottom w:val="nil"/>
              <w:right w:val="nil"/>
            </w:tcBorders>
            <w:shd w:val="clear" w:color="auto" w:fill="auto"/>
            <w:vAlign w:val="bottom"/>
            <w:hideMark/>
          </w:tcPr>
          <w:p w14:paraId="61B8F9E0" w14:textId="77777777" w:rsidR="008F2592" w:rsidRPr="004F60E5" w:rsidRDefault="007C3F6D"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Avviso pubblico per la valorizzazione turistico culturale della Lombardia</w:t>
            </w:r>
          </w:p>
        </w:tc>
        <w:tc>
          <w:tcPr>
            <w:tcW w:w="1389" w:type="dxa"/>
            <w:tcBorders>
              <w:top w:val="nil"/>
              <w:left w:val="nil"/>
              <w:bottom w:val="nil"/>
              <w:right w:val="nil"/>
            </w:tcBorders>
            <w:shd w:val="clear" w:color="auto" w:fill="auto"/>
            <w:noWrap/>
            <w:vAlign w:val="bottom"/>
            <w:hideMark/>
          </w:tcPr>
          <w:p w14:paraId="1056E071" w14:textId="00DB2312"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4.961.972</w:t>
            </w:r>
          </w:p>
        </w:tc>
        <w:tc>
          <w:tcPr>
            <w:tcW w:w="1389" w:type="dxa"/>
            <w:tcBorders>
              <w:top w:val="nil"/>
              <w:left w:val="nil"/>
              <w:bottom w:val="nil"/>
              <w:right w:val="nil"/>
            </w:tcBorders>
            <w:shd w:val="clear" w:color="auto" w:fill="auto"/>
            <w:noWrap/>
            <w:vAlign w:val="bottom"/>
            <w:hideMark/>
          </w:tcPr>
          <w:p w14:paraId="6FED0F43" w14:textId="71DD2AF3"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1.188.462</w:t>
            </w:r>
          </w:p>
        </w:tc>
        <w:tc>
          <w:tcPr>
            <w:tcW w:w="1134" w:type="dxa"/>
            <w:tcBorders>
              <w:top w:val="nil"/>
              <w:left w:val="nil"/>
              <w:bottom w:val="nil"/>
              <w:right w:val="nil"/>
            </w:tcBorders>
            <w:shd w:val="clear" w:color="auto" w:fill="auto"/>
            <w:noWrap/>
            <w:vAlign w:val="bottom"/>
            <w:hideMark/>
          </w:tcPr>
          <w:p w14:paraId="746F70BA"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23,95%</w:t>
            </w:r>
          </w:p>
        </w:tc>
        <w:tc>
          <w:tcPr>
            <w:tcW w:w="1020" w:type="dxa"/>
            <w:tcBorders>
              <w:top w:val="nil"/>
              <w:left w:val="nil"/>
              <w:bottom w:val="nil"/>
              <w:right w:val="nil"/>
            </w:tcBorders>
            <w:shd w:val="clear" w:color="auto" w:fill="auto"/>
            <w:noWrap/>
            <w:vAlign w:val="bottom"/>
            <w:hideMark/>
          </w:tcPr>
          <w:p w14:paraId="72448548" w14:textId="4CC59C12"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14</w:t>
            </w:r>
          </w:p>
        </w:tc>
      </w:tr>
      <w:tr w:rsidR="008F2592" w:rsidRPr="004F60E5" w14:paraId="3376AF15" w14:textId="77777777" w:rsidTr="008F2592">
        <w:trPr>
          <w:trHeight w:val="600"/>
        </w:trPr>
        <w:tc>
          <w:tcPr>
            <w:tcW w:w="4819" w:type="dxa"/>
            <w:tcBorders>
              <w:top w:val="nil"/>
              <w:left w:val="nil"/>
              <w:bottom w:val="nil"/>
              <w:right w:val="nil"/>
            </w:tcBorders>
            <w:shd w:val="clear" w:color="auto" w:fill="auto"/>
            <w:vAlign w:val="bottom"/>
            <w:hideMark/>
          </w:tcPr>
          <w:p w14:paraId="00099497"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Avviso pubblico per lo sviluppo di prodotti e servizi integrati per la valorizzazione degli attrattori turistico culturali e naturali della Lombardia</w:t>
            </w:r>
          </w:p>
        </w:tc>
        <w:tc>
          <w:tcPr>
            <w:tcW w:w="1389" w:type="dxa"/>
            <w:tcBorders>
              <w:top w:val="nil"/>
              <w:left w:val="nil"/>
              <w:bottom w:val="nil"/>
              <w:right w:val="nil"/>
            </w:tcBorders>
            <w:shd w:val="clear" w:color="auto" w:fill="auto"/>
            <w:noWrap/>
            <w:vAlign w:val="bottom"/>
            <w:hideMark/>
          </w:tcPr>
          <w:p w14:paraId="0A9627D8" w14:textId="5401443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1.353.719</w:t>
            </w:r>
          </w:p>
        </w:tc>
        <w:tc>
          <w:tcPr>
            <w:tcW w:w="1389" w:type="dxa"/>
            <w:tcBorders>
              <w:top w:val="nil"/>
              <w:left w:val="nil"/>
              <w:bottom w:val="nil"/>
              <w:right w:val="nil"/>
            </w:tcBorders>
            <w:shd w:val="clear" w:color="auto" w:fill="auto"/>
            <w:noWrap/>
            <w:vAlign w:val="bottom"/>
            <w:hideMark/>
          </w:tcPr>
          <w:p w14:paraId="3D834BC8" w14:textId="4FA2DE7A"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1.226.319</w:t>
            </w:r>
          </w:p>
        </w:tc>
        <w:tc>
          <w:tcPr>
            <w:tcW w:w="1134" w:type="dxa"/>
            <w:tcBorders>
              <w:top w:val="nil"/>
              <w:left w:val="nil"/>
              <w:bottom w:val="nil"/>
              <w:right w:val="nil"/>
            </w:tcBorders>
            <w:shd w:val="clear" w:color="auto" w:fill="auto"/>
            <w:noWrap/>
            <w:vAlign w:val="bottom"/>
            <w:hideMark/>
          </w:tcPr>
          <w:p w14:paraId="70FF15A2"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90,59%</w:t>
            </w:r>
          </w:p>
        </w:tc>
        <w:tc>
          <w:tcPr>
            <w:tcW w:w="1020" w:type="dxa"/>
            <w:tcBorders>
              <w:top w:val="nil"/>
              <w:left w:val="nil"/>
              <w:bottom w:val="nil"/>
              <w:right w:val="nil"/>
            </w:tcBorders>
            <w:shd w:val="clear" w:color="auto" w:fill="auto"/>
            <w:noWrap/>
            <w:vAlign w:val="bottom"/>
            <w:hideMark/>
          </w:tcPr>
          <w:p w14:paraId="04EDD7A6" w14:textId="363DC8C2"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8</w:t>
            </w:r>
          </w:p>
        </w:tc>
      </w:tr>
      <w:tr w:rsidR="008F2592" w:rsidRPr="004F60E5" w14:paraId="3DF3EAAC" w14:textId="77777777" w:rsidTr="004F60E5">
        <w:trPr>
          <w:trHeight w:val="476"/>
        </w:trPr>
        <w:tc>
          <w:tcPr>
            <w:tcW w:w="4819" w:type="dxa"/>
            <w:tcBorders>
              <w:top w:val="nil"/>
              <w:left w:val="nil"/>
              <w:bottom w:val="nil"/>
              <w:right w:val="nil"/>
            </w:tcBorders>
            <w:shd w:val="clear" w:color="auto" w:fill="auto"/>
            <w:vAlign w:val="bottom"/>
            <w:hideMark/>
          </w:tcPr>
          <w:p w14:paraId="6B277FCF" w14:textId="77777777" w:rsidR="008F2592" w:rsidRPr="004F60E5" w:rsidRDefault="007C3F6D"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 xml:space="preserve">Bando turismo e attrattività </w:t>
            </w:r>
            <w:r w:rsidR="008F2592" w:rsidRPr="004F60E5">
              <w:rPr>
                <w:rFonts w:eastAsia="Times New Roman" w:cs="Calibri"/>
                <w:color w:val="000000"/>
                <w:sz w:val="16"/>
                <w:szCs w:val="16"/>
                <w:lang w:eastAsia="en-US"/>
              </w:rPr>
              <w:t>Sostegno alla competitività delle imprese turistiche delle Aree interne</w:t>
            </w:r>
            <w:r w:rsidR="009E3807" w:rsidRPr="004F60E5">
              <w:rPr>
                <w:rFonts w:eastAsia="Times New Roman" w:cs="Calibri"/>
                <w:color w:val="000000"/>
                <w:sz w:val="16"/>
                <w:szCs w:val="16"/>
                <w:lang w:eastAsia="en-US"/>
              </w:rPr>
              <w:t>*</w:t>
            </w:r>
          </w:p>
        </w:tc>
        <w:tc>
          <w:tcPr>
            <w:tcW w:w="1389" w:type="dxa"/>
            <w:tcBorders>
              <w:top w:val="nil"/>
              <w:left w:val="nil"/>
              <w:bottom w:val="nil"/>
              <w:right w:val="nil"/>
            </w:tcBorders>
            <w:shd w:val="clear" w:color="auto" w:fill="auto"/>
            <w:noWrap/>
            <w:vAlign w:val="bottom"/>
            <w:hideMark/>
          </w:tcPr>
          <w:p w14:paraId="655F1777" w14:textId="7B4B9D8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1.578.885</w:t>
            </w:r>
          </w:p>
        </w:tc>
        <w:tc>
          <w:tcPr>
            <w:tcW w:w="1389" w:type="dxa"/>
            <w:tcBorders>
              <w:top w:val="nil"/>
              <w:left w:val="nil"/>
              <w:bottom w:val="nil"/>
              <w:right w:val="nil"/>
            </w:tcBorders>
            <w:shd w:val="clear" w:color="auto" w:fill="auto"/>
            <w:noWrap/>
            <w:vAlign w:val="bottom"/>
            <w:hideMark/>
          </w:tcPr>
          <w:p w14:paraId="0C142665" w14:textId="1EE74931"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0</w:t>
            </w:r>
          </w:p>
        </w:tc>
        <w:tc>
          <w:tcPr>
            <w:tcW w:w="1134" w:type="dxa"/>
            <w:tcBorders>
              <w:top w:val="nil"/>
              <w:left w:val="nil"/>
              <w:bottom w:val="nil"/>
              <w:right w:val="nil"/>
            </w:tcBorders>
            <w:shd w:val="clear" w:color="auto" w:fill="auto"/>
            <w:noWrap/>
            <w:vAlign w:val="bottom"/>
            <w:hideMark/>
          </w:tcPr>
          <w:p w14:paraId="7C11B553"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4E6619AD" w14:textId="29EFAE1A"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24</w:t>
            </w:r>
          </w:p>
        </w:tc>
      </w:tr>
      <w:tr w:rsidR="008F2592" w:rsidRPr="004F60E5" w14:paraId="693B139F" w14:textId="77777777" w:rsidTr="008F2592">
        <w:trPr>
          <w:trHeight w:val="300"/>
        </w:trPr>
        <w:tc>
          <w:tcPr>
            <w:tcW w:w="4819" w:type="dxa"/>
            <w:tcBorders>
              <w:top w:val="nil"/>
              <w:left w:val="nil"/>
              <w:bottom w:val="nil"/>
              <w:right w:val="nil"/>
            </w:tcBorders>
            <w:shd w:val="clear" w:color="auto" w:fill="auto"/>
            <w:vAlign w:val="bottom"/>
            <w:hideMark/>
          </w:tcPr>
          <w:p w14:paraId="517EA6BE"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Contributi per la partecipazione delle PMI alle fiere internazionali in Lombardia</w:t>
            </w:r>
          </w:p>
        </w:tc>
        <w:tc>
          <w:tcPr>
            <w:tcW w:w="1389" w:type="dxa"/>
            <w:tcBorders>
              <w:top w:val="nil"/>
              <w:left w:val="nil"/>
              <w:bottom w:val="nil"/>
              <w:right w:val="nil"/>
            </w:tcBorders>
            <w:shd w:val="clear" w:color="auto" w:fill="auto"/>
            <w:noWrap/>
            <w:vAlign w:val="bottom"/>
            <w:hideMark/>
          </w:tcPr>
          <w:p w14:paraId="02CFB433" w14:textId="6AF6D1FE"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1.594.915</w:t>
            </w:r>
          </w:p>
        </w:tc>
        <w:tc>
          <w:tcPr>
            <w:tcW w:w="1389" w:type="dxa"/>
            <w:tcBorders>
              <w:top w:val="nil"/>
              <w:left w:val="nil"/>
              <w:bottom w:val="nil"/>
              <w:right w:val="nil"/>
            </w:tcBorders>
            <w:shd w:val="clear" w:color="auto" w:fill="auto"/>
            <w:noWrap/>
            <w:vAlign w:val="bottom"/>
            <w:hideMark/>
          </w:tcPr>
          <w:p w14:paraId="7540AE97" w14:textId="19E2E01B"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0</w:t>
            </w:r>
          </w:p>
        </w:tc>
        <w:tc>
          <w:tcPr>
            <w:tcW w:w="1134" w:type="dxa"/>
            <w:tcBorders>
              <w:top w:val="nil"/>
              <w:left w:val="nil"/>
              <w:bottom w:val="nil"/>
              <w:right w:val="nil"/>
            </w:tcBorders>
            <w:shd w:val="clear" w:color="auto" w:fill="auto"/>
            <w:noWrap/>
            <w:vAlign w:val="bottom"/>
            <w:hideMark/>
          </w:tcPr>
          <w:p w14:paraId="4D76BB30"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5EF7F33B" w14:textId="2FBC35C4"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120</w:t>
            </w:r>
          </w:p>
        </w:tc>
      </w:tr>
      <w:tr w:rsidR="008F2592" w:rsidRPr="004F60E5" w14:paraId="1D421F89" w14:textId="77777777" w:rsidTr="008F2592">
        <w:trPr>
          <w:trHeight w:val="300"/>
        </w:trPr>
        <w:tc>
          <w:tcPr>
            <w:tcW w:w="4819" w:type="dxa"/>
            <w:tcBorders>
              <w:top w:val="nil"/>
              <w:left w:val="nil"/>
              <w:bottom w:val="nil"/>
              <w:right w:val="nil"/>
            </w:tcBorders>
            <w:shd w:val="clear" w:color="auto" w:fill="auto"/>
            <w:vAlign w:val="bottom"/>
            <w:hideMark/>
          </w:tcPr>
          <w:p w14:paraId="1A6C97E6" w14:textId="77777777" w:rsidR="008F2592" w:rsidRPr="004F60E5" w:rsidRDefault="007C3F6D"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Export business manager imprese</w:t>
            </w:r>
          </w:p>
        </w:tc>
        <w:tc>
          <w:tcPr>
            <w:tcW w:w="1389" w:type="dxa"/>
            <w:tcBorders>
              <w:top w:val="nil"/>
              <w:left w:val="nil"/>
              <w:bottom w:val="nil"/>
              <w:right w:val="nil"/>
            </w:tcBorders>
            <w:shd w:val="clear" w:color="auto" w:fill="auto"/>
            <w:noWrap/>
            <w:vAlign w:val="bottom"/>
            <w:hideMark/>
          </w:tcPr>
          <w:p w14:paraId="530C23ED" w14:textId="62675E64"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2.622.000</w:t>
            </w:r>
          </w:p>
        </w:tc>
        <w:tc>
          <w:tcPr>
            <w:tcW w:w="1389" w:type="dxa"/>
            <w:tcBorders>
              <w:top w:val="nil"/>
              <w:left w:val="nil"/>
              <w:bottom w:val="nil"/>
              <w:right w:val="nil"/>
            </w:tcBorders>
            <w:shd w:val="clear" w:color="auto" w:fill="auto"/>
            <w:noWrap/>
            <w:vAlign w:val="bottom"/>
            <w:hideMark/>
          </w:tcPr>
          <w:p w14:paraId="13CB1EFB" w14:textId="329D1964"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2.339.500</w:t>
            </w:r>
          </w:p>
        </w:tc>
        <w:tc>
          <w:tcPr>
            <w:tcW w:w="1134" w:type="dxa"/>
            <w:tcBorders>
              <w:top w:val="nil"/>
              <w:left w:val="nil"/>
              <w:bottom w:val="nil"/>
              <w:right w:val="nil"/>
            </w:tcBorders>
            <w:shd w:val="clear" w:color="auto" w:fill="auto"/>
            <w:noWrap/>
            <w:vAlign w:val="bottom"/>
            <w:hideMark/>
          </w:tcPr>
          <w:p w14:paraId="72703B87"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89,23%</w:t>
            </w:r>
          </w:p>
        </w:tc>
        <w:tc>
          <w:tcPr>
            <w:tcW w:w="1020" w:type="dxa"/>
            <w:tcBorders>
              <w:top w:val="nil"/>
              <w:left w:val="nil"/>
              <w:bottom w:val="nil"/>
              <w:right w:val="nil"/>
            </w:tcBorders>
            <w:shd w:val="clear" w:color="auto" w:fill="auto"/>
            <w:noWrap/>
            <w:vAlign w:val="bottom"/>
            <w:hideMark/>
          </w:tcPr>
          <w:p w14:paraId="56A89AA9" w14:textId="4FE3DCDB"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293</w:t>
            </w:r>
          </w:p>
        </w:tc>
      </w:tr>
      <w:tr w:rsidR="008F2592" w:rsidRPr="004F60E5" w14:paraId="3727D5B9" w14:textId="77777777" w:rsidTr="008F2592">
        <w:trPr>
          <w:trHeight w:val="300"/>
        </w:trPr>
        <w:tc>
          <w:tcPr>
            <w:tcW w:w="4819" w:type="dxa"/>
            <w:tcBorders>
              <w:top w:val="nil"/>
              <w:left w:val="nil"/>
              <w:bottom w:val="nil"/>
              <w:right w:val="nil"/>
            </w:tcBorders>
            <w:shd w:val="clear" w:color="auto" w:fill="auto"/>
            <w:vAlign w:val="bottom"/>
            <w:hideMark/>
          </w:tcPr>
          <w:p w14:paraId="0CC091F4"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Fondo di garanzia AL VIA</w:t>
            </w:r>
          </w:p>
        </w:tc>
        <w:tc>
          <w:tcPr>
            <w:tcW w:w="1389" w:type="dxa"/>
            <w:tcBorders>
              <w:top w:val="nil"/>
              <w:left w:val="nil"/>
              <w:bottom w:val="nil"/>
              <w:right w:val="nil"/>
            </w:tcBorders>
            <w:shd w:val="clear" w:color="auto" w:fill="auto"/>
            <w:noWrap/>
            <w:vAlign w:val="bottom"/>
            <w:hideMark/>
          </w:tcPr>
          <w:p w14:paraId="52AC068C" w14:textId="739C9AFE"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82.000.000</w:t>
            </w:r>
          </w:p>
        </w:tc>
        <w:tc>
          <w:tcPr>
            <w:tcW w:w="1389" w:type="dxa"/>
            <w:tcBorders>
              <w:top w:val="nil"/>
              <w:left w:val="nil"/>
              <w:bottom w:val="nil"/>
              <w:right w:val="nil"/>
            </w:tcBorders>
            <w:shd w:val="clear" w:color="auto" w:fill="auto"/>
            <w:noWrap/>
            <w:vAlign w:val="bottom"/>
            <w:hideMark/>
          </w:tcPr>
          <w:p w14:paraId="2C83F896" w14:textId="59F2EF85"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63.621.999</w:t>
            </w:r>
          </w:p>
        </w:tc>
        <w:tc>
          <w:tcPr>
            <w:tcW w:w="1134" w:type="dxa"/>
            <w:tcBorders>
              <w:top w:val="nil"/>
              <w:left w:val="nil"/>
              <w:bottom w:val="nil"/>
              <w:right w:val="nil"/>
            </w:tcBorders>
            <w:shd w:val="clear" w:color="auto" w:fill="auto"/>
            <w:noWrap/>
            <w:vAlign w:val="bottom"/>
            <w:hideMark/>
          </w:tcPr>
          <w:p w14:paraId="5DE45028"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77,59%</w:t>
            </w:r>
          </w:p>
        </w:tc>
        <w:tc>
          <w:tcPr>
            <w:tcW w:w="1020" w:type="dxa"/>
            <w:tcBorders>
              <w:top w:val="nil"/>
              <w:left w:val="nil"/>
              <w:bottom w:val="nil"/>
              <w:right w:val="nil"/>
            </w:tcBorders>
            <w:shd w:val="clear" w:color="auto" w:fill="auto"/>
            <w:noWrap/>
            <w:vAlign w:val="bottom"/>
            <w:hideMark/>
          </w:tcPr>
          <w:p w14:paraId="1AE3FB2E" w14:textId="57DB94DC"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w:t>
            </w:r>
          </w:p>
        </w:tc>
      </w:tr>
      <w:tr w:rsidR="008F2592" w:rsidRPr="004F60E5" w14:paraId="623619E5" w14:textId="77777777" w:rsidTr="008F2592">
        <w:trPr>
          <w:trHeight w:val="300"/>
        </w:trPr>
        <w:tc>
          <w:tcPr>
            <w:tcW w:w="4819" w:type="dxa"/>
            <w:tcBorders>
              <w:top w:val="nil"/>
              <w:left w:val="nil"/>
              <w:bottom w:val="nil"/>
              <w:right w:val="nil"/>
            </w:tcBorders>
            <w:shd w:val="clear" w:color="auto" w:fill="auto"/>
            <w:vAlign w:val="bottom"/>
            <w:hideMark/>
          </w:tcPr>
          <w:p w14:paraId="0E3EF506"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Fondo Linea Internazionalizzazione</w:t>
            </w:r>
          </w:p>
        </w:tc>
        <w:tc>
          <w:tcPr>
            <w:tcW w:w="1389" w:type="dxa"/>
            <w:tcBorders>
              <w:top w:val="nil"/>
              <w:left w:val="nil"/>
              <w:bottom w:val="nil"/>
              <w:right w:val="nil"/>
            </w:tcBorders>
            <w:shd w:val="clear" w:color="auto" w:fill="auto"/>
            <w:noWrap/>
            <w:vAlign w:val="bottom"/>
            <w:hideMark/>
          </w:tcPr>
          <w:p w14:paraId="204AA05A" w14:textId="1DEAAA12"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13.000.000</w:t>
            </w:r>
          </w:p>
        </w:tc>
        <w:tc>
          <w:tcPr>
            <w:tcW w:w="1389" w:type="dxa"/>
            <w:tcBorders>
              <w:top w:val="nil"/>
              <w:left w:val="nil"/>
              <w:bottom w:val="nil"/>
              <w:right w:val="nil"/>
            </w:tcBorders>
            <w:shd w:val="clear" w:color="auto" w:fill="auto"/>
            <w:noWrap/>
            <w:vAlign w:val="bottom"/>
            <w:hideMark/>
          </w:tcPr>
          <w:p w14:paraId="69F666DF" w14:textId="4E8B28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3.250.000</w:t>
            </w:r>
          </w:p>
        </w:tc>
        <w:tc>
          <w:tcPr>
            <w:tcW w:w="1134" w:type="dxa"/>
            <w:tcBorders>
              <w:top w:val="nil"/>
              <w:left w:val="nil"/>
              <w:bottom w:val="nil"/>
              <w:right w:val="nil"/>
            </w:tcBorders>
            <w:shd w:val="clear" w:color="auto" w:fill="auto"/>
            <w:noWrap/>
            <w:vAlign w:val="bottom"/>
            <w:hideMark/>
          </w:tcPr>
          <w:p w14:paraId="2CD57279"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25,00%</w:t>
            </w:r>
          </w:p>
        </w:tc>
        <w:tc>
          <w:tcPr>
            <w:tcW w:w="1020" w:type="dxa"/>
            <w:tcBorders>
              <w:top w:val="nil"/>
              <w:left w:val="nil"/>
              <w:bottom w:val="nil"/>
              <w:right w:val="nil"/>
            </w:tcBorders>
            <w:shd w:val="clear" w:color="auto" w:fill="auto"/>
            <w:noWrap/>
            <w:vAlign w:val="bottom"/>
            <w:hideMark/>
          </w:tcPr>
          <w:p w14:paraId="1395504B" w14:textId="4B9C3259"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w:t>
            </w:r>
          </w:p>
        </w:tc>
      </w:tr>
      <w:tr w:rsidR="008F2592" w:rsidRPr="004F60E5" w14:paraId="7B089E35" w14:textId="77777777" w:rsidTr="008F2592">
        <w:trPr>
          <w:trHeight w:val="300"/>
        </w:trPr>
        <w:tc>
          <w:tcPr>
            <w:tcW w:w="4819" w:type="dxa"/>
            <w:tcBorders>
              <w:top w:val="nil"/>
              <w:left w:val="nil"/>
              <w:bottom w:val="nil"/>
              <w:right w:val="nil"/>
            </w:tcBorders>
            <w:shd w:val="clear" w:color="auto" w:fill="auto"/>
            <w:vAlign w:val="bottom"/>
            <w:hideMark/>
          </w:tcPr>
          <w:p w14:paraId="508C5F6D"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Linea Controgaranzie</w:t>
            </w:r>
          </w:p>
        </w:tc>
        <w:tc>
          <w:tcPr>
            <w:tcW w:w="1389" w:type="dxa"/>
            <w:tcBorders>
              <w:top w:val="nil"/>
              <w:left w:val="nil"/>
              <w:bottom w:val="nil"/>
              <w:right w:val="nil"/>
            </w:tcBorders>
            <w:shd w:val="clear" w:color="auto" w:fill="auto"/>
            <w:noWrap/>
            <w:vAlign w:val="bottom"/>
            <w:hideMark/>
          </w:tcPr>
          <w:p w14:paraId="3435AE64" w14:textId="4244675C"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28.500.000</w:t>
            </w:r>
          </w:p>
        </w:tc>
        <w:tc>
          <w:tcPr>
            <w:tcW w:w="1389" w:type="dxa"/>
            <w:tcBorders>
              <w:top w:val="nil"/>
              <w:left w:val="nil"/>
              <w:bottom w:val="nil"/>
              <w:right w:val="nil"/>
            </w:tcBorders>
            <w:shd w:val="clear" w:color="auto" w:fill="auto"/>
            <w:noWrap/>
            <w:vAlign w:val="bottom"/>
            <w:hideMark/>
          </w:tcPr>
          <w:p w14:paraId="0A700B59" w14:textId="553E04E5"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21.375.000</w:t>
            </w:r>
          </w:p>
        </w:tc>
        <w:tc>
          <w:tcPr>
            <w:tcW w:w="1134" w:type="dxa"/>
            <w:tcBorders>
              <w:top w:val="nil"/>
              <w:left w:val="nil"/>
              <w:bottom w:val="nil"/>
              <w:right w:val="nil"/>
            </w:tcBorders>
            <w:shd w:val="clear" w:color="auto" w:fill="auto"/>
            <w:noWrap/>
            <w:vAlign w:val="bottom"/>
            <w:hideMark/>
          </w:tcPr>
          <w:p w14:paraId="077000B8"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75,00%</w:t>
            </w:r>
          </w:p>
        </w:tc>
        <w:tc>
          <w:tcPr>
            <w:tcW w:w="1020" w:type="dxa"/>
            <w:tcBorders>
              <w:top w:val="nil"/>
              <w:left w:val="nil"/>
              <w:bottom w:val="nil"/>
              <w:right w:val="nil"/>
            </w:tcBorders>
            <w:shd w:val="clear" w:color="auto" w:fill="auto"/>
            <w:noWrap/>
            <w:vAlign w:val="bottom"/>
            <w:hideMark/>
          </w:tcPr>
          <w:p w14:paraId="6ED84CD6" w14:textId="474EA22D"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w:t>
            </w:r>
          </w:p>
        </w:tc>
      </w:tr>
      <w:tr w:rsidR="008F2592" w:rsidRPr="004F60E5" w14:paraId="4BBEFEAA" w14:textId="77777777" w:rsidTr="008F2592">
        <w:trPr>
          <w:trHeight w:val="345"/>
        </w:trPr>
        <w:tc>
          <w:tcPr>
            <w:tcW w:w="4819" w:type="dxa"/>
            <w:tcBorders>
              <w:top w:val="nil"/>
              <w:left w:val="nil"/>
              <w:bottom w:val="nil"/>
              <w:right w:val="nil"/>
            </w:tcBorders>
            <w:shd w:val="clear" w:color="auto" w:fill="auto"/>
            <w:vAlign w:val="bottom"/>
            <w:hideMark/>
          </w:tcPr>
          <w:p w14:paraId="14AA49D2"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Linea INTRAPRENDO</w:t>
            </w:r>
            <w:r w:rsidR="009E3807" w:rsidRPr="004F60E5">
              <w:rPr>
                <w:rFonts w:eastAsia="Times New Roman" w:cs="Calibri"/>
                <w:color w:val="000000"/>
                <w:sz w:val="16"/>
                <w:szCs w:val="16"/>
                <w:lang w:eastAsia="en-US"/>
              </w:rPr>
              <w:t>*</w:t>
            </w:r>
          </w:p>
        </w:tc>
        <w:tc>
          <w:tcPr>
            <w:tcW w:w="1389" w:type="dxa"/>
            <w:tcBorders>
              <w:top w:val="nil"/>
              <w:left w:val="nil"/>
              <w:bottom w:val="nil"/>
              <w:right w:val="nil"/>
            </w:tcBorders>
            <w:shd w:val="clear" w:color="auto" w:fill="auto"/>
            <w:noWrap/>
            <w:vAlign w:val="bottom"/>
            <w:hideMark/>
          </w:tcPr>
          <w:p w14:paraId="63DECCC9" w14:textId="2EB08226"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14.160.493</w:t>
            </w:r>
          </w:p>
        </w:tc>
        <w:tc>
          <w:tcPr>
            <w:tcW w:w="1389" w:type="dxa"/>
            <w:tcBorders>
              <w:top w:val="nil"/>
              <w:left w:val="nil"/>
              <w:bottom w:val="nil"/>
              <w:right w:val="nil"/>
            </w:tcBorders>
            <w:shd w:val="clear" w:color="auto" w:fill="auto"/>
            <w:noWrap/>
            <w:vAlign w:val="bottom"/>
            <w:hideMark/>
          </w:tcPr>
          <w:p w14:paraId="75633081" w14:textId="447DB190"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6.989.948</w:t>
            </w:r>
          </w:p>
        </w:tc>
        <w:tc>
          <w:tcPr>
            <w:tcW w:w="1134" w:type="dxa"/>
            <w:tcBorders>
              <w:top w:val="nil"/>
              <w:left w:val="nil"/>
              <w:bottom w:val="nil"/>
              <w:right w:val="nil"/>
            </w:tcBorders>
            <w:shd w:val="clear" w:color="auto" w:fill="auto"/>
            <w:noWrap/>
            <w:vAlign w:val="bottom"/>
            <w:hideMark/>
          </w:tcPr>
          <w:p w14:paraId="7948BDDF"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49,36%</w:t>
            </w:r>
          </w:p>
        </w:tc>
        <w:tc>
          <w:tcPr>
            <w:tcW w:w="1020" w:type="dxa"/>
            <w:tcBorders>
              <w:top w:val="nil"/>
              <w:left w:val="nil"/>
              <w:bottom w:val="nil"/>
              <w:right w:val="nil"/>
            </w:tcBorders>
            <w:shd w:val="clear" w:color="auto" w:fill="auto"/>
            <w:noWrap/>
            <w:vAlign w:val="bottom"/>
            <w:hideMark/>
          </w:tcPr>
          <w:p w14:paraId="76A8FB56" w14:textId="2511BF46"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135</w:t>
            </w:r>
          </w:p>
        </w:tc>
      </w:tr>
      <w:tr w:rsidR="008F2592" w:rsidRPr="004F60E5" w14:paraId="1F4B2FEA" w14:textId="77777777" w:rsidTr="008F2592">
        <w:trPr>
          <w:trHeight w:val="345"/>
        </w:trPr>
        <w:tc>
          <w:tcPr>
            <w:tcW w:w="4819" w:type="dxa"/>
            <w:tcBorders>
              <w:top w:val="nil"/>
              <w:left w:val="nil"/>
              <w:right w:val="nil"/>
            </w:tcBorders>
            <w:shd w:val="clear" w:color="auto" w:fill="auto"/>
            <w:vAlign w:val="bottom"/>
            <w:hideMark/>
          </w:tcPr>
          <w:p w14:paraId="793C934D" w14:textId="77777777" w:rsidR="008F2592" w:rsidRPr="004F60E5" w:rsidRDefault="00594984"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Startup</w:t>
            </w:r>
            <w:r w:rsidR="008F2592" w:rsidRPr="004F60E5">
              <w:rPr>
                <w:rFonts w:eastAsia="Times New Roman" w:cs="Calibri"/>
                <w:color w:val="000000"/>
                <w:sz w:val="16"/>
                <w:szCs w:val="16"/>
                <w:lang w:eastAsia="en-US"/>
              </w:rPr>
              <w:t xml:space="preserve"> di impresa</w:t>
            </w:r>
            <w:r w:rsidR="009E3807" w:rsidRPr="004F60E5">
              <w:rPr>
                <w:rFonts w:eastAsia="Times New Roman" w:cs="Calibri"/>
                <w:color w:val="000000"/>
                <w:sz w:val="16"/>
                <w:szCs w:val="16"/>
                <w:lang w:eastAsia="en-US"/>
              </w:rPr>
              <w:t>*</w:t>
            </w:r>
          </w:p>
        </w:tc>
        <w:tc>
          <w:tcPr>
            <w:tcW w:w="1389" w:type="dxa"/>
            <w:tcBorders>
              <w:top w:val="nil"/>
              <w:left w:val="nil"/>
              <w:right w:val="nil"/>
            </w:tcBorders>
            <w:shd w:val="clear" w:color="auto" w:fill="auto"/>
            <w:noWrap/>
            <w:vAlign w:val="bottom"/>
            <w:hideMark/>
          </w:tcPr>
          <w:p w14:paraId="23EBDF1F" w14:textId="34E3B1BA"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1.889.303</w:t>
            </w:r>
          </w:p>
        </w:tc>
        <w:tc>
          <w:tcPr>
            <w:tcW w:w="1389" w:type="dxa"/>
            <w:tcBorders>
              <w:top w:val="nil"/>
              <w:left w:val="nil"/>
              <w:right w:val="nil"/>
            </w:tcBorders>
            <w:shd w:val="clear" w:color="auto" w:fill="auto"/>
            <w:noWrap/>
            <w:vAlign w:val="bottom"/>
            <w:hideMark/>
          </w:tcPr>
          <w:p w14:paraId="2ADB5C57" w14:textId="1E26097C"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243.580</w:t>
            </w:r>
          </w:p>
        </w:tc>
        <w:tc>
          <w:tcPr>
            <w:tcW w:w="1134" w:type="dxa"/>
            <w:tcBorders>
              <w:top w:val="nil"/>
              <w:left w:val="nil"/>
              <w:right w:val="nil"/>
            </w:tcBorders>
            <w:shd w:val="clear" w:color="auto" w:fill="auto"/>
            <w:noWrap/>
            <w:vAlign w:val="bottom"/>
            <w:hideMark/>
          </w:tcPr>
          <w:p w14:paraId="3C72324C"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12,89%</w:t>
            </w:r>
          </w:p>
        </w:tc>
        <w:tc>
          <w:tcPr>
            <w:tcW w:w="1020" w:type="dxa"/>
            <w:tcBorders>
              <w:top w:val="nil"/>
              <w:left w:val="nil"/>
              <w:right w:val="nil"/>
            </w:tcBorders>
            <w:shd w:val="clear" w:color="auto" w:fill="auto"/>
            <w:noWrap/>
            <w:vAlign w:val="bottom"/>
            <w:hideMark/>
          </w:tcPr>
          <w:p w14:paraId="04006C66" w14:textId="34469684"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27</w:t>
            </w:r>
          </w:p>
        </w:tc>
      </w:tr>
      <w:tr w:rsidR="008F2592" w:rsidRPr="004F60E5" w14:paraId="4C6FBBC4" w14:textId="77777777" w:rsidTr="00EA0726">
        <w:trPr>
          <w:trHeight w:val="345"/>
        </w:trPr>
        <w:tc>
          <w:tcPr>
            <w:tcW w:w="4819" w:type="dxa"/>
            <w:tcBorders>
              <w:top w:val="nil"/>
              <w:left w:val="nil"/>
              <w:bottom w:val="single" w:sz="4" w:space="0" w:color="305496"/>
              <w:right w:val="nil"/>
            </w:tcBorders>
            <w:shd w:val="clear" w:color="auto" w:fill="auto"/>
            <w:vAlign w:val="bottom"/>
            <w:hideMark/>
          </w:tcPr>
          <w:p w14:paraId="2279F9F4" w14:textId="77777777" w:rsidR="008F2592" w:rsidRPr="004F60E5" w:rsidRDefault="008F2592" w:rsidP="004F60E5">
            <w:pPr>
              <w:spacing w:line="0" w:lineRule="atLeast"/>
              <w:jc w:val="left"/>
              <w:rPr>
                <w:rFonts w:eastAsia="Times New Roman" w:cs="Calibri"/>
                <w:color w:val="000000"/>
                <w:sz w:val="16"/>
                <w:szCs w:val="16"/>
                <w:lang w:eastAsia="en-US"/>
              </w:rPr>
            </w:pPr>
            <w:r w:rsidRPr="004F60E5">
              <w:rPr>
                <w:rFonts w:eastAsia="Times New Roman" w:cs="Calibri"/>
                <w:color w:val="000000"/>
                <w:sz w:val="16"/>
                <w:szCs w:val="16"/>
                <w:lang w:eastAsia="en-US"/>
              </w:rPr>
              <w:t>Turismo e attrattività</w:t>
            </w:r>
            <w:r w:rsidR="009E3807" w:rsidRPr="004F60E5">
              <w:rPr>
                <w:rFonts w:eastAsia="Times New Roman" w:cs="Calibri"/>
                <w:color w:val="000000"/>
                <w:sz w:val="16"/>
                <w:szCs w:val="16"/>
                <w:lang w:eastAsia="en-US"/>
              </w:rPr>
              <w:t>*</w:t>
            </w:r>
          </w:p>
        </w:tc>
        <w:tc>
          <w:tcPr>
            <w:tcW w:w="1389" w:type="dxa"/>
            <w:tcBorders>
              <w:top w:val="nil"/>
              <w:left w:val="nil"/>
              <w:bottom w:val="single" w:sz="4" w:space="0" w:color="305496"/>
              <w:right w:val="nil"/>
            </w:tcBorders>
            <w:shd w:val="clear" w:color="auto" w:fill="auto"/>
            <w:noWrap/>
            <w:vAlign w:val="bottom"/>
            <w:hideMark/>
          </w:tcPr>
          <w:p w14:paraId="3C76C63B" w14:textId="13090FD6"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24.561.107</w:t>
            </w:r>
          </w:p>
        </w:tc>
        <w:tc>
          <w:tcPr>
            <w:tcW w:w="1389" w:type="dxa"/>
            <w:tcBorders>
              <w:top w:val="nil"/>
              <w:left w:val="nil"/>
              <w:bottom w:val="single" w:sz="4" w:space="0" w:color="305496"/>
              <w:right w:val="nil"/>
            </w:tcBorders>
            <w:shd w:val="clear" w:color="auto" w:fill="auto"/>
            <w:noWrap/>
            <w:vAlign w:val="bottom"/>
            <w:hideMark/>
          </w:tcPr>
          <w:p w14:paraId="339F8EF0" w14:textId="5DB13BF6"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22.999.264</w:t>
            </w:r>
          </w:p>
        </w:tc>
        <w:tc>
          <w:tcPr>
            <w:tcW w:w="1134" w:type="dxa"/>
            <w:tcBorders>
              <w:top w:val="nil"/>
              <w:left w:val="nil"/>
              <w:bottom w:val="single" w:sz="4" w:space="0" w:color="305496"/>
              <w:right w:val="nil"/>
            </w:tcBorders>
            <w:shd w:val="clear" w:color="auto" w:fill="auto"/>
            <w:noWrap/>
            <w:vAlign w:val="bottom"/>
            <w:hideMark/>
          </w:tcPr>
          <w:p w14:paraId="0B3B6E4C" w14:textId="77777777"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93,64%</w:t>
            </w:r>
          </w:p>
        </w:tc>
        <w:tc>
          <w:tcPr>
            <w:tcW w:w="1020" w:type="dxa"/>
            <w:tcBorders>
              <w:top w:val="nil"/>
              <w:left w:val="nil"/>
              <w:bottom w:val="single" w:sz="4" w:space="0" w:color="305496"/>
              <w:right w:val="nil"/>
            </w:tcBorders>
            <w:shd w:val="clear" w:color="auto" w:fill="auto"/>
            <w:noWrap/>
            <w:vAlign w:val="bottom"/>
            <w:hideMark/>
          </w:tcPr>
          <w:p w14:paraId="02031CAD" w14:textId="7356478C" w:rsidR="008F2592" w:rsidRPr="004F60E5" w:rsidRDefault="008F2592" w:rsidP="004F60E5">
            <w:pPr>
              <w:spacing w:line="0" w:lineRule="atLeast"/>
              <w:jc w:val="right"/>
              <w:rPr>
                <w:rFonts w:eastAsia="Times New Roman" w:cs="Calibri"/>
                <w:color w:val="000000"/>
                <w:sz w:val="16"/>
                <w:szCs w:val="16"/>
                <w:lang w:eastAsia="en-US"/>
              </w:rPr>
            </w:pPr>
            <w:r w:rsidRPr="004F60E5">
              <w:rPr>
                <w:rFonts w:eastAsia="Times New Roman" w:cs="Calibri"/>
                <w:color w:val="000000"/>
                <w:sz w:val="16"/>
                <w:szCs w:val="16"/>
                <w:lang w:eastAsia="en-US"/>
              </w:rPr>
              <w:t>821</w:t>
            </w:r>
          </w:p>
        </w:tc>
      </w:tr>
    </w:tbl>
    <w:p w14:paraId="75831A68" w14:textId="77777777" w:rsidR="00594984" w:rsidRDefault="00594984" w:rsidP="00594984">
      <w:pPr>
        <w:rPr>
          <w:sz w:val="18"/>
          <w:szCs w:val="18"/>
        </w:rPr>
      </w:pPr>
      <w:r>
        <w:rPr>
          <w:sz w:val="18"/>
          <w:szCs w:val="18"/>
        </w:rPr>
        <w:t>Fonte: Dati di monitoraggio forniti da Regione Lombardia aggiornati al 31.12.2020.</w:t>
      </w:r>
    </w:p>
    <w:p w14:paraId="4198EE35" w14:textId="77777777" w:rsidR="00396C3E" w:rsidRPr="009E3807" w:rsidRDefault="009E3807" w:rsidP="00A65EDF">
      <w:pPr>
        <w:rPr>
          <w:sz w:val="18"/>
          <w:szCs w:val="18"/>
        </w:rPr>
      </w:pPr>
      <w:r w:rsidRPr="00761DE3">
        <w:rPr>
          <w:sz w:val="18"/>
          <w:szCs w:val="18"/>
        </w:rPr>
        <w:t xml:space="preserve">Nota: * </w:t>
      </w:r>
      <w:r w:rsidR="0007628B" w:rsidRPr="00761DE3">
        <w:rPr>
          <w:sz w:val="18"/>
          <w:szCs w:val="18"/>
        </w:rPr>
        <w:t>Questi</w:t>
      </w:r>
      <w:r w:rsidRPr="00761DE3">
        <w:rPr>
          <w:sz w:val="18"/>
          <w:szCs w:val="18"/>
        </w:rPr>
        <w:t xml:space="preserve"> interventi sono stati riaggregati secondo quanto riportato nell’allegato </w:t>
      </w:r>
      <w:r w:rsidR="00761DE3" w:rsidRPr="00761DE3">
        <w:rPr>
          <w:sz w:val="18"/>
          <w:szCs w:val="18"/>
        </w:rPr>
        <w:t>A.</w:t>
      </w:r>
    </w:p>
    <w:p w14:paraId="22F74CC9" w14:textId="77777777" w:rsidR="003E42F9" w:rsidRDefault="003E42F9" w:rsidP="006B1999"/>
    <w:p w14:paraId="04497338" w14:textId="77777777" w:rsidR="00E6345E" w:rsidRDefault="00E6345E" w:rsidP="00A65EDF">
      <w:bookmarkStart w:id="23" w:name="_Hlk79157822"/>
      <w:r>
        <w:t xml:space="preserve">La tabella successiva riporta i dati sull’avanzamento finanziario </w:t>
      </w:r>
      <w:r w:rsidR="009660F2">
        <w:t xml:space="preserve">delle priorità </w:t>
      </w:r>
      <w:r w:rsidR="004F60E5">
        <w:t xml:space="preserve">rilevanti </w:t>
      </w:r>
      <w:r w:rsidR="009660F2">
        <w:t xml:space="preserve">del </w:t>
      </w:r>
      <w:r w:rsidR="009660F2" w:rsidRPr="006B1999">
        <w:rPr>
          <w:b/>
          <w:bCs/>
        </w:rPr>
        <w:t>PSR FEASR</w:t>
      </w:r>
      <w:r w:rsidR="00BA15C7">
        <w:t xml:space="preserve">. </w:t>
      </w:r>
      <w:r w:rsidR="007D0C2B">
        <w:t xml:space="preserve">Il FEASR contribuisce all’area economica </w:t>
      </w:r>
      <w:r w:rsidR="004F60E5">
        <w:t>con</w:t>
      </w:r>
      <w:r w:rsidR="007D0C2B">
        <w:t xml:space="preserve"> 519,7 milioni di euro, di cui 413,6 milioni di euro afferenti all</w:t>
      </w:r>
      <w:r w:rsidR="00C060AA">
        <w:t xml:space="preserve">a priorità </w:t>
      </w:r>
      <w:r w:rsidR="007D0C2B">
        <w:t xml:space="preserve">II e </w:t>
      </w:r>
      <w:r w:rsidR="00836287">
        <w:t>106,1 milioni di euro relativi all</w:t>
      </w:r>
      <w:r w:rsidR="00C060AA">
        <w:t>a priorità</w:t>
      </w:r>
      <w:r w:rsidR="00836287">
        <w:t xml:space="preserve"> III.</w:t>
      </w:r>
      <w:r w:rsidR="000278FD">
        <w:t xml:space="preserve"> Sebbene l’84,66% delle risorse programmate per l</w:t>
      </w:r>
      <w:r w:rsidR="00C060AA">
        <w:t xml:space="preserve">a priorità </w:t>
      </w:r>
      <w:r w:rsidR="000278FD">
        <w:t>III siano già state impegnate, solamente il 33,11% del programmato è stato speso. La situazione appare leggermente diversa per quanto riguarda l’avanzamento finanziario dell’asse II per il quale il 59,89% del programmato è stato impegnato e il 46,26% rimborsato ai beneficiari</w:t>
      </w:r>
      <w:r w:rsidR="00195785">
        <w:t>, dimostrando che buona parte delle risorse impegnate sono già state pagate.</w:t>
      </w:r>
    </w:p>
    <w:p w14:paraId="10D5E7AA" w14:textId="77777777" w:rsidR="007251AB" w:rsidRDefault="007251AB" w:rsidP="00A65EDF"/>
    <w:p w14:paraId="792520B3" w14:textId="77777777" w:rsidR="007200F8" w:rsidRDefault="007200F8" w:rsidP="007200F8">
      <w:pPr>
        <w:pStyle w:val="Didascalia"/>
      </w:pPr>
      <w:bookmarkStart w:id="24" w:name="_Toc91081431"/>
      <w:r>
        <w:t xml:space="preserve">Tabella </w:t>
      </w:r>
      <w:r w:rsidR="004E6566">
        <w:fldChar w:fldCharType="begin"/>
      </w:r>
      <w:r>
        <w:instrText xml:space="preserve"> SEQ Tabella \* ARABIC </w:instrText>
      </w:r>
      <w:r w:rsidR="004E6566">
        <w:fldChar w:fldCharType="separate"/>
      </w:r>
      <w:r w:rsidR="00E53D6C">
        <w:rPr>
          <w:noProof/>
        </w:rPr>
        <w:t>5</w:t>
      </w:r>
      <w:r w:rsidR="004E6566">
        <w:fldChar w:fldCharType="end"/>
      </w:r>
      <w:r w:rsidR="001230B4">
        <w:t>. A</w:t>
      </w:r>
      <w:r>
        <w:t>vanzamento degli assi FE</w:t>
      </w:r>
      <w:r w:rsidR="00E6345E">
        <w:t>A</w:t>
      </w:r>
      <w:r>
        <w:t>SR - Area economica – fine 2020</w:t>
      </w:r>
      <w:bookmarkEnd w:id="24"/>
    </w:p>
    <w:tbl>
      <w:tblPr>
        <w:tblW w:w="9808" w:type="dxa"/>
        <w:tblLayout w:type="fixed"/>
        <w:tblLook w:val="04A0" w:firstRow="1" w:lastRow="0" w:firstColumn="1" w:lastColumn="0" w:noHBand="0" w:noVBand="1"/>
      </w:tblPr>
      <w:tblGrid>
        <w:gridCol w:w="3742"/>
        <w:gridCol w:w="1361"/>
        <w:gridCol w:w="1304"/>
        <w:gridCol w:w="1361"/>
        <w:gridCol w:w="1020"/>
        <w:gridCol w:w="1020"/>
      </w:tblGrid>
      <w:tr w:rsidR="008A282D" w:rsidRPr="00CD5649" w14:paraId="4F0DAF6F" w14:textId="77777777" w:rsidTr="00736089">
        <w:trPr>
          <w:trHeight w:val="345"/>
        </w:trPr>
        <w:tc>
          <w:tcPr>
            <w:tcW w:w="3742" w:type="dxa"/>
            <w:tcBorders>
              <w:top w:val="nil"/>
              <w:left w:val="nil"/>
              <w:bottom w:val="nil"/>
              <w:right w:val="nil"/>
            </w:tcBorders>
            <w:shd w:val="clear" w:color="auto" w:fill="669748" w:themeFill="accent2" w:themeFillShade="BF"/>
            <w:noWrap/>
            <w:vAlign w:val="bottom"/>
            <w:hideMark/>
          </w:tcPr>
          <w:p w14:paraId="206458DB" w14:textId="77777777" w:rsidR="008A282D" w:rsidRPr="00CD5649" w:rsidRDefault="008A282D" w:rsidP="008A282D">
            <w:pPr>
              <w:jc w:val="left"/>
              <w:rPr>
                <w:rFonts w:eastAsia="Times New Roman" w:cs="Calibri"/>
                <w:b/>
                <w:bCs/>
                <w:color w:val="FFFFFF"/>
                <w:sz w:val="16"/>
                <w:szCs w:val="16"/>
                <w:lang w:eastAsia="en-US"/>
              </w:rPr>
            </w:pPr>
            <w:bookmarkStart w:id="25" w:name="_Hlk86745835"/>
            <w:r w:rsidRPr="00CD5649">
              <w:rPr>
                <w:rFonts w:eastAsia="Times New Roman" w:cs="Calibri"/>
                <w:b/>
                <w:bCs/>
                <w:color w:val="FFFFFF"/>
                <w:sz w:val="16"/>
                <w:szCs w:val="16"/>
                <w:lang w:eastAsia="en-US"/>
              </w:rPr>
              <w:t>Area</w:t>
            </w:r>
          </w:p>
        </w:tc>
        <w:tc>
          <w:tcPr>
            <w:tcW w:w="1361" w:type="dxa"/>
            <w:tcBorders>
              <w:top w:val="nil"/>
              <w:left w:val="nil"/>
              <w:bottom w:val="nil"/>
              <w:right w:val="nil"/>
            </w:tcBorders>
            <w:shd w:val="clear" w:color="auto" w:fill="669748" w:themeFill="accent2" w:themeFillShade="BF"/>
            <w:noWrap/>
            <w:vAlign w:val="bottom"/>
            <w:hideMark/>
          </w:tcPr>
          <w:p w14:paraId="44B19DB4" w14:textId="77777777" w:rsidR="008A282D" w:rsidRPr="00CD5649" w:rsidRDefault="008A282D" w:rsidP="00033A16">
            <w:pPr>
              <w:jc w:val="right"/>
              <w:rPr>
                <w:rFonts w:eastAsia="Times New Roman" w:cs="Calibri"/>
                <w:b/>
                <w:bCs/>
                <w:color w:val="FFFFFF"/>
                <w:sz w:val="16"/>
                <w:szCs w:val="16"/>
                <w:lang w:eastAsia="en-US"/>
              </w:rPr>
            </w:pPr>
            <w:r w:rsidRPr="00CD5649">
              <w:rPr>
                <w:rFonts w:eastAsia="Times New Roman" w:cs="Calibri"/>
                <w:b/>
                <w:bCs/>
                <w:color w:val="FFFFFF"/>
                <w:sz w:val="16"/>
                <w:szCs w:val="16"/>
                <w:lang w:eastAsia="en-US"/>
              </w:rPr>
              <w:t>A - Importo programmato</w:t>
            </w:r>
            <w:r w:rsidRPr="00CD5649">
              <w:rPr>
                <w:rFonts w:eastAsia="Times New Roman" w:cs="Calibri"/>
                <w:b/>
                <w:bCs/>
                <w:color w:val="FFFFFF"/>
                <w:sz w:val="16"/>
                <w:szCs w:val="16"/>
                <w:vertAlign w:val="superscript"/>
                <w:lang w:eastAsia="en-US"/>
              </w:rPr>
              <w:t>1</w:t>
            </w:r>
          </w:p>
        </w:tc>
        <w:tc>
          <w:tcPr>
            <w:tcW w:w="1304" w:type="dxa"/>
            <w:tcBorders>
              <w:top w:val="nil"/>
              <w:left w:val="nil"/>
              <w:bottom w:val="nil"/>
              <w:right w:val="nil"/>
            </w:tcBorders>
            <w:shd w:val="clear" w:color="auto" w:fill="669748" w:themeFill="accent2" w:themeFillShade="BF"/>
            <w:noWrap/>
            <w:vAlign w:val="bottom"/>
            <w:hideMark/>
          </w:tcPr>
          <w:p w14:paraId="6CFBDB8E" w14:textId="77777777" w:rsidR="008A282D" w:rsidRPr="00CD5649" w:rsidRDefault="008A282D" w:rsidP="00033A16">
            <w:pPr>
              <w:jc w:val="right"/>
              <w:rPr>
                <w:rFonts w:eastAsia="Times New Roman" w:cs="Calibri"/>
                <w:b/>
                <w:bCs/>
                <w:color w:val="FFFFFF"/>
                <w:sz w:val="16"/>
                <w:szCs w:val="16"/>
                <w:lang w:eastAsia="en-US"/>
              </w:rPr>
            </w:pPr>
            <w:r w:rsidRPr="00CD5649">
              <w:rPr>
                <w:rFonts w:eastAsia="Times New Roman" w:cs="Calibri"/>
                <w:b/>
                <w:bCs/>
                <w:color w:val="FFFFFF"/>
                <w:sz w:val="16"/>
                <w:szCs w:val="16"/>
                <w:lang w:eastAsia="en-US"/>
              </w:rPr>
              <w:t>B - Importo impegnato</w:t>
            </w:r>
          </w:p>
        </w:tc>
        <w:tc>
          <w:tcPr>
            <w:tcW w:w="1361" w:type="dxa"/>
            <w:tcBorders>
              <w:top w:val="nil"/>
              <w:left w:val="nil"/>
              <w:bottom w:val="nil"/>
              <w:right w:val="nil"/>
            </w:tcBorders>
            <w:shd w:val="clear" w:color="auto" w:fill="669748" w:themeFill="accent2" w:themeFillShade="BF"/>
            <w:noWrap/>
            <w:vAlign w:val="bottom"/>
            <w:hideMark/>
          </w:tcPr>
          <w:p w14:paraId="1522B646" w14:textId="77777777" w:rsidR="008A282D" w:rsidRPr="00CD5649" w:rsidRDefault="008A282D" w:rsidP="00033A16">
            <w:pPr>
              <w:jc w:val="right"/>
              <w:rPr>
                <w:rFonts w:eastAsia="Times New Roman" w:cs="Calibri"/>
                <w:b/>
                <w:bCs/>
                <w:color w:val="FFFFFF"/>
                <w:sz w:val="16"/>
                <w:szCs w:val="16"/>
                <w:lang w:eastAsia="en-US"/>
              </w:rPr>
            </w:pPr>
            <w:r w:rsidRPr="00CD5649">
              <w:rPr>
                <w:rFonts w:eastAsia="Times New Roman" w:cs="Calibri"/>
                <w:b/>
                <w:bCs/>
                <w:color w:val="FFFFFF"/>
                <w:sz w:val="16"/>
                <w:szCs w:val="16"/>
                <w:lang w:eastAsia="en-US"/>
              </w:rPr>
              <w:t>C - Spesa ammissibile dichiarata da</w:t>
            </w:r>
            <w:r w:rsidR="00BE1F60" w:rsidRPr="00CD5649">
              <w:rPr>
                <w:rFonts w:eastAsia="Times New Roman" w:cs="Calibri"/>
                <w:b/>
                <w:bCs/>
                <w:color w:val="FFFFFF"/>
                <w:sz w:val="16"/>
                <w:szCs w:val="16"/>
                <w:lang w:eastAsia="en-US"/>
              </w:rPr>
              <w:t>i</w:t>
            </w:r>
            <w:r w:rsidRPr="00CD5649">
              <w:rPr>
                <w:rFonts w:eastAsia="Times New Roman" w:cs="Calibri"/>
                <w:b/>
                <w:bCs/>
                <w:color w:val="FFFFFF"/>
                <w:sz w:val="16"/>
                <w:szCs w:val="16"/>
                <w:lang w:eastAsia="en-US"/>
              </w:rPr>
              <w:t xml:space="preserve"> beneficiari</w:t>
            </w:r>
          </w:p>
        </w:tc>
        <w:tc>
          <w:tcPr>
            <w:tcW w:w="1020" w:type="dxa"/>
            <w:tcBorders>
              <w:top w:val="nil"/>
              <w:left w:val="nil"/>
              <w:bottom w:val="nil"/>
              <w:right w:val="nil"/>
            </w:tcBorders>
            <w:shd w:val="clear" w:color="auto" w:fill="669748" w:themeFill="accent2" w:themeFillShade="BF"/>
            <w:noWrap/>
            <w:vAlign w:val="bottom"/>
            <w:hideMark/>
          </w:tcPr>
          <w:p w14:paraId="6FB74D41" w14:textId="77777777" w:rsidR="008A282D" w:rsidRPr="00CD5649" w:rsidRDefault="008A282D" w:rsidP="00033A16">
            <w:pPr>
              <w:jc w:val="right"/>
              <w:rPr>
                <w:rFonts w:eastAsia="Times New Roman" w:cs="Calibri"/>
                <w:b/>
                <w:bCs/>
                <w:color w:val="FFFFFF"/>
                <w:sz w:val="16"/>
                <w:szCs w:val="16"/>
                <w:lang w:eastAsia="en-US"/>
              </w:rPr>
            </w:pPr>
            <w:r w:rsidRPr="00CD5649">
              <w:rPr>
                <w:rFonts w:eastAsia="Times New Roman" w:cs="Calibri"/>
                <w:b/>
                <w:bCs/>
                <w:color w:val="FFFFFF"/>
                <w:sz w:val="16"/>
                <w:szCs w:val="16"/>
                <w:lang w:eastAsia="en-US"/>
              </w:rPr>
              <w:t>B/A - % impegnato</w:t>
            </w:r>
          </w:p>
        </w:tc>
        <w:tc>
          <w:tcPr>
            <w:tcW w:w="1020" w:type="dxa"/>
            <w:tcBorders>
              <w:top w:val="nil"/>
              <w:left w:val="nil"/>
              <w:bottom w:val="nil"/>
              <w:right w:val="nil"/>
            </w:tcBorders>
            <w:shd w:val="clear" w:color="auto" w:fill="669748" w:themeFill="accent2" w:themeFillShade="BF"/>
            <w:noWrap/>
            <w:vAlign w:val="bottom"/>
            <w:hideMark/>
          </w:tcPr>
          <w:p w14:paraId="661BAECC" w14:textId="77777777" w:rsidR="008A282D" w:rsidRPr="00CD5649" w:rsidRDefault="008A282D" w:rsidP="00033A16">
            <w:pPr>
              <w:jc w:val="right"/>
              <w:rPr>
                <w:rFonts w:eastAsia="Times New Roman" w:cs="Calibri"/>
                <w:b/>
                <w:bCs/>
                <w:color w:val="FFFFFF"/>
                <w:sz w:val="16"/>
                <w:szCs w:val="16"/>
                <w:lang w:eastAsia="en-US"/>
              </w:rPr>
            </w:pPr>
            <w:r w:rsidRPr="00CD5649">
              <w:rPr>
                <w:rFonts w:eastAsia="Times New Roman" w:cs="Calibri"/>
                <w:b/>
                <w:bCs/>
                <w:color w:val="FFFFFF"/>
                <w:sz w:val="16"/>
                <w:szCs w:val="16"/>
                <w:lang w:eastAsia="en-US"/>
              </w:rPr>
              <w:t>C/A - % speso</w:t>
            </w:r>
          </w:p>
        </w:tc>
      </w:tr>
      <w:tr w:rsidR="005E18CC" w:rsidRPr="00CD5649" w14:paraId="368E0980" w14:textId="77777777" w:rsidTr="00AF3126">
        <w:trPr>
          <w:trHeight w:val="300"/>
        </w:trPr>
        <w:tc>
          <w:tcPr>
            <w:tcW w:w="3742" w:type="dxa"/>
            <w:tcBorders>
              <w:top w:val="nil"/>
              <w:left w:val="nil"/>
              <w:bottom w:val="single" w:sz="4" w:space="0" w:color="305496"/>
              <w:right w:val="nil"/>
            </w:tcBorders>
            <w:shd w:val="clear" w:color="000000" w:fill="E7E6E6"/>
            <w:noWrap/>
            <w:vAlign w:val="bottom"/>
            <w:hideMark/>
          </w:tcPr>
          <w:p w14:paraId="5B1021AB" w14:textId="77777777" w:rsidR="005E18CC" w:rsidRPr="00CD5649" w:rsidRDefault="005E18CC" w:rsidP="005E18CC">
            <w:pPr>
              <w:jc w:val="left"/>
              <w:rPr>
                <w:rFonts w:eastAsia="Times New Roman" w:cs="Calibri"/>
                <w:b/>
                <w:bCs/>
                <w:color w:val="000000"/>
                <w:sz w:val="16"/>
                <w:szCs w:val="16"/>
                <w:lang w:eastAsia="en-US"/>
              </w:rPr>
            </w:pPr>
            <w:r w:rsidRPr="00CD5649">
              <w:rPr>
                <w:rFonts w:eastAsia="Times New Roman" w:cs="Calibri"/>
                <w:b/>
                <w:bCs/>
                <w:color w:val="000000"/>
                <w:sz w:val="16"/>
                <w:szCs w:val="16"/>
                <w:lang w:eastAsia="en-US"/>
              </w:rPr>
              <w:t>Area economica</w:t>
            </w:r>
          </w:p>
        </w:tc>
        <w:tc>
          <w:tcPr>
            <w:tcW w:w="1361" w:type="dxa"/>
            <w:tcBorders>
              <w:top w:val="nil"/>
              <w:left w:val="nil"/>
              <w:bottom w:val="single" w:sz="4" w:space="0" w:color="305496"/>
              <w:right w:val="nil"/>
            </w:tcBorders>
            <w:shd w:val="clear" w:color="000000" w:fill="E7E6E6"/>
            <w:noWrap/>
            <w:vAlign w:val="bottom"/>
            <w:hideMark/>
          </w:tcPr>
          <w:p w14:paraId="14E88FFD" w14:textId="1A0EACBD" w:rsidR="005E18CC" w:rsidRPr="00CD5649" w:rsidRDefault="005E18CC" w:rsidP="00B02AF1">
            <w:pPr>
              <w:jc w:val="right"/>
              <w:rPr>
                <w:rFonts w:eastAsia="Times New Roman" w:cs="Calibri"/>
                <w:b/>
                <w:bCs/>
                <w:color w:val="000000"/>
                <w:sz w:val="16"/>
                <w:szCs w:val="16"/>
                <w:lang w:eastAsia="en-US"/>
              </w:rPr>
            </w:pPr>
            <w:r w:rsidRPr="00CD5649">
              <w:rPr>
                <w:rFonts w:eastAsia="Times New Roman" w:cs="Calibri"/>
                <w:b/>
                <w:bCs/>
                <w:color w:val="000000"/>
                <w:sz w:val="16"/>
                <w:szCs w:val="16"/>
                <w:lang w:eastAsia="en-US"/>
              </w:rPr>
              <w:t>519.72</w:t>
            </w:r>
            <w:r w:rsidR="00B02AF1">
              <w:rPr>
                <w:rFonts w:eastAsia="Times New Roman" w:cs="Calibri"/>
                <w:b/>
                <w:bCs/>
                <w:color w:val="000000"/>
                <w:sz w:val="16"/>
                <w:szCs w:val="16"/>
                <w:lang w:eastAsia="en-US"/>
              </w:rPr>
              <w:t>0</w:t>
            </w:r>
            <w:r w:rsidRPr="00CD5649">
              <w:rPr>
                <w:rFonts w:eastAsia="Times New Roman" w:cs="Calibri"/>
                <w:b/>
                <w:bCs/>
                <w:color w:val="000000"/>
                <w:sz w:val="16"/>
                <w:szCs w:val="16"/>
                <w:lang w:eastAsia="en-US"/>
              </w:rPr>
              <w:t>.</w:t>
            </w:r>
            <w:r w:rsidR="00B02AF1">
              <w:rPr>
                <w:rFonts w:eastAsia="Times New Roman" w:cs="Calibri"/>
                <w:b/>
                <w:bCs/>
                <w:color w:val="000000"/>
                <w:sz w:val="16"/>
                <w:szCs w:val="16"/>
                <w:lang w:eastAsia="en-US"/>
              </w:rPr>
              <w:t>000</w:t>
            </w:r>
            <w:r w:rsidRPr="00CD5649">
              <w:rPr>
                <w:rFonts w:eastAsia="Times New Roman" w:cs="Calibri"/>
                <w:b/>
                <w:bCs/>
                <w:color w:val="000000"/>
                <w:sz w:val="16"/>
                <w:szCs w:val="16"/>
                <w:lang w:eastAsia="en-US"/>
              </w:rPr>
              <w:t>,</w:t>
            </w:r>
            <w:r w:rsidR="00B02AF1">
              <w:rPr>
                <w:rFonts w:eastAsia="Times New Roman" w:cs="Calibri"/>
                <w:b/>
                <w:bCs/>
                <w:color w:val="000000"/>
                <w:sz w:val="16"/>
                <w:szCs w:val="16"/>
                <w:lang w:eastAsia="en-US"/>
              </w:rPr>
              <w:t>00</w:t>
            </w:r>
          </w:p>
        </w:tc>
        <w:tc>
          <w:tcPr>
            <w:tcW w:w="1304" w:type="dxa"/>
            <w:tcBorders>
              <w:top w:val="nil"/>
              <w:left w:val="nil"/>
              <w:bottom w:val="single" w:sz="4" w:space="0" w:color="305496"/>
              <w:right w:val="nil"/>
            </w:tcBorders>
            <w:shd w:val="clear" w:color="000000" w:fill="E7E6E6"/>
            <w:noWrap/>
            <w:vAlign w:val="bottom"/>
            <w:hideMark/>
          </w:tcPr>
          <w:p w14:paraId="38E8A1D8" w14:textId="40059C10" w:rsidR="005E18CC" w:rsidRPr="00CD5649" w:rsidRDefault="00B02AF1" w:rsidP="00033A16">
            <w:pPr>
              <w:jc w:val="right"/>
              <w:rPr>
                <w:rFonts w:eastAsia="Times New Roman" w:cs="Calibri"/>
                <w:b/>
                <w:bCs/>
                <w:color w:val="000000"/>
                <w:sz w:val="16"/>
                <w:szCs w:val="16"/>
                <w:lang w:eastAsia="en-US"/>
              </w:rPr>
            </w:pPr>
            <w:r w:rsidRPr="00B02AF1">
              <w:rPr>
                <w:rFonts w:eastAsia="Times New Roman" w:cs="Calibri"/>
                <w:b/>
                <w:bCs/>
                <w:color w:val="000000"/>
                <w:sz w:val="16"/>
                <w:szCs w:val="16"/>
                <w:lang w:eastAsia="en-US"/>
              </w:rPr>
              <w:t>560.589.927,53</w:t>
            </w:r>
          </w:p>
        </w:tc>
        <w:tc>
          <w:tcPr>
            <w:tcW w:w="1361" w:type="dxa"/>
            <w:tcBorders>
              <w:top w:val="nil"/>
              <w:left w:val="nil"/>
              <w:bottom w:val="single" w:sz="4" w:space="0" w:color="305496"/>
              <w:right w:val="nil"/>
            </w:tcBorders>
            <w:shd w:val="clear" w:color="000000" w:fill="E7E6E6"/>
            <w:noWrap/>
            <w:vAlign w:val="bottom"/>
            <w:hideMark/>
          </w:tcPr>
          <w:p w14:paraId="4F95B981" w14:textId="77777777" w:rsidR="005E18CC" w:rsidRPr="00CD5649" w:rsidRDefault="005E18CC" w:rsidP="00033A16">
            <w:pPr>
              <w:jc w:val="right"/>
              <w:rPr>
                <w:rFonts w:eastAsia="Times New Roman" w:cs="Calibri"/>
                <w:b/>
                <w:bCs/>
                <w:color w:val="000000"/>
                <w:sz w:val="16"/>
                <w:szCs w:val="16"/>
                <w:lang w:eastAsia="en-US"/>
              </w:rPr>
            </w:pPr>
            <w:r w:rsidRPr="00CD5649">
              <w:rPr>
                <w:rFonts w:eastAsia="Times New Roman" w:cs="Calibri"/>
                <w:b/>
                <w:bCs/>
                <w:color w:val="000000"/>
                <w:sz w:val="16"/>
                <w:szCs w:val="16"/>
                <w:lang w:eastAsia="en-US"/>
              </w:rPr>
              <w:t>226.455.039,12</w:t>
            </w:r>
          </w:p>
        </w:tc>
        <w:tc>
          <w:tcPr>
            <w:tcW w:w="1020" w:type="dxa"/>
            <w:tcBorders>
              <w:top w:val="nil"/>
              <w:left w:val="nil"/>
              <w:bottom w:val="single" w:sz="4" w:space="0" w:color="305496"/>
              <w:right w:val="nil"/>
            </w:tcBorders>
            <w:shd w:val="clear" w:color="000000" w:fill="E7E6E6"/>
            <w:noWrap/>
            <w:vAlign w:val="bottom"/>
            <w:hideMark/>
          </w:tcPr>
          <w:p w14:paraId="3DFA6221" w14:textId="7D83AF85" w:rsidR="005E18CC" w:rsidRPr="00CD5649" w:rsidRDefault="00B02AF1" w:rsidP="00B02AF1">
            <w:pPr>
              <w:jc w:val="right"/>
              <w:rPr>
                <w:rFonts w:eastAsia="Times New Roman" w:cs="Calibri"/>
                <w:b/>
                <w:bCs/>
                <w:color w:val="000000"/>
                <w:sz w:val="16"/>
                <w:szCs w:val="16"/>
                <w:lang w:eastAsia="en-US"/>
              </w:rPr>
            </w:pPr>
            <w:r>
              <w:rPr>
                <w:rFonts w:eastAsia="Times New Roman" w:cs="Calibri"/>
                <w:b/>
                <w:bCs/>
                <w:color w:val="000000"/>
                <w:sz w:val="16"/>
                <w:szCs w:val="16"/>
                <w:lang w:eastAsia="en-US"/>
              </w:rPr>
              <w:t>107</w:t>
            </w:r>
            <w:r w:rsidR="005E18CC" w:rsidRPr="00CD5649">
              <w:rPr>
                <w:rFonts w:eastAsia="Times New Roman" w:cs="Calibri"/>
                <w:b/>
                <w:bCs/>
                <w:color w:val="000000"/>
                <w:sz w:val="16"/>
                <w:szCs w:val="16"/>
                <w:lang w:eastAsia="en-US"/>
              </w:rPr>
              <w:t>,</w:t>
            </w:r>
            <w:r>
              <w:rPr>
                <w:rFonts w:eastAsia="Times New Roman" w:cs="Calibri"/>
                <w:b/>
                <w:bCs/>
                <w:color w:val="000000"/>
                <w:sz w:val="16"/>
                <w:szCs w:val="16"/>
                <w:lang w:eastAsia="en-US"/>
              </w:rPr>
              <w:t>86</w:t>
            </w:r>
            <w:r w:rsidR="005E18CC" w:rsidRPr="00CD5649">
              <w:rPr>
                <w:rFonts w:eastAsia="Times New Roman" w:cs="Calibri"/>
                <w:b/>
                <w:bCs/>
                <w:color w:val="000000"/>
                <w:sz w:val="16"/>
                <w:szCs w:val="16"/>
                <w:lang w:eastAsia="en-US"/>
              </w:rPr>
              <w:t>%</w:t>
            </w:r>
          </w:p>
        </w:tc>
        <w:tc>
          <w:tcPr>
            <w:tcW w:w="1020" w:type="dxa"/>
            <w:tcBorders>
              <w:top w:val="nil"/>
              <w:left w:val="nil"/>
              <w:bottom w:val="single" w:sz="4" w:space="0" w:color="305496"/>
              <w:right w:val="nil"/>
            </w:tcBorders>
            <w:shd w:val="clear" w:color="000000" w:fill="E7E6E6"/>
            <w:noWrap/>
            <w:vAlign w:val="bottom"/>
            <w:hideMark/>
          </w:tcPr>
          <w:p w14:paraId="499364C7" w14:textId="77777777" w:rsidR="005E18CC" w:rsidRPr="00CD5649" w:rsidRDefault="005E18CC" w:rsidP="00033A16">
            <w:pPr>
              <w:jc w:val="right"/>
              <w:rPr>
                <w:rFonts w:eastAsia="Times New Roman" w:cs="Calibri"/>
                <w:b/>
                <w:bCs/>
                <w:color w:val="000000"/>
                <w:sz w:val="16"/>
                <w:szCs w:val="16"/>
                <w:lang w:eastAsia="en-US"/>
              </w:rPr>
            </w:pPr>
            <w:r w:rsidRPr="00CD5649">
              <w:rPr>
                <w:rFonts w:eastAsia="Times New Roman" w:cs="Calibri"/>
                <w:b/>
                <w:bCs/>
                <w:color w:val="000000"/>
                <w:sz w:val="16"/>
                <w:szCs w:val="16"/>
                <w:lang w:eastAsia="en-US"/>
              </w:rPr>
              <w:t>43,57%</w:t>
            </w:r>
          </w:p>
        </w:tc>
      </w:tr>
      <w:tr w:rsidR="005E18CC" w:rsidRPr="00CD5649" w14:paraId="43CC4BD5" w14:textId="77777777" w:rsidTr="00AF3126">
        <w:trPr>
          <w:trHeight w:val="300"/>
        </w:trPr>
        <w:tc>
          <w:tcPr>
            <w:tcW w:w="3742" w:type="dxa"/>
            <w:tcBorders>
              <w:top w:val="nil"/>
              <w:left w:val="nil"/>
              <w:bottom w:val="nil"/>
              <w:right w:val="nil"/>
            </w:tcBorders>
            <w:shd w:val="clear" w:color="auto" w:fill="auto"/>
            <w:noWrap/>
            <w:vAlign w:val="bottom"/>
            <w:hideMark/>
          </w:tcPr>
          <w:p w14:paraId="020F39DD" w14:textId="77777777" w:rsidR="005E18CC" w:rsidRPr="00CD5649" w:rsidRDefault="005E18CC" w:rsidP="005E18CC">
            <w:pPr>
              <w:jc w:val="left"/>
              <w:rPr>
                <w:rFonts w:eastAsia="Times New Roman" w:cs="Calibri"/>
                <w:color w:val="000000"/>
                <w:sz w:val="16"/>
                <w:szCs w:val="16"/>
                <w:lang w:eastAsia="en-US"/>
              </w:rPr>
            </w:pPr>
            <w:r w:rsidRPr="00CD5649">
              <w:rPr>
                <w:rFonts w:eastAsia="Times New Roman" w:cs="Calibri"/>
                <w:color w:val="000000"/>
                <w:sz w:val="16"/>
                <w:szCs w:val="16"/>
                <w:lang w:eastAsia="en-US"/>
              </w:rPr>
              <w:t>II - Competitività e redditività delle aziende agricole, gestione sostenibile delle foreste</w:t>
            </w:r>
          </w:p>
        </w:tc>
        <w:tc>
          <w:tcPr>
            <w:tcW w:w="1361" w:type="dxa"/>
            <w:tcBorders>
              <w:top w:val="nil"/>
              <w:left w:val="nil"/>
              <w:bottom w:val="nil"/>
              <w:right w:val="nil"/>
            </w:tcBorders>
            <w:shd w:val="clear" w:color="auto" w:fill="auto"/>
            <w:noWrap/>
            <w:vAlign w:val="bottom"/>
            <w:hideMark/>
          </w:tcPr>
          <w:p w14:paraId="1D2B75E8" w14:textId="2F72B819" w:rsidR="005E18CC" w:rsidRPr="00CD5649" w:rsidRDefault="00B02AF1" w:rsidP="00033A16">
            <w:pPr>
              <w:jc w:val="right"/>
              <w:rPr>
                <w:rFonts w:eastAsia="Times New Roman" w:cs="Calibri"/>
                <w:color w:val="000000"/>
                <w:sz w:val="16"/>
                <w:szCs w:val="16"/>
                <w:lang w:eastAsia="en-US"/>
              </w:rPr>
            </w:pPr>
            <w:r w:rsidRPr="00B02AF1">
              <w:rPr>
                <w:rFonts w:eastAsia="Times New Roman" w:cs="Calibri"/>
                <w:color w:val="000000"/>
                <w:sz w:val="16"/>
                <w:szCs w:val="16"/>
                <w:lang w:eastAsia="en-US"/>
              </w:rPr>
              <w:t>413.570.000,00</w:t>
            </w:r>
          </w:p>
        </w:tc>
        <w:tc>
          <w:tcPr>
            <w:tcW w:w="1304" w:type="dxa"/>
            <w:tcBorders>
              <w:top w:val="nil"/>
              <w:left w:val="nil"/>
              <w:bottom w:val="nil"/>
              <w:right w:val="nil"/>
            </w:tcBorders>
            <w:shd w:val="clear" w:color="auto" w:fill="auto"/>
            <w:noWrap/>
            <w:vAlign w:val="bottom"/>
            <w:hideMark/>
          </w:tcPr>
          <w:p w14:paraId="2756F59D" w14:textId="1CE0B6E4" w:rsidR="005E18CC" w:rsidRPr="00CD5649" w:rsidRDefault="00B02AF1" w:rsidP="00033A16">
            <w:pPr>
              <w:jc w:val="right"/>
              <w:rPr>
                <w:rFonts w:eastAsia="Times New Roman" w:cs="Calibri"/>
                <w:color w:val="000000"/>
                <w:sz w:val="16"/>
                <w:szCs w:val="16"/>
                <w:lang w:eastAsia="en-US"/>
              </w:rPr>
            </w:pPr>
            <w:r w:rsidRPr="00B02AF1">
              <w:rPr>
                <w:rFonts w:eastAsia="Times New Roman" w:cs="Calibri"/>
                <w:color w:val="000000"/>
                <w:sz w:val="16"/>
                <w:szCs w:val="16"/>
                <w:lang w:eastAsia="en-US"/>
              </w:rPr>
              <w:t>451.230.206,73</w:t>
            </w:r>
          </w:p>
        </w:tc>
        <w:tc>
          <w:tcPr>
            <w:tcW w:w="1361" w:type="dxa"/>
            <w:tcBorders>
              <w:top w:val="nil"/>
              <w:left w:val="nil"/>
              <w:bottom w:val="nil"/>
              <w:right w:val="nil"/>
            </w:tcBorders>
            <w:shd w:val="clear" w:color="auto" w:fill="auto"/>
            <w:noWrap/>
            <w:vAlign w:val="bottom"/>
            <w:hideMark/>
          </w:tcPr>
          <w:p w14:paraId="4E195895" w14:textId="77777777" w:rsidR="005E18CC" w:rsidRPr="00CD5649" w:rsidRDefault="005E18CC" w:rsidP="00033A16">
            <w:pPr>
              <w:jc w:val="right"/>
              <w:rPr>
                <w:rFonts w:eastAsia="Times New Roman" w:cs="Calibri"/>
                <w:color w:val="000000"/>
                <w:sz w:val="16"/>
                <w:szCs w:val="16"/>
                <w:lang w:eastAsia="en-US"/>
              </w:rPr>
            </w:pPr>
            <w:r w:rsidRPr="00CD5649">
              <w:rPr>
                <w:rFonts w:eastAsia="Times New Roman" w:cs="Calibri"/>
                <w:color w:val="000000"/>
                <w:sz w:val="16"/>
                <w:szCs w:val="16"/>
                <w:lang w:eastAsia="en-US"/>
              </w:rPr>
              <w:t>191.310.970,87</w:t>
            </w:r>
          </w:p>
        </w:tc>
        <w:tc>
          <w:tcPr>
            <w:tcW w:w="1020" w:type="dxa"/>
            <w:tcBorders>
              <w:top w:val="nil"/>
              <w:left w:val="nil"/>
              <w:bottom w:val="nil"/>
              <w:right w:val="nil"/>
            </w:tcBorders>
            <w:shd w:val="clear" w:color="auto" w:fill="auto"/>
            <w:noWrap/>
            <w:vAlign w:val="bottom"/>
            <w:hideMark/>
          </w:tcPr>
          <w:p w14:paraId="3D683015" w14:textId="4D4A6939" w:rsidR="005E18CC" w:rsidRPr="00CD5649" w:rsidRDefault="00B02AF1" w:rsidP="00B02AF1">
            <w:pPr>
              <w:jc w:val="right"/>
              <w:rPr>
                <w:rFonts w:eastAsia="Times New Roman" w:cs="Calibri"/>
                <w:color w:val="000000"/>
                <w:sz w:val="16"/>
                <w:szCs w:val="16"/>
                <w:lang w:eastAsia="en-US"/>
              </w:rPr>
            </w:pPr>
            <w:r>
              <w:rPr>
                <w:rFonts w:eastAsia="Times New Roman" w:cs="Calibri"/>
                <w:color w:val="000000"/>
                <w:sz w:val="16"/>
                <w:szCs w:val="16"/>
                <w:lang w:eastAsia="en-US"/>
              </w:rPr>
              <w:t>10</w:t>
            </w:r>
            <w:r w:rsidRPr="00CD5649">
              <w:rPr>
                <w:rFonts w:eastAsia="Times New Roman" w:cs="Calibri"/>
                <w:color w:val="000000"/>
                <w:sz w:val="16"/>
                <w:szCs w:val="16"/>
                <w:lang w:eastAsia="en-US"/>
              </w:rPr>
              <w:t>9</w:t>
            </w:r>
            <w:r w:rsidR="005E18CC" w:rsidRPr="00CD5649">
              <w:rPr>
                <w:rFonts w:eastAsia="Times New Roman" w:cs="Calibri"/>
                <w:color w:val="000000"/>
                <w:sz w:val="16"/>
                <w:szCs w:val="16"/>
                <w:lang w:eastAsia="en-US"/>
              </w:rPr>
              <w:t>,</w:t>
            </w:r>
            <w:r>
              <w:rPr>
                <w:rFonts w:eastAsia="Times New Roman" w:cs="Calibri"/>
                <w:color w:val="000000"/>
                <w:sz w:val="16"/>
                <w:szCs w:val="16"/>
                <w:lang w:eastAsia="en-US"/>
              </w:rPr>
              <w:t>11</w:t>
            </w:r>
            <w:r w:rsidR="005E18CC" w:rsidRPr="00CD5649">
              <w:rPr>
                <w:rFonts w:eastAsia="Times New Roman" w:cs="Calibri"/>
                <w:color w:val="000000"/>
                <w:sz w:val="16"/>
                <w:szCs w:val="16"/>
                <w:lang w:eastAsia="en-US"/>
              </w:rPr>
              <w:t>%</w:t>
            </w:r>
          </w:p>
        </w:tc>
        <w:tc>
          <w:tcPr>
            <w:tcW w:w="1020" w:type="dxa"/>
            <w:tcBorders>
              <w:top w:val="nil"/>
              <w:left w:val="nil"/>
              <w:bottom w:val="nil"/>
              <w:right w:val="nil"/>
            </w:tcBorders>
            <w:shd w:val="clear" w:color="auto" w:fill="auto"/>
            <w:noWrap/>
            <w:vAlign w:val="bottom"/>
            <w:hideMark/>
          </w:tcPr>
          <w:p w14:paraId="61097B4E" w14:textId="77777777" w:rsidR="005E18CC" w:rsidRPr="00CD5649" w:rsidRDefault="005E18CC" w:rsidP="00033A16">
            <w:pPr>
              <w:jc w:val="right"/>
              <w:rPr>
                <w:rFonts w:eastAsia="Times New Roman" w:cs="Calibri"/>
                <w:color w:val="000000"/>
                <w:sz w:val="16"/>
                <w:szCs w:val="16"/>
                <w:lang w:eastAsia="en-US"/>
              </w:rPr>
            </w:pPr>
            <w:r w:rsidRPr="00CD5649">
              <w:rPr>
                <w:rFonts w:eastAsia="Times New Roman" w:cs="Calibri"/>
                <w:color w:val="000000"/>
                <w:sz w:val="16"/>
                <w:szCs w:val="16"/>
                <w:lang w:eastAsia="en-US"/>
              </w:rPr>
              <w:t>46,26%</w:t>
            </w:r>
          </w:p>
        </w:tc>
      </w:tr>
      <w:tr w:rsidR="005E18CC" w:rsidRPr="00CD5649" w14:paraId="3D14F2F3" w14:textId="77777777" w:rsidTr="00AF3126">
        <w:trPr>
          <w:trHeight w:val="300"/>
        </w:trPr>
        <w:tc>
          <w:tcPr>
            <w:tcW w:w="3742" w:type="dxa"/>
            <w:tcBorders>
              <w:top w:val="nil"/>
              <w:left w:val="nil"/>
              <w:bottom w:val="single" w:sz="4" w:space="0" w:color="305496"/>
              <w:right w:val="nil"/>
            </w:tcBorders>
            <w:shd w:val="clear" w:color="auto" w:fill="auto"/>
            <w:noWrap/>
            <w:vAlign w:val="bottom"/>
            <w:hideMark/>
          </w:tcPr>
          <w:p w14:paraId="0F8604D2" w14:textId="77777777" w:rsidR="005E18CC" w:rsidRPr="00CD5649" w:rsidRDefault="005E18CC" w:rsidP="005E18CC">
            <w:pPr>
              <w:jc w:val="left"/>
              <w:rPr>
                <w:rFonts w:eastAsia="Times New Roman" w:cs="Calibri"/>
                <w:color w:val="000000"/>
                <w:sz w:val="16"/>
                <w:szCs w:val="16"/>
                <w:lang w:eastAsia="en-US"/>
              </w:rPr>
            </w:pPr>
            <w:r w:rsidRPr="00CD5649">
              <w:rPr>
                <w:rFonts w:eastAsia="Times New Roman" w:cs="Calibri"/>
                <w:color w:val="000000"/>
                <w:sz w:val="16"/>
                <w:szCs w:val="16"/>
                <w:lang w:eastAsia="en-US"/>
              </w:rPr>
              <w:t>III - Organizzazione della filiera alimentare, incluse la trasformazione e la commercializzazione dei prodotti agricoli, il benessere degli animali e la gestione dei rischi</w:t>
            </w:r>
          </w:p>
        </w:tc>
        <w:tc>
          <w:tcPr>
            <w:tcW w:w="1361" w:type="dxa"/>
            <w:tcBorders>
              <w:top w:val="nil"/>
              <w:left w:val="nil"/>
              <w:bottom w:val="single" w:sz="4" w:space="0" w:color="305496"/>
              <w:right w:val="nil"/>
            </w:tcBorders>
            <w:shd w:val="clear" w:color="auto" w:fill="auto"/>
            <w:noWrap/>
            <w:vAlign w:val="bottom"/>
            <w:hideMark/>
          </w:tcPr>
          <w:p w14:paraId="2373A8FC" w14:textId="14C79080" w:rsidR="005E18CC" w:rsidRPr="00CD5649" w:rsidRDefault="005E18CC" w:rsidP="00B02AF1">
            <w:pPr>
              <w:jc w:val="right"/>
              <w:rPr>
                <w:rFonts w:eastAsia="Times New Roman" w:cs="Calibri"/>
                <w:color w:val="000000"/>
                <w:sz w:val="16"/>
                <w:szCs w:val="16"/>
                <w:lang w:eastAsia="en-US"/>
              </w:rPr>
            </w:pPr>
            <w:r w:rsidRPr="00CD5649">
              <w:rPr>
                <w:rFonts w:eastAsia="Times New Roman" w:cs="Calibri"/>
                <w:color w:val="000000"/>
                <w:sz w:val="16"/>
                <w:szCs w:val="16"/>
                <w:lang w:eastAsia="en-US"/>
              </w:rPr>
              <w:t>106.150.000,</w:t>
            </w:r>
            <w:r w:rsidR="00B02AF1" w:rsidRPr="00CD5649">
              <w:rPr>
                <w:rFonts w:eastAsia="Times New Roman" w:cs="Calibri"/>
                <w:color w:val="000000"/>
                <w:sz w:val="16"/>
                <w:szCs w:val="16"/>
                <w:lang w:eastAsia="en-US"/>
              </w:rPr>
              <w:t>0</w:t>
            </w:r>
            <w:r w:rsidR="00B02AF1">
              <w:rPr>
                <w:rFonts w:eastAsia="Times New Roman" w:cs="Calibri"/>
                <w:color w:val="000000"/>
                <w:sz w:val="16"/>
                <w:szCs w:val="16"/>
                <w:lang w:eastAsia="en-US"/>
              </w:rPr>
              <w:t>0</w:t>
            </w:r>
          </w:p>
        </w:tc>
        <w:tc>
          <w:tcPr>
            <w:tcW w:w="1304" w:type="dxa"/>
            <w:tcBorders>
              <w:top w:val="nil"/>
              <w:left w:val="nil"/>
              <w:bottom w:val="single" w:sz="4" w:space="0" w:color="305496"/>
              <w:right w:val="nil"/>
            </w:tcBorders>
            <w:shd w:val="clear" w:color="auto" w:fill="auto"/>
            <w:noWrap/>
            <w:vAlign w:val="bottom"/>
            <w:hideMark/>
          </w:tcPr>
          <w:p w14:paraId="272683F8" w14:textId="47EACCF5" w:rsidR="005E18CC" w:rsidRPr="00CD5649" w:rsidRDefault="00B02AF1" w:rsidP="00033A16">
            <w:pPr>
              <w:jc w:val="right"/>
              <w:rPr>
                <w:rFonts w:eastAsia="Times New Roman" w:cs="Calibri"/>
                <w:color w:val="000000"/>
                <w:sz w:val="16"/>
                <w:szCs w:val="16"/>
                <w:lang w:eastAsia="en-US"/>
              </w:rPr>
            </w:pPr>
            <w:r w:rsidRPr="00B02AF1">
              <w:rPr>
                <w:rFonts w:eastAsia="Times New Roman" w:cs="Calibri"/>
                <w:color w:val="000000"/>
                <w:sz w:val="16"/>
                <w:szCs w:val="16"/>
                <w:lang w:eastAsia="en-US"/>
              </w:rPr>
              <w:t>109.359.720,80</w:t>
            </w:r>
          </w:p>
        </w:tc>
        <w:tc>
          <w:tcPr>
            <w:tcW w:w="1361" w:type="dxa"/>
            <w:tcBorders>
              <w:top w:val="nil"/>
              <w:left w:val="nil"/>
              <w:bottom w:val="single" w:sz="4" w:space="0" w:color="305496"/>
              <w:right w:val="nil"/>
            </w:tcBorders>
            <w:shd w:val="clear" w:color="auto" w:fill="auto"/>
            <w:noWrap/>
            <w:vAlign w:val="bottom"/>
            <w:hideMark/>
          </w:tcPr>
          <w:p w14:paraId="0BA19252" w14:textId="77777777" w:rsidR="005E18CC" w:rsidRPr="00CD5649" w:rsidRDefault="005E18CC" w:rsidP="00033A16">
            <w:pPr>
              <w:jc w:val="right"/>
              <w:rPr>
                <w:rFonts w:eastAsia="Times New Roman" w:cs="Calibri"/>
                <w:color w:val="000000"/>
                <w:sz w:val="16"/>
                <w:szCs w:val="16"/>
                <w:lang w:eastAsia="en-US"/>
              </w:rPr>
            </w:pPr>
            <w:r w:rsidRPr="00CD5649">
              <w:rPr>
                <w:rFonts w:eastAsia="Times New Roman" w:cs="Calibri"/>
                <w:color w:val="000000"/>
                <w:sz w:val="16"/>
                <w:szCs w:val="16"/>
                <w:lang w:eastAsia="en-US"/>
              </w:rPr>
              <w:t>35.144.068,25</w:t>
            </w:r>
          </w:p>
        </w:tc>
        <w:tc>
          <w:tcPr>
            <w:tcW w:w="1020" w:type="dxa"/>
            <w:tcBorders>
              <w:top w:val="nil"/>
              <w:left w:val="nil"/>
              <w:bottom w:val="single" w:sz="4" w:space="0" w:color="305496"/>
              <w:right w:val="nil"/>
            </w:tcBorders>
            <w:shd w:val="clear" w:color="auto" w:fill="auto"/>
            <w:noWrap/>
            <w:vAlign w:val="bottom"/>
            <w:hideMark/>
          </w:tcPr>
          <w:p w14:paraId="5077035E" w14:textId="5AEF32DD" w:rsidR="005E18CC" w:rsidRPr="00CD5649" w:rsidRDefault="00B02AF1" w:rsidP="00033A16">
            <w:pPr>
              <w:jc w:val="right"/>
              <w:rPr>
                <w:rFonts w:eastAsia="Times New Roman" w:cs="Calibri"/>
                <w:color w:val="000000"/>
                <w:sz w:val="16"/>
                <w:szCs w:val="16"/>
                <w:lang w:eastAsia="en-US"/>
              </w:rPr>
            </w:pPr>
            <w:r w:rsidRPr="00B02AF1">
              <w:rPr>
                <w:rFonts w:eastAsia="Times New Roman" w:cs="Calibri"/>
                <w:color w:val="000000"/>
                <w:sz w:val="16"/>
                <w:szCs w:val="16"/>
                <w:lang w:eastAsia="en-US"/>
              </w:rPr>
              <w:t>103,02%</w:t>
            </w:r>
          </w:p>
        </w:tc>
        <w:tc>
          <w:tcPr>
            <w:tcW w:w="1020" w:type="dxa"/>
            <w:tcBorders>
              <w:top w:val="nil"/>
              <w:left w:val="nil"/>
              <w:bottom w:val="single" w:sz="4" w:space="0" w:color="305496"/>
              <w:right w:val="nil"/>
            </w:tcBorders>
            <w:shd w:val="clear" w:color="auto" w:fill="auto"/>
            <w:noWrap/>
            <w:vAlign w:val="bottom"/>
            <w:hideMark/>
          </w:tcPr>
          <w:p w14:paraId="00C9141B" w14:textId="77777777" w:rsidR="005E18CC" w:rsidRPr="00CD5649" w:rsidRDefault="005E18CC" w:rsidP="00033A16">
            <w:pPr>
              <w:jc w:val="right"/>
              <w:rPr>
                <w:rFonts w:eastAsia="Times New Roman" w:cs="Calibri"/>
                <w:color w:val="000000"/>
                <w:sz w:val="16"/>
                <w:szCs w:val="16"/>
                <w:lang w:eastAsia="en-US"/>
              </w:rPr>
            </w:pPr>
            <w:r w:rsidRPr="00CD5649">
              <w:rPr>
                <w:rFonts w:eastAsia="Times New Roman" w:cs="Calibri"/>
                <w:color w:val="000000"/>
                <w:sz w:val="16"/>
                <w:szCs w:val="16"/>
                <w:lang w:eastAsia="en-US"/>
              </w:rPr>
              <w:t>33,11%</w:t>
            </w:r>
          </w:p>
        </w:tc>
      </w:tr>
    </w:tbl>
    <w:bookmarkEnd w:id="25"/>
    <w:p w14:paraId="67B93562" w14:textId="257F3828" w:rsidR="00AC1207" w:rsidRDefault="00AC1207" w:rsidP="00AC1207">
      <w:pPr>
        <w:rPr>
          <w:sz w:val="18"/>
          <w:szCs w:val="18"/>
        </w:rPr>
      </w:pPr>
      <w:r>
        <w:rPr>
          <w:sz w:val="18"/>
          <w:szCs w:val="18"/>
        </w:rPr>
        <w:t xml:space="preserve">Fonte: </w:t>
      </w:r>
      <w:r w:rsidR="005A4621">
        <w:rPr>
          <w:sz w:val="18"/>
          <w:szCs w:val="18"/>
        </w:rPr>
        <w:t>RAA</w:t>
      </w:r>
      <w:r>
        <w:rPr>
          <w:sz w:val="18"/>
          <w:szCs w:val="18"/>
        </w:rPr>
        <w:t>2020</w:t>
      </w:r>
    </w:p>
    <w:p w14:paraId="4741E57D" w14:textId="77777777" w:rsidR="007200F8" w:rsidRDefault="00451F67" w:rsidP="00A65EDF">
      <w:r w:rsidRPr="00451F67">
        <w:rPr>
          <w:sz w:val="18"/>
          <w:szCs w:val="18"/>
        </w:rPr>
        <w:t xml:space="preserve">Nota: </w:t>
      </w:r>
      <w:r w:rsidRPr="00451F67">
        <w:rPr>
          <w:sz w:val="18"/>
          <w:szCs w:val="18"/>
          <w:vertAlign w:val="superscript"/>
        </w:rPr>
        <w:t xml:space="preserve">1 </w:t>
      </w:r>
      <w:r w:rsidRPr="00451F67">
        <w:rPr>
          <w:sz w:val="18"/>
          <w:szCs w:val="18"/>
        </w:rPr>
        <w:t>L’importo programmato comprende sia le risorse finanziarie dell’UE che nazionali.</w:t>
      </w:r>
    </w:p>
    <w:bookmarkEnd w:id="23"/>
    <w:p w14:paraId="460DD409" w14:textId="77777777" w:rsidR="007200F8" w:rsidRDefault="007200F8" w:rsidP="00A65EDF"/>
    <w:p w14:paraId="1B8C3F21" w14:textId="77777777" w:rsidR="00A65EDF" w:rsidRDefault="00A65EDF" w:rsidP="00470B30">
      <w:pPr>
        <w:pStyle w:val="Titolo4"/>
      </w:pPr>
      <w:r>
        <w:t>Realizzazioni e risultati</w:t>
      </w:r>
    </w:p>
    <w:p w14:paraId="6E5E9101" w14:textId="77777777" w:rsidR="006B1999" w:rsidRDefault="006B1999" w:rsidP="00A65EDF"/>
    <w:p w14:paraId="3CEDC029" w14:textId="77777777" w:rsidR="009E54BC" w:rsidRPr="00AF6B92" w:rsidRDefault="004B4C7F" w:rsidP="00A65EDF">
      <w:r>
        <w:t xml:space="preserve">A fine 2020, </w:t>
      </w:r>
      <w:r w:rsidR="00414FD8">
        <w:t xml:space="preserve">le iniziative </w:t>
      </w:r>
      <w:r w:rsidRPr="00414FD8">
        <w:rPr>
          <w:b/>
          <w:bCs/>
        </w:rPr>
        <w:t>POR FESR</w:t>
      </w:r>
      <w:r w:rsidR="001E6EE6">
        <w:t xml:space="preserve"> afferenti all’area economica</w:t>
      </w:r>
      <w:r>
        <w:t xml:space="preserve"> mostrano una discreta realizzazione dei progetti</w:t>
      </w:r>
      <w:r w:rsidR="00E50A16">
        <w:t>, come riportato nella tabella seguente</w:t>
      </w:r>
      <w:r>
        <w:t>.</w:t>
      </w:r>
      <w:r w:rsidR="004F60E5" w:rsidRPr="004F60E5">
        <w:t xml:space="preserve"> </w:t>
      </w:r>
      <w:r w:rsidR="004F60E5">
        <w:t xml:space="preserve">Nel complesso, l’Asse I presenta un buono stato di attuazione, l’unico indicatore di output con indice di realizzazione inferiore al 70% è rappresentato dall’indicatore comune CO01 “Numero di imprese che ricevono un sostegno” che riporta una percentuale di realizzazione pari al 37,68%. </w:t>
      </w:r>
      <w:r>
        <w:t xml:space="preserve"> L’</w:t>
      </w:r>
      <w:r w:rsidR="00394DE9">
        <w:t>A</w:t>
      </w:r>
      <w:r>
        <w:t>sse I</w:t>
      </w:r>
      <w:r w:rsidR="001A28AF">
        <w:t xml:space="preserve">I </w:t>
      </w:r>
      <w:r w:rsidR="00394DE9">
        <w:t xml:space="preserve">si caratterizza per </w:t>
      </w:r>
      <w:r w:rsidR="001A28AF">
        <w:t xml:space="preserve">un’ottima </w:t>
      </w:r>
      <w:r>
        <w:t xml:space="preserve">performance raggiungendo e superando i target fissati al 2023. </w:t>
      </w:r>
      <w:r w:rsidR="00394DE9">
        <w:t>Per esempio, g</w:t>
      </w:r>
      <w:r w:rsidR="001A28AF">
        <w:t>razie ai progetti finanziati dall’</w:t>
      </w:r>
      <w:r w:rsidR="00394DE9">
        <w:t>A</w:t>
      </w:r>
      <w:r w:rsidR="001A28AF">
        <w:t>sse II, a fine 2020, 95.385 nuove unità immobiliari e nuovi nuclei familiari hanno</w:t>
      </w:r>
      <w:r w:rsidR="00675A91">
        <w:t xml:space="preserve"> avuto</w:t>
      </w:r>
      <w:r w:rsidR="001A28AF">
        <w:t xml:space="preserve"> accesso alla banda larga. </w:t>
      </w:r>
      <w:r w:rsidR="00C1080E">
        <w:t>Per quanto riguarda l’</w:t>
      </w:r>
      <w:r w:rsidR="00394DE9">
        <w:t>A</w:t>
      </w:r>
      <w:r w:rsidR="00C1080E">
        <w:t>sse III</w:t>
      </w:r>
      <w:r w:rsidR="00394DE9">
        <w:t>,</w:t>
      </w:r>
      <w:r w:rsidR="00C1080E">
        <w:t xml:space="preserve"> l’indice di realizzazione degli interventi varia note</w:t>
      </w:r>
      <w:r w:rsidR="00AF6B92">
        <w:t xml:space="preserve">volmente. </w:t>
      </w:r>
      <w:r w:rsidR="00C462A3">
        <w:t>Ad esempio, i</w:t>
      </w:r>
      <w:r w:rsidR="00AF6B92">
        <w:t xml:space="preserve">l </w:t>
      </w:r>
      <w:r w:rsidR="004F60E5">
        <w:t>“</w:t>
      </w:r>
      <w:r w:rsidR="00AF6B92">
        <w:t>numero di imprese che</w:t>
      </w:r>
      <w:r w:rsidR="00C462A3">
        <w:t xml:space="preserve"> ricevono un sostegno</w:t>
      </w:r>
      <w:r w:rsidR="004F60E5">
        <w:t>”</w:t>
      </w:r>
      <w:r w:rsidR="00C462A3">
        <w:t xml:space="preserve"> e il </w:t>
      </w:r>
      <w:r w:rsidR="003A4BC2">
        <w:t>“</w:t>
      </w:r>
      <w:r w:rsidR="00C462A3">
        <w:t>n</w:t>
      </w:r>
      <w:r w:rsidR="00C462A3" w:rsidRPr="00C462A3">
        <w:t>umero di imprese che ricevono un sostegno finanziario diverso dalle sovvenzioni (a fondo perduto)</w:t>
      </w:r>
      <w:r w:rsidR="003A4BC2">
        <w:t>”</w:t>
      </w:r>
      <w:r w:rsidR="006B1999">
        <w:t>, nell’ambito de</w:t>
      </w:r>
      <w:r w:rsidR="00C462A3">
        <w:t>lla priorità d’investimento 3d</w:t>
      </w:r>
      <w:r w:rsidR="006B1999">
        <w:t>,</w:t>
      </w:r>
      <w:r w:rsidR="00C462A3">
        <w:t xml:space="preserve"> è 11.073</w:t>
      </w:r>
      <w:r w:rsidR="00394DE9">
        <w:t>,</w:t>
      </w:r>
      <w:r w:rsidR="00C462A3">
        <w:t xml:space="preserve"> notevolmente superiore al target (579), mentre per i finanziamenti afferenti alla priorità d’investimento 3b</w:t>
      </w:r>
      <w:r w:rsidR="00394DE9">
        <w:t>,</w:t>
      </w:r>
      <w:r w:rsidR="00C462A3">
        <w:t xml:space="preserve"> solamente 4 imprese ricevono un sostegno non finanziario</w:t>
      </w:r>
      <w:r w:rsidR="006B1999">
        <w:t xml:space="preserve">, </w:t>
      </w:r>
      <w:r w:rsidR="00C462A3">
        <w:t xml:space="preserve">0,33% del target fissato al 2023. </w:t>
      </w:r>
    </w:p>
    <w:p w14:paraId="07F1B4D9" w14:textId="77777777" w:rsidR="00485FF1" w:rsidRPr="002C73B1" w:rsidRDefault="00485FF1" w:rsidP="00485FF1">
      <w:pPr>
        <w:pStyle w:val="Didascalia"/>
      </w:pPr>
      <w:bookmarkStart w:id="26" w:name="_Toc59954532"/>
      <w:bookmarkStart w:id="27" w:name="_Toc91081432"/>
      <w:r w:rsidRPr="002C73B1">
        <w:t xml:space="preserve">Tabella </w:t>
      </w:r>
      <w:r w:rsidR="004E6566" w:rsidRPr="002C73B1">
        <w:fldChar w:fldCharType="begin"/>
      </w:r>
      <w:r w:rsidRPr="002C73B1">
        <w:instrText xml:space="preserve"> SEQ Tabella \* ARABIC </w:instrText>
      </w:r>
      <w:r w:rsidR="004E6566" w:rsidRPr="002C73B1">
        <w:fldChar w:fldCharType="separate"/>
      </w:r>
      <w:r w:rsidR="00E53D6C">
        <w:rPr>
          <w:noProof/>
        </w:rPr>
        <w:t>6</w:t>
      </w:r>
      <w:r w:rsidR="004E6566" w:rsidRPr="002C73B1">
        <w:fldChar w:fldCharType="end"/>
      </w:r>
      <w:r w:rsidRPr="002C73B1">
        <w:t>. Indicatori di output selezion</w:t>
      </w:r>
      <w:bookmarkEnd w:id="26"/>
      <w:r w:rsidR="00736D99" w:rsidRPr="002C73B1">
        <w:t>ati FESR – Area economica</w:t>
      </w:r>
      <w:bookmarkEnd w:id="27"/>
    </w:p>
    <w:tbl>
      <w:tblPr>
        <w:tblW w:w="5000" w:type="pct"/>
        <w:tblLayout w:type="fixed"/>
        <w:tblLook w:val="04A0" w:firstRow="1" w:lastRow="0" w:firstColumn="1" w:lastColumn="0" w:noHBand="0" w:noVBand="1"/>
      </w:tblPr>
      <w:tblGrid>
        <w:gridCol w:w="1277"/>
        <w:gridCol w:w="992"/>
        <w:gridCol w:w="4220"/>
        <w:gridCol w:w="1027"/>
        <w:gridCol w:w="989"/>
        <w:gridCol w:w="1133"/>
      </w:tblGrid>
      <w:tr w:rsidR="00DE28B0" w:rsidRPr="00AF40C4" w14:paraId="608BACFA" w14:textId="77777777" w:rsidTr="00AF40C4">
        <w:trPr>
          <w:trHeight w:val="764"/>
        </w:trPr>
        <w:tc>
          <w:tcPr>
            <w:tcW w:w="662" w:type="pct"/>
            <w:tcBorders>
              <w:top w:val="nil"/>
              <w:left w:val="nil"/>
              <w:bottom w:val="nil"/>
              <w:right w:val="nil"/>
            </w:tcBorders>
            <w:shd w:val="clear" w:color="auto" w:fill="669748" w:themeFill="accent2" w:themeFillShade="BF"/>
            <w:vAlign w:val="center"/>
            <w:hideMark/>
          </w:tcPr>
          <w:p w14:paraId="5EB3950A" w14:textId="77777777" w:rsidR="00DE28B0" w:rsidRPr="00AF40C4" w:rsidRDefault="00DE28B0" w:rsidP="00AF40C4">
            <w:pPr>
              <w:jc w:val="left"/>
              <w:rPr>
                <w:rFonts w:eastAsia="Times New Roman" w:cs="Calibri"/>
                <w:b/>
                <w:bCs/>
                <w:color w:val="FFFFFF"/>
                <w:sz w:val="16"/>
                <w:szCs w:val="16"/>
                <w:lang w:eastAsia="en-US"/>
              </w:rPr>
            </w:pPr>
            <w:r w:rsidRPr="00AF40C4">
              <w:rPr>
                <w:rFonts w:eastAsia="Times New Roman" w:cs="Calibri"/>
                <w:b/>
                <w:bCs/>
                <w:color w:val="FFFFFF"/>
                <w:sz w:val="16"/>
                <w:szCs w:val="16"/>
                <w:lang w:eastAsia="en-US"/>
              </w:rPr>
              <w:t>Priorità d'investimento</w:t>
            </w:r>
          </w:p>
        </w:tc>
        <w:tc>
          <w:tcPr>
            <w:tcW w:w="514" w:type="pct"/>
            <w:tcBorders>
              <w:top w:val="nil"/>
              <w:left w:val="nil"/>
              <w:bottom w:val="nil"/>
              <w:right w:val="nil"/>
            </w:tcBorders>
            <w:shd w:val="clear" w:color="auto" w:fill="669748" w:themeFill="accent2" w:themeFillShade="BF"/>
            <w:vAlign w:val="center"/>
            <w:hideMark/>
          </w:tcPr>
          <w:p w14:paraId="2A6980EB" w14:textId="77777777" w:rsidR="00DE28B0" w:rsidRPr="00AF40C4" w:rsidRDefault="00DE28B0" w:rsidP="00AF40C4">
            <w:pPr>
              <w:jc w:val="left"/>
              <w:rPr>
                <w:rFonts w:eastAsia="Times New Roman" w:cs="Calibri"/>
                <w:b/>
                <w:bCs/>
                <w:color w:val="FFFFFF"/>
                <w:sz w:val="16"/>
                <w:szCs w:val="16"/>
                <w:lang w:eastAsia="en-US"/>
              </w:rPr>
            </w:pPr>
            <w:r w:rsidRPr="00AF40C4">
              <w:rPr>
                <w:rFonts w:eastAsia="Times New Roman" w:cs="Calibri"/>
                <w:b/>
                <w:bCs/>
                <w:color w:val="FFFFFF"/>
                <w:sz w:val="16"/>
                <w:szCs w:val="16"/>
                <w:lang w:eastAsia="en-US"/>
              </w:rPr>
              <w:t>Codice Indicatore</w:t>
            </w:r>
          </w:p>
        </w:tc>
        <w:tc>
          <w:tcPr>
            <w:tcW w:w="2189" w:type="pct"/>
            <w:tcBorders>
              <w:top w:val="nil"/>
              <w:left w:val="nil"/>
              <w:bottom w:val="nil"/>
              <w:right w:val="nil"/>
            </w:tcBorders>
            <w:shd w:val="clear" w:color="auto" w:fill="669748" w:themeFill="accent2" w:themeFillShade="BF"/>
            <w:vAlign w:val="center"/>
            <w:hideMark/>
          </w:tcPr>
          <w:p w14:paraId="2C837A82" w14:textId="77777777" w:rsidR="00DE28B0" w:rsidRPr="00AF40C4" w:rsidRDefault="00DE28B0" w:rsidP="00AF40C4">
            <w:pPr>
              <w:jc w:val="left"/>
              <w:rPr>
                <w:rFonts w:eastAsia="Times New Roman" w:cs="Calibri"/>
                <w:b/>
                <w:bCs/>
                <w:color w:val="FFFFFF"/>
                <w:sz w:val="16"/>
                <w:szCs w:val="16"/>
                <w:lang w:eastAsia="en-US"/>
              </w:rPr>
            </w:pPr>
            <w:r w:rsidRPr="00AF40C4">
              <w:rPr>
                <w:rFonts w:eastAsia="Times New Roman" w:cs="Calibri"/>
                <w:b/>
                <w:bCs/>
                <w:color w:val="FFFFFF"/>
                <w:sz w:val="16"/>
                <w:szCs w:val="16"/>
                <w:lang w:eastAsia="en-US"/>
              </w:rPr>
              <w:t>Descrizione indicatore</w:t>
            </w:r>
          </w:p>
        </w:tc>
        <w:tc>
          <w:tcPr>
            <w:tcW w:w="533" w:type="pct"/>
            <w:tcBorders>
              <w:top w:val="nil"/>
              <w:left w:val="nil"/>
              <w:bottom w:val="nil"/>
              <w:right w:val="nil"/>
            </w:tcBorders>
            <w:shd w:val="clear" w:color="auto" w:fill="669748" w:themeFill="accent2" w:themeFillShade="BF"/>
            <w:vAlign w:val="center"/>
            <w:hideMark/>
          </w:tcPr>
          <w:p w14:paraId="4AFF9D79" w14:textId="77777777" w:rsidR="00DE28B0" w:rsidRPr="00AF40C4" w:rsidRDefault="00DE28B0" w:rsidP="00CE78DB">
            <w:pPr>
              <w:jc w:val="right"/>
              <w:rPr>
                <w:rFonts w:eastAsia="Times New Roman" w:cs="Calibri"/>
                <w:b/>
                <w:bCs/>
                <w:color w:val="FFFFFF"/>
                <w:sz w:val="16"/>
                <w:szCs w:val="16"/>
                <w:lang w:eastAsia="en-US"/>
              </w:rPr>
            </w:pPr>
            <w:r w:rsidRPr="00AF40C4">
              <w:rPr>
                <w:rFonts w:eastAsia="Times New Roman" w:cs="Calibri"/>
                <w:b/>
                <w:bCs/>
                <w:color w:val="FFFFFF"/>
                <w:sz w:val="16"/>
                <w:szCs w:val="16"/>
                <w:lang w:eastAsia="en-US"/>
              </w:rPr>
              <w:t>Valore obiettivo 2023 (a)</w:t>
            </w:r>
          </w:p>
        </w:tc>
        <w:tc>
          <w:tcPr>
            <w:tcW w:w="513" w:type="pct"/>
            <w:tcBorders>
              <w:top w:val="nil"/>
              <w:left w:val="nil"/>
              <w:bottom w:val="nil"/>
              <w:right w:val="nil"/>
            </w:tcBorders>
            <w:shd w:val="clear" w:color="auto" w:fill="669748" w:themeFill="accent2" w:themeFillShade="BF"/>
            <w:vAlign w:val="center"/>
            <w:hideMark/>
          </w:tcPr>
          <w:p w14:paraId="4B491967" w14:textId="77777777" w:rsidR="00DE28B0" w:rsidRPr="00AF40C4" w:rsidRDefault="00DE28B0" w:rsidP="00CE78DB">
            <w:pPr>
              <w:jc w:val="right"/>
              <w:rPr>
                <w:rFonts w:eastAsia="Times New Roman" w:cs="Calibri"/>
                <w:b/>
                <w:bCs/>
                <w:color w:val="FFFFFF"/>
                <w:sz w:val="16"/>
                <w:szCs w:val="16"/>
                <w:lang w:eastAsia="en-US"/>
              </w:rPr>
            </w:pPr>
            <w:r w:rsidRPr="00AF40C4">
              <w:rPr>
                <w:rFonts w:eastAsia="Times New Roman" w:cs="Calibri"/>
                <w:b/>
                <w:bCs/>
                <w:color w:val="FFFFFF"/>
                <w:sz w:val="16"/>
                <w:szCs w:val="16"/>
                <w:lang w:eastAsia="en-US"/>
              </w:rPr>
              <w:t>Valore realizzato 2020 (b)</w:t>
            </w:r>
          </w:p>
        </w:tc>
        <w:tc>
          <w:tcPr>
            <w:tcW w:w="588" w:type="pct"/>
            <w:tcBorders>
              <w:top w:val="nil"/>
              <w:left w:val="nil"/>
              <w:bottom w:val="nil"/>
              <w:right w:val="nil"/>
            </w:tcBorders>
            <w:shd w:val="clear" w:color="auto" w:fill="669748" w:themeFill="accent2" w:themeFillShade="BF"/>
            <w:vAlign w:val="center"/>
            <w:hideMark/>
          </w:tcPr>
          <w:p w14:paraId="4E605437" w14:textId="77777777" w:rsidR="00DE28B0" w:rsidRPr="00AF40C4" w:rsidRDefault="00DE28B0" w:rsidP="00CE78DB">
            <w:pPr>
              <w:jc w:val="right"/>
              <w:rPr>
                <w:rFonts w:eastAsia="Times New Roman" w:cs="Calibri"/>
                <w:b/>
                <w:bCs/>
                <w:color w:val="FFFFFF"/>
                <w:sz w:val="16"/>
                <w:szCs w:val="16"/>
                <w:lang w:eastAsia="en-US"/>
              </w:rPr>
            </w:pPr>
            <w:r w:rsidRPr="00AF40C4">
              <w:rPr>
                <w:rFonts w:eastAsia="Times New Roman" w:cs="Calibri"/>
                <w:b/>
                <w:bCs/>
                <w:color w:val="FFFFFF"/>
                <w:sz w:val="16"/>
                <w:szCs w:val="16"/>
                <w:lang w:eastAsia="en-US"/>
              </w:rPr>
              <w:t>Indice di realizzazione (b/a)</w:t>
            </w:r>
          </w:p>
        </w:tc>
      </w:tr>
      <w:tr w:rsidR="00DE28B0" w:rsidRPr="00DE28B0" w14:paraId="0A7F7307" w14:textId="77777777" w:rsidTr="00AF40C4">
        <w:trPr>
          <w:trHeight w:val="241"/>
        </w:trPr>
        <w:tc>
          <w:tcPr>
            <w:tcW w:w="662" w:type="pct"/>
            <w:tcBorders>
              <w:top w:val="nil"/>
              <w:left w:val="nil"/>
              <w:bottom w:val="single" w:sz="4" w:space="0" w:color="305496"/>
              <w:right w:val="nil"/>
            </w:tcBorders>
            <w:shd w:val="clear" w:color="000000" w:fill="E7E6E6"/>
            <w:vAlign w:val="center"/>
            <w:hideMark/>
          </w:tcPr>
          <w:p w14:paraId="6977DB58" w14:textId="77777777" w:rsidR="00DE28B0" w:rsidRPr="00DE28B0" w:rsidRDefault="00DE28B0" w:rsidP="00AF40C4">
            <w:pPr>
              <w:jc w:val="left"/>
              <w:rPr>
                <w:rFonts w:eastAsia="Times New Roman" w:cs="Calibri"/>
                <w:b/>
                <w:bCs/>
                <w:color w:val="000000"/>
                <w:sz w:val="18"/>
                <w:szCs w:val="18"/>
                <w:lang w:val="en-US" w:eastAsia="en-US"/>
              </w:rPr>
            </w:pPr>
            <w:r w:rsidRPr="00DE28B0">
              <w:rPr>
                <w:rFonts w:eastAsia="Times New Roman" w:cs="Calibri"/>
                <w:b/>
                <w:bCs/>
                <w:color w:val="000000"/>
                <w:sz w:val="18"/>
                <w:szCs w:val="18"/>
                <w:lang w:val="en-US" w:eastAsia="en-US"/>
              </w:rPr>
              <w:t>Asse I</w:t>
            </w:r>
          </w:p>
        </w:tc>
        <w:tc>
          <w:tcPr>
            <w:tcW w:w="514" w:type="pct"/>
            <w:tcBorders>
              <w:top w:val="nil"/>
              <w:left w:val="nil"/>
              <w:bottom w:val="single" w:sz="4" w:space="0" w:color="305496"/>
              <w:right w:val="nil"/>
            </w:tcBorders>
            <w:shd w:val="clear" w:color="000000" w:fill="E7E6E6"/>
            <w:vAlign w:val="center"/>
            <w:hideMark/>
          </w:tcPr>
          <w:p w14:paraId="3626A7B8" w14:textId="77777777" w:rsidR="00DE28B0" w:rsidRPr="00DE28B0" w:rsidRDefault="00DE28B0" w:rsidP="00AF40C4">
            <w:pPr>
              <w:jc w:val="left"/>
              <w:rPr>
                <w:rFonts w:eastAsia="Times New Roman" w:cs="Calibri"/>
                <w:b/>
                <w:bCs/>
                <w:color w:val="000000"/>
                <w:sz w:val="18"/>
                <w:szCs w:val="18"/>
                <w:lang w:val="en-US" w:eastAsia="en-US"/>
              </w:rPr>
            </w:pPr>
            <w:r w:rsidRPr="00DE28B0">
              <w:rPr>
                <w:rFonts w:eastAsia="Times New Roman" w:cs="Calibri"/>
                <w:b/>
                <w:bCs/>
                <w:color w:val="000000"/>
                <w:sz w:val="18"/>
                <w:szCs w:val="18"/>
                <w:lang w:val="en-US" w:eastAsia="en-US"/>
              </w:rPr>
              <w:t> </w:t>
            </w:r>
          </w:p>
        </w:tc>
        <w:tc>
          <w:tcPr>
            <w:tcW w:w="2189" w:type="pct"/>
            <w:tcBorders>
              <w:top w:val="nil"/>
              <w:left w:val="nil"/>
              <w:bottom w:val="single" w:sz="4" w:space="0" w:color="305496"/>
              <w:right w:val="nil"/>
            </w:tcBorders>
            <w:shd w:val="clear" w:color="000000" w:fill="E7E6E6"/>
            <w:vAlign w:val="center"/>
            <w:hideMark/>
          </w:tcPr>
          <w:p w14:paraId="03FD1524" w14:textId="77777777" w:rsidR="00DE28B0" w:rsidRPr="00DE28B0" w:rsidRDefault="00DE28B0" w:rsidP="00AF40C4">
            <w:pPr>
              <w:jc w:val="left"/>
              <w:rPr>
                <w:rFonts w:eastAsia="Times New Roman" w:cs="Calibri"/>
                <w:b/>
                <w:bCs/>
                <w:color w:val="000000"/>
                <w:sz w:val="18"/>
                <w:szCs w:val="18"/>
                <w:lang w:val="en-US" w:eastAsia="en-US"/>
              </w:rPr>
            </w:pPr>
            <w:r w:rsidRPr="00DE28B0">
              <w:rPr>
                <w:rFonts w:eastAsia="Times New Roman" w:cs="Calibri"/>
                <w:b/>
                <w:bCs/>
                <w:color w:val="000000"/>
                <w:sz w:val="18"/>
                <w:szCs w:val="18"/>
                <w:lang w:val="en-US" w:eastAsia="en-US"/>
              </w:rPr>
              <w:t> </w:t>
            </w:r>
          </w:p>
        </w:tc>
        <w:tc>
          <w:tcPr>
            <w:tcW w:w="533" w:type="pct"/>
            <w:tcBorders>
              <w:top w:val="nil"/>
              <w:left w:val="nil"/>
              <w:bottom w:val="single" w:sz="4" w:space="0" w:color="305496"/>
              <w:right w:val="nil"/>
            </w:tcBorders>
            <w:shd w:val="clear" w:color="000000" w:fill="E7E6E6"/>
            <w:vAlign w:val="center"/>
            <w:hideMark/>
          </w:tcPr>
          <w:p w14:paraId="1F20AAA5" w14:textId="77777777" w:rsidR="00DE28B0" w:rsidRPr="00DE28B0" w:rsidRDefault="00DE28B0" w:rsidP="00CE78DB">
            <w:pPr>
              <w:jc w:val="right"/>
              <w:rPr>
                <w:rFonts w:eastAsia="Times New Roman" w:cs="Calibri"/>
                <w:b/>
                <w:bCs/>
                <w:color w:val="000000"/>
                <w:sz w:val="18"/>
                <w:szCs w:val="18"/>
                <w:lang w:val="en-US" w:eastAsia="en-US"/>
              </w:rPr>
            </w:pPr>
            <w:r w:rsidRPr="00DE28B0">
              <w:rPr>
                <w:rFonts w:eastAsia="Times New Roman" w:cs="Calibri"/>
                <w:b/>
                <w:bCs/>
                <w:color w:val="000000"/>
                <w:sz w:val="18"/>
                <w:szCs w:val="18"/>
                <w:lang w:val="en-US" w:eastAsia="en-US"/>
              </w:rPr>
              <w:t> </w:t>
            </w:r>
          </w:p>
        </w:tc>
        <w:tc>
          <w:tcPr>
            <w:tcW w:w="513" w:type="pct"/>
            <w:tcBorders>
              <w:top w:val="nil"/>
              <w:left w:val="nil"/>
              <w:bottom w:val="single" w:sz="4" w:space="0" w:color="305496"/>
              <w:right w:val="nil"/>
            </w:tcBorders>
            <w:shd w:val="clear" w:color="000000" w:fill="E7E6E6"/>
            <w:vAlign w:val="center"/>
            <w:hideMark/>
          </w:tcPr>
          <w:p w14:paraId="433F47FE" w14:textId="77777777" w:rsidR="00DE28B0" w:rsidRPr="00DE28B0" w:rsidRDefault="00DE28B0" w:rsidP="00CE78DB">
            <w:pPr>
              <w:jc w:val="right"/>
              <w:rPr>
                <w:rFonts w:eastAsia="Times New Roman" w:cs="Calibri"/>
                <w:b/>
                <w:bCs/>
                <w:color w:val="000000"/>
                <w:sz w:val="18"/>
                <w:szCs w:val="18"/>
                <w:lang w:val="en-US" w:eastAsia="en-US"/>
              </w:rPr>
            </w:pPr>
            <w:r w:rsidRPr="00DE28B0">
              <w:rPr>
                <w:rFonts w:eastAsia="Times New Roman" w:cs="Calibri"/>
                <w:b/>
                <w:bCs/>
                <w:color w:val="000000"/>
                <w:sz w:val="18"/>
                <w:szCs w:val="18"/>
                <w:lang w:val="en-US" w:eastAsia="en-US"/>
              </w:rPr>
              <w:t> </w:t>
            </w:r>
          </w:p>
        </w:tc>
        <w:tc>
          <w:tcPr>
            <w:tcW w:w="588" w:type="pct"/>
            <w:tcBorders>
              <w:top w:val="nil"/>
              <w:left w:val="nil"/>
              <w:bottom w:val="single" w:sz="4" w:space="0" w:color="305496"/>
              <w:right w:val="nil"/>
            </w:tcBorders>
            <w:shd w:val="clear" w:color="000000" w:fill="E7E6E6"/>
            <w:vAlign w:val="center"/>
            <w:hideMark/>
          </w:tcPr>
          <w:p w14:paraId="6DB9C31F" w14:textId="77777777" w:rsidR="00DE28B0" w:rsidRPr="00DE28B0" w:rsidRDefault="00DE28B0" w:rsidP="00CE78DB">
            <w:pPr>
              <w:jc w:val="right"/>
              <w:rPr>
                <w:rFonts w:eastAsia="Times New Roman" w:cs="Calibri"/>
                <w:b/>
                <w:bCs/>
                <w:color w:val="000000"/>
                <w:sz w:val="18"/>
                <w:szCs w:val="18"/>
                <w:lang w:val="en-US" w:eastAsia="en-US"/>
              </w:rPr>
            </w:pPr>
            <w:r w:rsidRPr="00DE28B0">
              <w:rPr>
                <w:rFonts w:eastAsia="Times New Roman" w:cs="Calibri"/>
                <w:b/>
                <w:bCs/>
                <w:color w:val="000000"/>
                <w:sz w:val="18"/>
                <w:szCs w:val="18"/>
                <w:lang w:val="en-US" w:eastAsia="en-US"/>
              </w:rPr>
              <w:t> </w:t>
            </w:r>
          </w:p>
        </w:tc>
      </w:tr>
      <w:tr w:rsidR="00905098" w:rsidRPr="00DE28B0" w14:paraId="61ABC002" w14:textId="77777777" w:rsidTr="00AF40C4">
        <w:trPr>
          <w:trHeight w:val="290"/>
        </w:trPr>
        <w:tc>
          <w:tcPr>
            <w:tcW w:w="662" w:type="pct"/>
            <w:tcBorders>
              <w:top w:val="single" w:sz="4" w:space="0" w:color="305496"/>
              <w:left w:val="nil"/>
              <w:right w:val="nil"/>
            </w:tcBorders>
            <w:shd w:val="clear" w:color="auto" w:fill="auto"/>
            <w:noWrap/>
            <w:vAlign w:val="center"/>
            <w:hideMark/>
          </w:tcPr>
          <w:p w14:paraId="566C8345"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1b</w:t>
            </w:r>
          </w:p>
        </w:tc>
        <w:tc>
          <w:tcPr>
            <w:tcW w:w="514" w:type="pct"/>
            <w:tcBorders>
              <w:top w:val="single" w:sz="4" w:space="0" w:color="305496"/>
              <w:left w:val="nil"/>
              <w:right w:val="nil"/>
            </w:tcBorders>
            <w:shd w:val="clear" w:color="auto" w:fill="auto"/>
            <w:noWrap/>
            <w:vAlign w:val="center"/>
            <w:hideMark/>
          </w:tcPr>
          <w:p w14:paraId="1BF4E2F5"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CO01</w:t>
            </w:r>
          </w:p>
        </w:tc>
        <w:tc>
          <w:tcPr>
            <w:tcW w:w="2189" w:type="pct"/>
            <w:tcBorders>
              <w:top w:val="single" w:sz="4" w:space="0" w:color="305496"/>
              <w:left w:val="nil"/>
              <w:right w:val="nil"/>
            </w:tcBorders>
            <w:shd w:val="clear" w:color="auto" w:fill="auto"/>
            <w:noWrap/>
            <w:vAlign w:val="center"/>
            <w:hideMark/>
          </w:tcPr>
          <w:p w14:paraId="1CB39245" w14:textId="77777777" w:rsidR="00DE28B0" w:rsidRPr="00A87410" w:rsidRDefault="00DE28B0" w:rsidP="00AF40C4">
            <w:pPr>
              <w:jc w:val="left"/>
              <w:rPr>
                <w:rFonts w:eastAsia="Times New Roman" w:cs="Calibri"/>
                <w:color w:val="000000"/>
                <w:sz w:val="18"/>
                <w:szCs w:val="18"/>
                <w:lang w:eastAsia="en-US"/>
              </w:rPr>
            </w:pPr>
            <w:r w:rsidRPr="00A87410">
              <w:rPr>
                <w:rFonts w:eastAsia="Times New Roman" w:cs="Calibri"/>
                <w:color w:val="000000"/>
                <w:sz w:val="18"/>
                <w:szCs w:val="18"/>
                <w:lang w:eastAsia="en-US"/>
              </w:rPr>
              <w:t>Numero di imprese che ricevono un sostegno</w:t>
            </w:r>
          </w:p>
        </w:tc>
        <w:tc>
          <w:tcPr>
            <w:tcW w:w="533" w:type="pct"/>
            <w:tcBorders>
              <w:top w:val="nil"/>
              <w:left w:val="nil"/>
              <w:bottom w:val="nil"/>
              <w:right w:val="nil"/>
            </w:tcBorders>
            <w:shd w:val="clear" w:color="auto" w:fill="auto"/>
            <w:noWrap/>
            <w:vAlign w:val="center"/>
            <w:hideMark/>
          </w:tcPr>
          <w:p w14:paraId="2FFF1C90" w14:textId="3395F38E"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1.640</w:t>
            </w:r>
          </w:p>
        </w:tc>
        <w:tc>
          <w:tcPr>
            <w:tcW w:w="513" w:type="pct"/>
            <w:tcBorders>
              <w:top w:val="nil"/>
              <w:left w:val="nil"/>
              <w:bottom w:val="nil"/>
              <w:right w:val="nil"/>
            </w:tcBorders>
            <w:shd w:val="clear" w:color="auto" w:fill="auto"/>
            <w:noWrap/>
            <w:vAlign w:val="center"/>
            <w:hideMark/>
          </w:tcPr>
          <w:p w14:paraId="68F77C54" w14:textId="1AAD5F5C"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618</w:t>
            </w:r>
          </w:p>
        </w:tc>
        <w:tc>
          <w:tcPr>
            <w:tcW w:w="588" w:type="pct"/>
            <w:tcBorders>
              <w:top w:val="nil"/>
              <w:left w:val="nil"/>
              <w:bottom w:val="nil"/>
              <w:right w:val="nil"/>
            </w:tcBorders>
            <w:shd w:val="clear" w:color="auto" w:fill="auto"/>
            <w:noWrap/>
            <w:vAlign w:val="center"/>
            <w:hideMark/>
          </w:tcPr>
          <w:p w14:paraId="79698F4F" w14:textId="77777777"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37,68%</w:t>
            </w:r>
          </w:p>
        </w:tc>
      </w:tr>
      <w:tr w:rsidR="00DE28B0" w:rsidRPr="00DE28B0" w14:paraId="19D87C88" w14:textId="77777777" w:rsidTr="00AF40C4">
        <w:trPr>
          <w:trHeight w:val="290"/>
        </w:trPr>
        <w:tc>
          <w:tcPr>
            <w:tcW w:w="662" w:type="pct"/>
            <w:tcBorders>
              <w:top w:val="nil"/>
              <w:left w:val="nil"/>
              <w:right w:val="nil"/>
            </w:tcBorders>
            <w:shd w:val="clear" w:color="auto" w:fill="auto"/>
            <w:noWrap/>
            <w:vAlign w:val="center"/>
            <w:hideMark/>
          </w:tcPr>
          <w:p w14:paraId="14F205BD"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1b</w:t>
            </w:r>
          </w:p>
        </w:tc>
        <w:tc>
          <w:tcPr>
            <w:tcW w:w="514" w:type="pct"/>
            <w:tcBorders>
              <w:top w:val="nil"/>
              <w:left w:val="nil"/>
              <w:right w:val="nil"/>
            </w:tcBorders>
            <w:shd w:val="clear" w:color="auto" w:fill="auto"/>
            <w:noWrap/>
            <w:vAlign w:val="center"/>
            <w:hideMark/>
          </w:tcPr>
          <w:p w14:paraId="23D2E48D"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CO26</w:t>
            </w:r>
          </w:p>
        </w:tc>
        <w:tc>
          <w:tcPr>
            <w:tcW w:w="2189" w:type="pct"/>
            <w:tcBorders>
              <w:top w:val="nil"/>
              <w:left w:val="nil"/>
              <w:right w:val="nil"/>
            </w:tcBorders>
            <w:shd w:val="clear" w:color="auto" w:fill="auto"/>
            <w:noWrap/>
            <w:vAlign w:val="center"/>
            <w:hideMark/>
          </w:tcPr>
          <w:p w14:paraId="6C96B43C" w14:textId="77777777" w:rsidR="00DE28B0" w:rsidRPr="00A87410" w:rsidRDefault="00DE28B0" w:rsidP="00AF40C4">
            <w:pPr>
              <w:jc w:val="left"/>
              <w:rPr>
                <w:rFonts w:eastAsia="Times New Roman" w:cs="Calibri"/>
                <w:color w:val="000000"/>
                <w:sz w:val="18"/>
                <w:szCs w:val="18"/>
                <w:lang w:eastAsia="en-US"/>
              </w:rPr>
            </w:pPr>
            <w:r w:rsidRPr="00A87410">
              <w:rPr>
                <w:rFonts w:eastAsia="Times New Roman" w:cs="Calibri"/>
                <w:color w:val="000000"/>
                <w:sz w:val="18"/>
                <w:szCs w:val="18"/>
                <w:lang w:eastAsia="en-US"/>
              </w:rPr>
              <w:t>Numero di imprese che cooperano con istituti di ricerca</w:t>
            </w:r>
          </w:p>
        </w:tc>
        <w:tc>
          <w:tcPr>
            <w:tcW w:w="533" w:type="pct"/>
            <w:tcBorders>
              <w:top w:val="nil"/>
              <w:left w:val="nil"/>
              <w:bottom w:val="nil"/>
              <w:right w:val="nil"/>
            </w:tcBorders>
            <w:shd w:val="clear" w:color="auto" w:fill="auto"/>
            <w:noWrap/>
            <w:vAlign w:val="center"/>
            <w:hideMark/>
          </w:tcPr>
          <w:p w14:paraId="6C8D58C8" w14:textId="08301EEC"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256</w:t>
            </w:r>
          </w:p>
        </w:tc>
        <w:tc>
          <w:tcPr>
            <w:tcW w:w="513" w:type="pct"/>
            <w:tcBorders>
              <w:top w:val="nil"/>
              <w:left w:val="nil"/>
              <w:bottom w:val="nil"/>
              <w:right w:val="nil"/>
            </w:tcBorders>
            <w:shd w:val="clear" w:color="auto" w:fill="auto"/>
            <w:noWrap/>
            <w:vAlign w:val="center"/>
            <w:hideMark/>
          </w:tcPr>
          <w:p w14:paraId="0593DB95" w14:textId="391EF6B0"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378</w:t>
            </w:r>
          </w:p>
        </w:tc>
        <w:tc>
          <w:tcPr>
            <w:tcW w:w="588" w:type="pct"/>
            <w:tcBorders>
              <w:top w:val="nil"/>
              <w:left w:val="nil"/>
              <w:bottom w:val="nil"/>
              <w:right w:val="nil"/>
            </w:tcBorders>
            <w:shd w:val="clear" w:color="auto" w:fill="auto"/>
            <w:noWrap/>
            <w:vAlign w:val="center"/>
            <w:hideMark/>
          </w:tcPr>
          <w:p w14:paraId="145B9E66" w14:textId="77777777"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147,66%</w:t>
            </w:r>
          </w:p>
        </w:tc>
      </w:tr>
      <w:tr w:rsidR="00DE28B0" w:rsidRPr="00DE28B0" w14:paraId="65E472A9" w14:textId="77777777" w:rsidTr="00AF40C4">
        <w:trPr>
          <w:trHeight w:val="290"/>
        </w:trPr>
        <w:tc>
          <w:tcPr>
            <w:tcW w:w="662" w:type="pct"/>
            <w:tcBorders>
              <w:top w:val="nil"/>
              <w:left w:val="nil"/>
              <w:right w:val="nil"/>
            </w:tcBorders>
            <w:shd w:val="clear" w:color="auto" w:fill="auto"/>
            <w:noWrap/>
            <w:vAlign w:val="center"/>
            <w:hideMark/>
          </w:tcPr>
          <w:p w14:paraId="212E4034"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1b</w:t>
            </w:r>
          </w:p>
        </w:tc>
        <w:tc>
          <w:tcPr>
            <w:tcW w:w="514" w:type="pct"/>
            <w:tcBorders>
              <w:top w:val="nil"/>
              <w:left w:val="nil"/>
              <w:right w:val="nil"/>
            </w:tcBorders>
            <w:shd w:val="clear" w:color="auto" w:fill="auto"/>
            <w:noWrap/>
            <w:vAlign w:val="center"/>
            <w:hideMark/>
          </w:tcPr>
          <w:p w14:paraId="0661D9B8"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CO29</w:t>
            </w:r>
          </w:p>
        </w:tc>
        <w:tc>
          <w:tcPr>
            <w:tcW w:w="2189" w:type="pct"/>
            <w:tcBorders>
              <w:top w:val="nil"/>
              <w:left w:val="nil"/>
              <w:right w:val="nil"/>
            </w:tcBorders>
            <w:shd w:val="clear" w:color="auto" w:fill="auto"/>
            <w:noWrap/>
            <w:vAlign w:val="center"/>
            <w:hideMark/>
          </w:tcPr>
          <w:p w14:paraId="72EA1E9D" w14:textId="77777777" w:rsidR="00DE28B0" w:rsidRPr="00A87410" w:rsidRDefault="00DE28B0" w:rsidP="00AF40C4">
            <w:pPr>
              <w:jc w:val="left"/>
              <w:rPr>
                <w:rFonts w:eastAsia="Times New Roman" w:cs="Calibri"/>
                <w:color w:val="000000"/>
                <w:sz w:val="18"/>
                <w:szCs w:val="18"/>
                <w:lang w:eastAsia="en-US"/>
              </w:rPr>
            </w:pPr>
            <w:r w:rsidRPr="00A87410">
              <w:rPr>
                <w:rFonts w:eastAsia="Times New Roman" w:cs="Calibri"/>
                <w:color w:val="000000"/>
                <w:sz w:val="18"/>
                <w:szCs w:val="18"/>
                <w:lang w:eastAsia="en-US"/>
              </w:rPr>
              <w:t>Numero di imprese beneficiarie di un sostegno per introdurre prodotti che costituiscono una novità per l'impresa</w:t>
            </w:r>
          </w:p>
        </w:tc>
        <w:tc>
          <w:tcPr>
            <w:tcW w:w="533" w:type="pct"/>
            <w:tcBorders>
              <w:top w:val="nil"/>
              <w:left w:val="nil"/>
              <w:bottom w:val="nil"/>
              <w:right w:val="nil"/>
            </w:tcBorders>
            <w:shd w:val="clear" w:color="auto" w:fill="auto"/>
            <w:noWrap/>
            <w:vAlign w:val="center"/>
            <w:hideMark/>
          </w:tcPr>
          <w:p w14:paraId="1AA564C6" w14:textId="73EA8531"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400</w:t>
            </w:r>
          </w:p>
        </w:tc>
        <w:tc>
          <w:tcPr>
            <w:tcW w:w="513" w:type="pct"/>
            <w:tcBorders>
              <w:top w:val="nil"/>
              <w:left w:val="nil"/>
              <w:bottom w:val="nil"/>
              <w:right w:val="nil"/>
            </w:tcBorders>
            <w:shd w:val="clear" w:color="auto" w:fill="auto"/>
            <w:noWrap/>
            <w:vAlign w:val="center"/>
            <w:hideMark/>
          </w:tcPr>
          <w:p w14:paraId="5617BD98" w14:textId="07049F0B"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292</w:t>
            </w:r>
          </w:p>
        </w:tc>
        <w:tc>
          <w:tcPr>
            <w:tcW w:w="588" w:type="pct"/>
            <w:tcBorders>
              <w:top w:val="nil"/>
              <w:left w:val="nil"/>
              <w:bottom w:val="nil"/>
              <w:right w:val="nil"/>
            </w:tcBorders>
            <w:shd w:val="clear" w:color="auto" w:fill="auto"/>
            <w:noWrap/>
            <w:vAlign w:val="center"/>
            <w:hideMark/>
          </w:tcPr>
          <w:p w14:paraId="67D15CDD" w14:textId="77777777"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73,00%</w:t>
            </w:r>
          </w:p>
        </w:tc>
      </w:tr>
      <w:tr w:rsidR="00DE28B0" w:rsidRPr="00DE28B0" w14:paraId="42734F30" w14:textId="77777777" w:rsidTr="00AF40C4">
        <w:trPr>
          <w:trHeight w:val="244"/>
        </w:trPr>
        <w:tc>
          <w:tcPr>
            <w:tcW w:w="662" w:type="pct"/>
            <w:tcBorders>
              <w:left w:val="nil"/>
              <w:bottom w:val="single" w:sz="4" w:space="0" w:color="305496"/>
              <w:right w:val="nil"/>
            </w:tcBorders>
            <w:shd w:val="clear" w:color="000000" w:fill="E7E6E6"/>
            <w:vAlign w:val="center"/>
            <w:hideMark/>
          </w:tcPr>
          <w:p w14:paraId="080F9836" w14:textId="77777777" w:rsidR="00DE28B0" w:rsidRPr="00DE28B0" w:rsidRDefault="00DE28B0" w:rsidP="00AF40C4">
            <w:pPr>
              <w:jc w:val="center"/>
              <w:rPr>
                <w:rFonts w:eastAsia="Times New Roman" w:cs="Calibri"/>
                <w:b/>
                <w:bCs/>
                <w:color w:val="000000"/>
                <w:sz w:val="18"/>
                <w:szCs w:val="18"/>
                <w:lang w:val="en-US" w:eastAsia="en-US"/>
              </w:rPr>
            </w:pPr>
            <w:r w:rsidRPr="00DE28B0">
              <w:rPr>
                <w:rFonts w:eastAsia="Times New Roman" w:cs="Calibri"/>
                <w:b/>
                <w:bCs/>
                <w:color w:val="000000"/>
                <w:sz w:val="18"/>
                <w:szCs w:val="18"/>
                <w:lang w:val="en-US" w:eastAsia="en-US"/>
              </w:rPr>
              <w:t>Asse II</w:t>
            </w:r>
          </w:p>
        </w:tc>
        <w:tc>
          <w:tcPr>
            <w:tcW w:w="514" w:type="pct"/>
            <w:tcBorders>
              <w:left w:val="nil"/>
              <w:bottom w:val="single" w:sz="4" w:space="0" w:color="305496"/>
              <w:right w:val="nil"/>
            </w:tcBorders>
            <w:shd w:val="clear" w:color="000000" w:fill="E7E6E6"/>
            <w:vAlign w:val="center"/>
            <w:hideMark/>
          </w:tcPr>
          <w:p w14:paraId="594F08C9" w14:textId="77777777" w:rsidR="00DE28B0" w:rsidRPr="00DE28B0" w:rsidRDefault="00DE28B0" w:rsidP="00AF40C4">
            <w:pPr>
              <w:jc w:val="center"/>
              <w:rPr>
                <w:rFonts w:eastAsia="Times New Roman" w:cs="Calibri"/>
                <w:b/>
                <w:bCs/>
                <w:color w:val="000000"/>
                <w:sz w:val="18"/>
                <w:szCs w:val="18"/>
                <w:lang w:val="en-US" w:eastAsia="en-US"/>
              </w:rPr>
            </w:pPr>
          </w:p>
        </w:tc>
        <w:tc>
          <w:tcPr>
            <w:tcW w:w="2189" w:type="pct"/>
            <w:tcBorders>
              <w:left w:val="nil"/>
              <w:bottom w:val="single" w:sz="4" w:space="0" w:color="305496"/>
              <w:right w:val="nil"/>
            </w:tcBorders>
            <w:shd w:val="clear" w:color="000000" w:fill="E7E6E6"/>
            <w:vAlign w:val="center"/>
            <w:hideMark/>
          </w:tcPr>
          <w:p w14:paraId="4810F790" w14:textId="77777777" w:rsidR="00DE28B0" w:rsidRPr="00A87410" w:rsidRDefault="00DE28B0" w:rsidP="00AF40C4">
            <w:pPr>
              <w:jc w:val="left"/>
              <w:rPr>
                <w:rFonts w:eastAsia="Times New Roman" w:cs="Calibri"/>
                <w:b/>
                <w:bCs/>
                <w:color w:val="000000"/>
                <w:sz w:val="18"/>
                <w:szCs w:val="18"/>
                <w:lang w:val="en-US" w:eastAsia="en-US"/>
              </w:rPr>
            </w:pPr>
            <w:r w:rsidRPr="00A87410">
              <w:rPr>
                <w:rFonts w:eastAsia="Times New Roman" w:cs="Calibri"/>
                <w:b/>
                <w:bCs/>
                <w:color w:val="000000"/>
                <w:sz w:val="18"/>
                <w:szCs w:val="18"/>
                <w:lang w:val="en-US" w:eastAsia="en-US"/>
              </w:rPr>
              <w:t> </w:t>
            </w:r>
          </w:p>
        </w:tc>
        <w:tc>
          <w:tcPr>
            <w:tcW w:w="533" w:type="pct"/>
            <w:tcBorders>
              <w:top w:val="nil"/>
              <w:left w:val="nil"/>
              <w:bottom w:val="single" w:sz="4" w:space="0" w:color="305496"/>
              <w:right w:val="nil"/>
            </w:tcBorders>
            <w:shd w:val="clear" w:color="000000" w:fill="E7E6E6"/>
            <w:vAlign w:val="center"/>
            <w:hideMark/>
          </w:tcPr>
          <w:p w14:paraId="4DF62268" w14:textId="77777777" w:rsidR="00DE28B0" w:rsidRPr="00DE28B0" w:rsidRDefault="00DE28B0" w:rsidP="00CE78DB">
            <w:pPr>
              <w:jc w:val="right"/>
              <w:rPr>
                <w:rFonts w:eastAsia="Times New Roman" w:cs="Calibri"/>
                <w:b/>
                <w:bCs/>
                <w:color w:val="000000"/>
                <w:sz w:val="18"/>
                <w:szCs w:val="18"/>
                <w:lang w:val="en-US" w:eastAsia="en-US"/>
              </w:rPr>
            </w:pPr>
            <w:r w:rsidRPr="00DE28B0">
              <w:rPr>
                <w:rFonts w:eastAsia="Times New Roman" w:cs="Calibri"/>
                <w:b/>
                <w:bCs/>
                <w:color w:val="000000"/>
                <w:sz w:val="18"/>
                <w:szCs w:val="18"/>
                <w:lang w:val="en-US" w:eastAsia="en-US"/>
              </w:rPr>
              <w:t> </w:t>
            </w:r>
          </w:p>
        </w:tc>
        <w:tc>
          <w:tcPr>
            <w:tcW w:w="513" w:type="pct"/>
            <w:tcBorders>
              <w:top w:val="nil"/>
              <w:left w:val="nil"/>
              <w:bottom w:val="single" w:sz="4" w:space="0" w:color="305496"/>
              <w:right w:val="nil"/>
            </w:tcBorders>
            <w:shd w:val="clear" w:color="000000" w:fill="E7E6E6"/>
            <w:vAlign w:val="center"/>
            <w:hideMark/>
          </w:tcPr>
          <w:p w14:paraId="7692DA7A" w14:textId="77777777" w:rsidR="00DE28B0" w:rsidRPr="00DE28B0" w:rsidRDefault="00DE28B0" w:rsidP="00CE78DB">
            <w:pPr>
              <w:jc w:val="right"/>
              <w:rPr>
                <w:rFonts w:eastAsia="Times New Roman" w:cs="Calibri"/>
                <w:b/>
                <w:bCs/>
                <w:color w:val="000000"/>
                <w:sz w:val="18"/>
                <w:szCs w:val="18"/>
                <w:lang w:val="en-US" w:eastAsia="en-US"/>
              </w:rPr>
            </w:pPr>
            <w:r w:rsidRPr="00DE28B0">
              <w:rPr>
                <w:rFonts w:eastAsia="Times New Roman" w:cs="Calibri"/>
                <w:b/>
                <w:bCs/>
                <w:color w:val="000000"/>
                <w:sz w:val="18"/>
                <w:szCs w:val="18"/>
                <w:lang w:val="en-US" w:eastAsia="en-US"/>
              </w:rPr>
              <w:t> </w:t>
            </w:r>
          </w:p>
        </w:tc>
        <w:tc>
          <w:tcPr>
            <w:tcW w:w="588" w:type="pct"/>
            <w:tcBorders>
              <w:top w:val="nil"/>
              <w:left w:val="nil"/>
              <w:bottom w:val="single" w:sz="4" w:space="0" w:color="305496"/>
              <w:right w:val="nil"/>
            </w:tcBorders>
            <w:shd w:val="clear" w:color="000000" w:fill="E7E6E6"/>
            <w:vAlign w:val="center"/>
            <w:hideMark/>
          </w:tcPr>
          <w:p w14:paraId="7AD46D55" w14:textId="77777777" w:rsidR="00DE28B0" w:rsidRPr="00DE28B0" w:rsidRDefault="00DE28B0" w:rsidP="00CE78DB">
            <w:pPr>
              <w:jc w:val="right"/>
              <w:rPr>
                <w:rFonts w:eastAsia="Times New Roman" w:cs="Calibri"/>
                <w:b/>
                <w:bCs/>
                <w:color w:val="000000"/>
                <w:sz w:val="18"/>
                <w:szCs w:val="18"/>
                <w:lang w:val="en-US" w:eastAsia="en-US"/>
              </w:rPr>
            </w:pPr>
            <w:r w:rsidRPr="00DE28B0">
              <w:rPr>
                <w:rFonts w:eastAsia="Times New Roman" w:cs="Calibri"/>
                <w:b/>
                <w:bCs/>
                <w:color w:val="000000"/>
                <w:sz w:val="18"/>
                <w:szCs w:val="18"/>
                <w:lang w:val="en-US" w:eastAsia="en-US"/>
              </w:rPr>
              <w:t> </w:t>
            </w:r>
          </w:p>
        </w:tc>
      </w:tr>
      <w:tr w:rsidR="00DE28B0" w:rsidRPr="00DE28B0" w14:paraId="4DE95382" w14:textId="77777777" w:rsidTr="00AF40C4">
        <w:trPr>
          <w:trHeight w:val="290"/>
        </w:trPr>
        <w:tc>
          <w:tcPr>
            <w:tcW w:w="662" w:type="pct"/>
            <w:tcBorders>
              <w:top w:val="single" w:sz="4" w:space="0" w:color="305496"/>
              <w:left w:val="nil"/>
            </w:tcBorders>
            <w:shd w:val="clear" w:color="auto" w:fill="auto"/>
            <w:noWrap/>
            <w:vAlign w:val="center"/>
            <w:hideMark/>
          </w:tcPr>
          <w:p w14:paraId="5CB1C146"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2a</w:t>
            </w:r>
          </w:p>
        </w:tc>
        <w:tc>
          <w:tcPr>
            <w:tcW w:w="514" w:type="pct"/>
            <w:tcBorders>
              <w:top w:val="single" w:sz="4" w:space="0" w:color="305496"/>
            </w:tcBorders>
            <w:shd w:val="clear" w:color="auto" w:fill="auto"/>
            <w:noWrap/>
            <w:vAlign w:val="center"/>
            <w:hideMark/>
          </w:tcPr>
          <w:p w14:paraId="2A50764B"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2a.2</w:t>
            </w:r>
          </w:p>
        </w:tc>
        <w:tc>
          <w:tcPr>
            <w:tcW w:w="2189" w:type="pct"/>
            <w:tcBorders>
              <w:top w:val="single" w:sz="4" w:space="0" w:color="305496"/>
            </w:tcBorders>
            <w:shd w:val="clear" w:color="auto" w:fill="auto"/>
            <w:noWrap/>
            <w:vAlign w:val="center"/>
            <w:hideMark/>
          </w:tcPr>
          <w:p w14:paraId="6BD6E93E" w14:textId="77777777" w:rsidR="00DE28B0" w:rsidRPr="00A87410" w:rsidRDefault="00DE28B0" w:rsidP="00AF40C4">
            <w:pPr>
              <w:jc w:val="left"/>
              <w:rPr>
                <w:rFonts w:eastAsia="Times New Roman" w:cs="Calibri"/>
                <w:color w:val="000000"/>
                <w:sz w:val="18"/>
                <w:szCs w:val="18"/>
                <w:lang w:eastAsia="en-US"/>
              </w:rPr>
            </w:pPr>
            <w:r w:rsidRPr="00A87410">
              <w:rPr>
                <w:rFonts w:eastAsia="Times New Roman" w:cs="Calibri"/>
                <w:color w:val="000000"/>
                <w:sz w:val="18"/>
                <w:szCs w:val="18"/>
                <w:lang w:eastAsia="en-US"/>
              </w:rPr>
              <w:t>Unità immobiliari aggiuntive coperte dalla banda larga ad</w:t>
            </w:r>
            <w:r w:rsidR="008D7AE0" w:rsidRPr="00A87410">
              <w:rPr>
                <w:rFonts w:eastAsia="Times New Roman" w:cs="Calibri"/>
                <w:color w:val="000000"/>
                <w:sz w:val="18"/>
                <w:szCs w:val="18"/>
                <w:lang w:eastAsia="en-US"/>
              </w:rPr>
              <w:t xml:space="preserve"> </w:t>
            </w:r>
            <w:r w:rsidRPr="00A87410">
              <w:rPr>
                <w:rFonts w:eastAsia="Times New Roman" w:cs="Calibri"/>
                <w:color w:val="000000"/>
                <w:sz w:val="18"/>
                <w:szCs w:val="18"/>
                <w:lang w:eastAsia="en-US"/>
              </w:rPr>
              <w:t>almeno 30mbps</w:t>
            </w:r>
          </w:p>
        </w:tc>
        <w:tc>
          <w:tcPr>
            <w:tcW w:w="533" w:type="pct"/>
            <w:tcBorders>
              <w:top w:val="single" w:sz="4" w:space="0" w:color="305496"/>
            </w:tcBorders>
            <w:shd w:val="clear" w:color="auto" w:fill="auto"/>
            <w:noWrap/>
            <w:vAlign w:val="center"/>
            <w:hideMark/>
          </w:tcPr>
          <w:p w14:paraId="2EBEF319" w14:textId="77777777" w:rsidR="00DE28B0" w:rsidRPr="00DE28B0" w:rsidRDefault="00AF40C4" w:rsidP="00CE78DB">
            <w:pPr>
              <w:jc w:val="right"/>
              <w:rPr>
                <w:rFonts w:eastAsia="Times New Roman" w:cs="Calibri"/>
                <w:sz w:val="18"/>
                <w:szCs w:val="18"/>
                <w:lang w:val="en-US" w:eastAsia="en-US"/>
              </w:rPr>
            </w:pPr>
            <w:r w:rsidRPr="00DE28B0">
              <w:rPr>
                <w:rFonts w:eastAsia="Times New Roman" w:cs="Calibri"/>
                <w:sz w:val="18"/>
                <w:szCs w:val="18"/>
                <w:lang w:val="en-US" w:eastAsia="en-US"/>
              </w:rPr>
              <w:t>95.385</w:t>
            </w:r>
          </w:p>
        </w:tc>
        <w:tc>
          <w:tcPr>
            <w:tcW w:w="513" w:type="pct"/>
            <w:tcBorders>
              <w:top w:val="single" w:sz="4" w:space="0" w:color="305496"/>
            </w:tcBorders>
            <w:shd w:val="clear" w:color="auto" w:fill="auto"/>
            <w:noWrap/>
            <w:vAlign w:val="center"/>
            <w:hideMark/>
          </w:tcPr>
          <w:p w14:paraId="6E80DE6C"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95.385 </w:t>
            </w:r>
          </w:p>
        </w:tc>
        <w:tc>
          <w:tcPr>
            <w:tcW w:w="588" w:type="pct"/>
            <w:tcBorders>
              <w:top w:val="single" w:sz="4" w:space="0" w:color="305496"/>
              <w:right w:val="nil"/>
            </w:tcBorders>
            <w:shd w:val="clear" w:color="auto" w:fill="auto"/>
            <w:noWrap/>
            <w:vAlign w:val="center"/>
            <w:hideMark/>
          </w:tcPr>
          <w:p w14:paraId="60E1B4FE" w14:textId="77777777"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100,00%</w:t>
            </w:r>
          </w:p>
        </w:tc>
      </w:tr>
      <w:tr w:rsidR="00DE28B0" w:rsidRPr="00DE28B0" w14:paraId="0D1736C1" w14:textId="77777777" w:rsidTr="00AF40C4">
        <w:trPr>
          <w:trHeight w:val="290"/>
        </w:trPr>
        <w:tc>
          <w:tcPr>
            <w:tcW w:w="662" w:type="pct"/>
            <w:tcBorders>
              <w:top w:val="nil"/>
              <w:left w:val="nil"/>
            </w:tcBorders>
            <w:shd w:val="clear" w:color="auto" w:fill="auto"/>
            <w:noWrap/>
            <w:vAlign w:val="center"/>
            <w:hideMark/>
          </w:tcPr>
          <w:p w14:paraId="0B3576E6"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2a</w:t>
            </w:r>
          </w:p>
        </w:tc>
        <w:tc>
          <w:tcPr>
            <w:tcW w:w="514" w:type="pct"/>
            <w:tcBorders>
              <w:top w:val="nil"/>
            </w:tcBorders>
            <w:shd w:val="clear" w:color="auto" w:fill="auto"/>
            <w:noWrap/>
            <w:vAlign w:val="center"/>
            <w:hideMark/>
          </w:tcPr>
          <w:p w14:paraId="1D1F12C6"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CO10</w:t>
            </w:r>
          </w:p>
        </w:tc>
        <w:tc>
          <w:tcPr>
            <w:tcW w:w="2189" w:type="pct"/>
            <w:tcBorders>
              <w:top w:val="nil"/>
            </w:tcBorders>
            <w:shd w:val="clear" w:color="auto" w:fill="auto"/>
            <w:noWrap/>
            <w:vAlign w:val="center"/>
            <w:hideMark/>
          </w:tcPr>
          <w:p w14:paraId="4C1FF8C4" w14:textId="77777777" w:rsidR="00DE28B0" w:rsidRPr="00A87410" w:rsidRDefault="00DE28B0" w:rsidP="00AF40C4">
            <w:pPr>
              <w:jc w:val="left"/>
              <w:rPr>
                <w:rFonts w:eastAsia="Times New Roman" w:cs="Calibri"/>
                <w:color w:val="000000"/>
                <w:sz w:val="18"/>
                <w:szCs w:val="18"/>
                <w:lang w:eastAsia="en-US"/>
              </w:rPr>
            </w:pPr>
            <w:r w:rsidRPr="00A87410">
              <w:rPr>
                <w:rFonts w:eastAsia="Times New Roman" w:cs="Calibri"/>
                <w:color w:val="000000"/>
                <w:sz w:val="18"/>
                <w:szCs w:val="18"/>
                <w:lang w:eastAsia="en-US"/>
              </w:rPr>
              <w:t>Infrastrutture TIC: Nuclei familiari aggiuntivi dotati di accesso alla banda larga ad almeno 30mbps</w:t>
            </w:r>
          </w:p>
        </w:tc>
        <w:tc>
          <w:tcPr>
            <w:tcW w:w="533" w:type="pct"/>
            <w:tcBorders>
              <w:top w:val="nil"/>
            </w:tcBorders>
            <w:shd w:val="clear" w:color="auto" w:fill="auto"/>
            <w:noWrap/>
            <w:vAlign w:val="center"/>
            <w:hideMark/>
          </w:tcPr>
          <w:p w14:paraId="019751F2"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80.596 </w:t>
            </w:r>
          </w:p>
        </w:tc>
        <w:tc>
          <w:tcPr>
            <w:tcW w:w="513" w:type="pct"/>
            <w:tcBorders>
              <w:top w:val="nil"/>
            </w:tcBorders>
            <w:shd w:val="clear" w:color="auto" w:fill="auto"/>
            <w:noWrap/>
            <w:vAlign w:val="center"/>
            <w:hideMark/>
          </w:tcPr>
          <w:p w14:paraId="252F631E"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95.385 </w:t>
            </w:r>
          </w:p>
        </w:tc>
        <w:tc>
          <w:tcPr>
            <w:tcW w:w="588" w:type="pct"/>
            <w:tcBorders>
              <w:top w:val="nil"/>
              <w:right w:val="nil"/>
            </w:tcBorders>
            <w:shd w:val="clear" w:color="auto" w:fill="auto"/>
            <w:noWrap/>
            <w:vAlign w:val="center"/>
            <w:hideMark/>
          </w:tcPr>
          <w:p w14:paraId="25FA4434" w14:textId="77777777"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118,35%</w:t>
            </w:r>
          </w:p>
        </w:tc>
      </w:tr>
      <w:tr w:rsidR="00DE28B0" w:rsidRPr="00DE28B0" w14:paraId="362CA940" w14:textId="77777777" w:rsidTr="00AF40C4">
        <w:trPr>
          <w:trHeight w:val="244"/>
        </w:trPr>
        <w:tc>
          <w:tcPr>
            <w:tcW w:w="662" w:type="pct"/>
            <w:tcBorders>
              <w:left w:val="nil"/>
              <w:bottom w:val="single" w:sz="4" w:space="0" w:color="305496"/>
              <w:right w:val="nil"/>
            </w:tcBorders>
            <w:shd w:val="clear" w:color="000000" w:fill="E7E6E6"/>
            <w:vAlign w:val="center"/>
            <w:hideMark/>
          </w:tcPr>
          <w:p w14:paraId="4E9C3A41" w14:textId="77777777" w:rsidR="00DE28B0" w:rsidRPr="00DE28B0" w:rsidRDefault="00DE28B0" w:rsidP="00AF40C4">
            <w:pPr>
              <w:jc w:val="center"/>
              <w:rPr>
                <w:rFonts w:eastAsia="Times New Roman" w:cs="Calibri"/>
                <w:b/>
                <w:bCs/>
                <w:color w:val="000000"/>
                <w:sz w:val="18"/>
                <w:szCs w:val="18"/>
                <w:lang w:val="en-US" w:eastAsia="en-US"/>
              </w:rPr>
            </w:pPr>
            <w:r w:rsidRPr="00DE28B0">
              <w:rPr>
                <w:rFonts w:eastAsia="Times New Roman" w:cs="Calibri"/>
                <w:b/>
                <w:bCs/>
                <w:color w:val="000000"/>
                <w:sz w:val="18"/>
                <w:szCs w:val="18"/>
                <w:lang w:val="en-US" w:eastAsia="en-US"/>
              </w:rPr>
              <w:t>Asse III</w:t>
            </w:r>
          </w:p>
        </w:tc>
        <w:tc>
          <w:tcPr>
            <w:tcW w:w="514" w:type="pct"/>
            <w:tcBorders>
              <w:left w:val="nil"/>
              <w:bottom w:val="single" w:sz="4" w:space="0" w:color="305496"/>
              <w:right w:val="nil"/>
            </w:tcBorders>
            <w:shd w:val="clear" w:color="000000" w:fill="E7E6E6"/>
            <w:vAlign w:val="center"/>
            <w:hideMark/>
          </w:tcPr>
          <w:p w14:paraId="5A73B148" w14:textId="77777777" w:rsidR="00DE28B0" w:rsidRPr="00DE28B0" w:rsidRDefault="00DE28B0" w:rsidP="00AF40C4">
            <w:pPr>
              <w:jc w:val="center"/>
              <w:rPr>
                <w:rFonts w:eastAsia="Times New Roman" w:cs="Calibri"/>
                <w:b/>
                <w:bCs/>
                <w:color w:val="000000"/>
                <w:sz w:val="18"/>
                <w:szCs w:val="18"/>
                <w:lang w:val="en-US" w:eastAsia="en-US"/>
              </w:rPr>
            </w:pPr>
          </w:p>
        </w:tc>
        <w:tc>
          <w:tcPr>
            <w:tcW w:w="2189" w:type="pct"/>
            <w:tcBorders>
              <w:left w:val="nil"/>
              <w:bottom w:val="single" w:sz="4" w:space="0" w:color="305496"/>
              <w:right w:val="nil"/>
            </w:tcBorders>
            <w:shd w:val="clear" w:color="000000" w:fill="E7E6E6"/>
            <w:vAlign w:val="center"/>
            <w:hideMark/>
          </w:tcPr>
          <w:p w14:paraId="2364FB43" w14:textId="77777777" w:rsidR="00DE28B0" w:rsidRPr="00A87410" w:rsidRDefault="00DE28B0" w:rsidP="00AF40C4">
            <w:pPr>
              <w:jc w:val="left"/>
              <w:rPr>
                <w:rFonts w:eastAsia="Times New Roman" w:cs="Calibri"/>
                <w:b/>
                <w:bCs/>
                <w:color w:val="000000"/>
                <w:sz w:val="18"/>
                <w:szCs w:val="18"/>
                <w:lang w:val="en-US" w:eastAsia="en-US"/>
              </w:rPr>
            </w:pPr>
            <w:r w:rsidRPr="00A87410">
              <w:rPr>
                <w:rFonts w:eastAsia="Times New Roman" w:cs="Calibri"/>
                <w:b/>
                <w:bCs/>
                <w:color w:val="000000"/>
                <w:sz w:val="18"/>
                <w:szCs w:val="18"/>
                <w:lang w:val="en-US" w:eastAsia="en-US"/>
              </w:rPr>
              <w:t> </w:t>
            </w:r>
          </w:p>
        </w:tc>
        <w:tc>
          <w:tcPr>
            <w:tcW w:w="533" w:type="pct"/>
            <w:tcBorders>
              <w:left w:val="nil"/>
              <w:bottom w:val="single" w:sz="4" w:space="0" w:color="305496"/>
              <w:right w:val="nil"/>
            </w:tcBorders>
            <w:shd w:val="clear" w:color="000000" w:fill="E7E6E6"/>
            <w:vAlign w:val="center"/>
            <w:hideMark/>
          </w:tcPr>
          <w:p w14:paraId="74080697" w14:textId="77777777" w:rsidR="00DE28B0" w:rsidRPr="00DE28B0" w:rsidRDefault="00DE28B0" w:rsidP="00CE78DB">
            <w:pPr>
              <w:jc w:val="right"/>
              <w:rPr>
                <w:rFonts w:eastAsia="Times New Roman" w:cs="Calibri"/>
                <w:b/>
                <w:bCs/>
                <w:color w:val="000000"/>
                <w:sz w:val="18"/>
                <w:szCs w:val="18"/>
                <w:lang w:val="en-US" w:eastAsia="en-US"/>
              </w:rPr>
            </w:pPr>
            <w:r w:rsidRPr="00DE28B0">
              <w:rPr>
                <w:rFonts w:eastAsia="Times New Roman" w:cs="Calibri"/>
                <w:b/>
                <w:bCs/>
                <w:color w:val="000000"/>
                <w:sz w:val="18"/>
                <w:szCs w:val="18"/>
                <w:lang w:val="en-US" w:eastAsia="en-US"/>
              </w:rPr>
              <w:t> </w:t>
            </w:r>
          </w:p>
        </w:tc>
        <w:tc>
          <w:tcPr>
            <w:tcW w:w="513" w:type="pct"/>
            <w:tcBorders>
              <w:left w:val="nil"/>
              <w:bottom w:val="single" w:sz="4" w:space="0" w:color="305496"/>
              <w:right w:val="nil"/>
            </w:tcBorders>
            <w:shd w:val="clear" w:color="000000" w:fill="E7E6E6"/>
            <w:vAlign w:val="center"/>
            <w:hideMark/>
          </w:tcPr>
          <w:p w14:paraId="72F1B31B" w14:textId="77777777" w:rsidR="00DE28B0" w:rsidRPr="00DE28B0" w:rsidRDefault="00DE28B0" w:rsidP="00CE78DB">
            <w:pPr>
              <w:jc w:val="right"/>
              <w:rPr>
                <w:rFonts w:eastAsia="Times New Roman" w:cs="Calibri"/>
                <w:b/>
                <w:bCs/>
                <w:color w:val="000000"/>
                <w:sz w:val="18"/>
                <w:szCs w:val="18"/>
                <w:lang w:val="en-US" w:eastAsia="en-US"/>
              </w:rPr>
            </w:pPr>
            <w:r w:rsidRPr="00DE28B0">
              <w:rPr>
                <w:rFonts w:eastAsia="Times New Roman" w:cs="Calibri"/>
                <w:b/>
                <w:bCs/>
                <w:color w:val="000000"/>
                <w:sz w:val="18"/>
                <w:szCs w:val="18"/>
                <w:lang w:val="en-US" w:eastAsia="en-US"/>
              </w:rPr>
              <w:t> </w:t>
            </w:r>
          </w:p>
        </w:tc>
        <w:tc>
          <w:tcPr>
            <w:tcW w:w="588" w:type="pct"/>
            <w:tcBorders>
              <w:left w:val="nil"/>
              <w:bottom w:val="single" w:sz="4" w:space="0" w:color="305496"/>
              <w:right w:val="nil"/>
            </w:tcBorders>
            <w:shd w:val="clear" w:color="000000" w:fill="E7E6E6"/>
            <w:vAlign w:val="center"/>
            <w:hideMark/>
          </w:tcPr>
          <w:p w14:paraId="3D711483" w14:textId="77777777" w:rsidR="00DE28B0" w:rsidRPr="00DE28B0" w:rsidRDefault="00DE28B0" w:rsidP="00CE78DB">
            <w:pPr>
              <w:jc w:val="right"/>
              <w:rPr>
                <w:rFonts w:eastAsia="Times New Roman" w:cs="Calibri"/>
                <w:b/>
                <w:bCs/>
                <w:color w:val="000000"/>
                <w:sz w:val="18"/>
                <w:szCs w:val="18"/>
                <w:lang w:val="en-US" w:eastAsia="en-US"/>
              </w:rPr>
            </w:pPr>
            <w:r w:rsidRPr="00DE28B0">
              <w:rPr>
                <w:rFonts w:eastAsia="Times New Roman" w:cs="Calibri"/>
                <w:b/>
                <w:bCs/>
                <w:color w:val="000000"/>
                <w:sz w:val="18"/>
                <w:szCs w:val="18"/>
                <w:lang w:val="en-US" w:eastAsia="en-US"/>
              </w:rPr>
              <w:t> </w:t>
            </w:r>
          </w:p>
        </w:tc>
      </w:tr>
      <w:tr w:rsidR="00DE28B0" w:rsidRPr="00DE28B0" w14:paraId="13D54C16" w14:textId="77777777" w:rsidTr="00AF40C4">
        <w:trPr>
          <w:trHeight w:val="290"/>
        </w:trPr>
        <w:tc>
          <w:tcPr>
            <w:tcW w:w="662" w:type="pct"/>
            <w:tcBorders>
              <w:top w:val="single" w:sz="4" w:space="0" w:color="305496"/>
              <w:left w:val="nil"/>
            </w:tcBorders>
            <w:shd w:val="clear" w:color="auto" w:fill="auto"/>
            <w:noWrap/>
            <w:vAlign w:val="center"/>
            <w:hideMark/>
          </w:tcPr>
          <w:p w14:paraId="6A65D6E9"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3a</w:t>
            </w:r>
          </w:p>
        </w:tc>
        <w:tc>
          <w:tcPr>
            <w:tcW w:w="514" w:type="pct"/>
            <w:tcBorders>
              <w:top w:val="single" w:sz="4" w:space="0" w:color="305496"/>
            </w:tcBorders>
            <w:shd w:val="clear" w:color="auto" w:fill="auto"/>
            <w:noWrap/>
            <w:vAlign w:val="center"/>
            <w:hideMark/>
          </w:tcPr>
          <w:p w14:paraId="5FF2A09A"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CO01</w:t>
            </w:r>
          </w:p>
        </w:tc>
        <w:tc>
          <w:tcPr>
            <w:tcW w:w="2189" w:type="pct"/>
            <w:tcBorders>
              <w:top w:val="single" w:sz="4" w:space="0" w:color="305496"/>
            </w:tcBorders>
            <w:shd w:val="clear" w:color="auto" w:fill="auto"/>
            <w:noWrap/>
            <w:vAlign w:val="center"/>
            <w:hideMark/>
          </w:tcPr>
          <w:p w14:paraId="7A082CBA" w14:textId="77777777" w:rsidR="00DE28B0" w:rsidRPr="00A87410" w:rsidRDefault="00DE28B0" w:rsidP="00AF40C4">
            <w:pPr>
              <w:jc w:val="left"/>
              <w:rPr>
                <w:rFonts w:eastAsia="Times New Roman" w:cs="Calibri"/>
                <w:color w:val="000000"/>
                <w:sz w:val="18"/>
                <w:szCs w:val="18"/>
                <w:lang w:eastAsia="en-US"/>
              </w:rPr>
            </w:pPr>
            <w:r w:rsidRPr="00A87410">
              <w:rPr>
                <w:rFonts w:eastAsia="Times New Roman" w:cs="Calibri"/>
                <w:color w:val="000000"/>
                <w:sz w:val="18"/>
                <w:szCs w:val="18"/>
                <w:lang w:eastAsia="en-US"/>
              </w:rPr>
              <w:t>Numero di imprese che ricevono un sostegno</w:t>
            </w:r>
          </w:p>
        </w:tc>
        <w:tc>
          <w:tcPr>
            <w:tcW w:w="533" w:type="pct"/>
            <w:tcBorders>
              <w:top w:val="single" w:sz="4" w:space="0" w:color="305496"/>
            </w:tcBorders>
            <w:shd w:val="clear" w:color="auto" w:fill="auto"/>
            <w:noWrap/>
            <w:vAlign w:val="center"/>
            <w:hideMark/>
          </w:tcPr>
          <w:p w14:paraId="26A8D448"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184 </w:t>
            </w:r>
          </w:p>
        </w:tc>
        <w:tc>
          <w:tcPr>
            <w:tcW w:w="513" w:type="pct"/>
            <w:tcBorders>
              <w:top w:val="single" w:sz="4" w:space="0" w:color="305496"/>
            </w:tcBorders>
            <w:shd w:val="clear" w:color="auto" w:fill="auto"/>
            <w:noWrap/>
            <w:vAlign w:val="center"/>
            <w:hideMark/>
          </w:tcPr>
          <w:p w14:paraId="35E4999C"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78 </w:t>
            </w:r>
          </w:p>
        </w:tc>
        <w:tc>
          <w:tcPr>
            <w:tcW w:w="588" w:type="pct"/>
            <w:tcBorders>
              <w:top w:val="single" w:sz="4" w:space="0" w:color="305496"/>
              <w:right w:val="nil"/>
            </w:tcBorders>
            <w:shd w:val="clear" w:color="auto" w:fill="auto"/>
            <w:noWrap/>
            <w:vAlign w:val="center"/>
            <w:hideMark/>
          </w:tcPr>
          <w:p w14:paraId="1DE5CC24" w14:textId="77777777"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42,39%</w:t>
            </w:r>
          </w:p>
        </w:tc>
      </w:tr>
      <w:tr w:rsidR="00DE28B0" w:rsidRPr="00DE28B0" w14:paraId="62804047" w14:textId="77777777" w:rsidTr="00AF40C4">
        <w:trPr>
          <w:trHeight w:val="290"/>
        </w:trPr>
        <w:tc>
          <w:tcPr>
            <w:tcW w:w="662" w:type="pct"/>
            <w:tcBorders>
              <w:top w:val="nil"/>
              <w:left w:val="nil"/>
            </w:tcBorders>
            <w:shd w:val="clear" w:color="auto" w:fill="auto"/>
            <w:noWrap/>
            <w:vAlign w:val="center"/>
            <w:hideMark/>
          </w:tcPr>
          <w:p w14:paraId="78D494A5"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3a</w:t>
            </w:r>
          </w:p>
        </w:tc>
        <w:tc>
          <w:tcPr>
            <w:tcW w:w="514" w:type="pct"/>
            <w:tcBorders>
              <w:top w:val="nil"/>
            </w:tcBorders>
            <w:shd w:val="clear" w:color="auto" w:fill="auto"/>
            <w:noWrap/>
            <w:vAlign w:val="center"/>
            <w:hideMark/>
          </w:tcPr>
          <w:p w14:paraId="0E57880A"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CO05</w:t>
            </w:r>
          </w:p>
        </w:tc>
        <w:tc>
          <w:tcPr>
            <w:tcW w:w="2189" w:type="pct"/>
            <w:tcBorders>
              <w:top w:val="nil"/>
            </w:tcBorders>
            <w:shd w:val="clear" w:color="auto" w:fill="auto"/>
            <w:noWrap/>
            <w:vAlign w:val="center"/>
            <w:hideMark/>
          </w:tcPr>
          <w:p w14:paraId="4F0A921E" w14:textId="77777777" w:rsidR="00DE28B0" w:rsidRPr="00A87410" w:rsidRDefault="00DE28B0" w:rsidP="00AF40C4">
            <w:pPr>
              <w:jc w:val="left"/>
              <w:rPr>
                <w:rFonts w:eastAsia="Times New Roman" w:cs="Calibri"/>
                <w:color w:val="000000"/>
                <w:sz w:val="18"/>
                <w:szCs w:val="18"/>
                <w:lang w:eastAsia="en-US"/>
              </w:rPr>
            </w:pPr>
            <w:r w:rsidRPr="00A87410">
              <w:rPr>
                <w:rFonts w:eastAsia="Times New Roman" w:cs="Calibri"/>
                <w:color w:val="000000"/>
                <w:sz w:val="18"/>
                <w:szCs w:val="18"/>
                <w:lang w:eastAsia="en-US"/>
              </w:rPr>
              <w:t>Numero di nuove imprese che ricevono un sostegno</w:t>
            </w:r>
          </w:p>
        </w:tc>
        <w:tc>
          <w:tcPr>
            <w:tcW w:w="533" w:type="pct"/>
            <w:tcBorders>
              <w:top w:val="nil"/>
            </w:tcBorders>
            <w:shd w:val="clear" w:color="auto" w:fill="auto"/>
            <w:noWrap/>
            <w:vAlign w:val="center"/>
            <w:hideMark/>
          </w:tcPr>
          <w:p w14:paraId="6394625C"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184 </w:t>
            </w:r>
          </w:p>
        </w:tc>
        <w:tc>
          <w:tcPr>
            <w:tcW w:w="513" w:type="pct"/>
            <w:tcBorders>
              <w:top w:val="nil"/>
            </w:tcBorders>
            <w:shd w:val="clear" w:color="auto" w:fill="auto"/>
            <w:noWrap/>
            <w:vAlign w:val="center"/>
            <w:hideMark/>
          </w:tcPr>
          <w:p w14:paraId="4E8E5EFA"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124 </w:t>
            </w:r>
          </w:p>
        </w:tc>
        <w:tc>
          <w:tcPr>
            <w:tcW w:w="588" w:type="pct"/>
            <w:tcBorders>
              <w:top w:val="nil"/>
              <w:right w:val="nil"/>
            </w:tcBorders>
            <w:shd w:val="clear" w:color="auto" w:fill="auto"/>
            <w:noWrap/>
            <w:vAlign w:val="center"/>
            <w:hideMark/>
          </w:tcPr>
          <w:p w14:paraId="46DE8AD1" w14:textId="77777777"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67,39%</w:t>
            </w:r>
          </w:p>
        </w:tc>
      </w:tr>
      <w:tr w:rsidR="00DE28B0" w:rsidRPr="00DE28B0" w14:paraId="0C142BA5" w14:textId="77777777" w:rsidTr="00AF40C4">
        <w:trPr>
          <w:trHeight w:val="290"/>
        </w:trPr>
        <w:tc>
          <w:tcPr>
            <w:tcW w:w="662" w:type="pct"/>
            <w:tcBorders>
              <w:top w:val="nil"/>
              <w:left w:val="nil"/>
            </w:tcBorders>
            <w:shd w:val="clear" w:color="auto" w:fill="auto"/>
            <w:noWrap/>
            <w:vAlign w:val="center"/>
            <w:hideMark/>
          </w:tcPr>
          <w:p w14:paraId="6D2EC127"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3a</w:t>
            </w:r>
          </w:p>
        </w:tc>
        <w:tc>
          <w:tcPr>
            <w:tcW w:w="514" w:type="pct"/>
            <w:tcBorders>
              <w:top w:val="nil"/>
            </w:tcBorders>
            <w:shd w:val="clear" w:color="auto" w:fill="auto"/>
            <w:noWrap/>
            <w:vAlign w:val="center"/>
            <w:hideMark/>
          </w:tcPr>
          <w:p w14:paraId="35B4DB72"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CO08</w:t>
            </w:r>
          </w:p>
        </w:tc>
        <w:tc>
          <w:tcPr>
            <w:tcW w:w="2189" w:type="pct"/>
            <w:tcBorders>
              <w:top w:val="nil"/>
            </w:tcBorders>
            <w:shd w:val="clear" w:color="auto" w:fill="auto"/>
            <w:noWrap/>
            <w:vAlign w:val="center"/>
            <w:hideMark/>
          </w:tcPr>
          <w:p w14:paraId="76537C01" w14:textId="77777777" w:rsidR="00DE28B0" w:rsidRPr="00A87410" w:rsidRDefault="00DE28B0" w:rsidP="00AF40C4">
            <w:pPr>
              <w:jc w:val="left"/>
              <w:rPr>
                <w:rFonts w:eastAsia="Times New Roman" w:cs="Calibri"/>
                <w:color w:val="000000"/>
                <w:sz w:val="18"/>
                <w:szCs w:val="18"/>
                <w:lang w:eastAsia="en-US"/>
              </w:rPr>
            </w:pPr>
            <w:r w:rsidRPr="00A87410">
              <w:rPr>
                <w:rFonts w:eastAsia="Times New Roman" w:cs="Calibri"/>
                <w:color w:val="000000"/>
                <w:sz w:val="18"/>
                <w:szCs w:val="18"/>
                <w:lang w:eastAsia="en-US"/>
              </w:rPr>
              <w:t>Crescita dell'occupazione nelle imprese che ricevono un sostegno</w:t>
            </w:r>
          </w:p>
        </w:tc>
        <w:tc>
          <w:tcPr>
            <w:tcW w:w="533" w:type="pct"/>
            <w:tcBorders>
              <w:top w:val="nil"/>
            </w:tcBorders>
            <w:shd w:val="clear" w:color="auto" w:fill="auto"/>
            <w:noWrap/>
            <w:vAlign w:val="center"/>
            <w:hideMark/>
          </w:tcPr>
          <w:p w14:paraId="7BC91929"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368 </w:t>
            </w:r>
          </w:p>
        </w:tc>
        <w:tc>
          <w:tcPr>
            <w:tcW w:w="513" w:type="pct"/>
            <w:tcBorders>
              <w:top w:val="nil"/>
            </w:tcBorders>
            <w:shd w:val="clear" w:color="auto" w:fill="auto"/>
            <w:noWrap/>
            <w:vAlign w:val="center"/>
            <w:hideMark/>
          </w:tcPr>
          <w:p w14:paraId="6CD74230"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286 </w:t>
            </w:r>
          </w:p>
        </w:tc>
        <w:tc>
          <w:tcPr>
            <w:tcW w:w="588" w:type="pct"/>
            <w:tcBorders>
              <w:top w:val="nil"/>
              <w:right w:val="nil"/>
            </w:tcBorders>
            <w:shd w:val="clear" w:color="auto" w:fill="auto"/>
            <w:noWrap/>
            <w:vAlign w:val="center"/>
            <w:hideMark/>
          </w:tcPr>
          <w:p w14:paraId="191314DD" w14:textId="77777777"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77,72%</w:t>
            </w:r>
          </w:p>
        </w:tc>
      </w:tr>
      <w:tr w:rsidR="00DE28B0" w:rsidRPr="00DE28B0" w14:paraId="4E9B9F86" w14:textId="77777777" w:rsidTr="00AF40C4">
        <w:trPr>
          <w:trHeight w:val="290"/>
        </w:trPr>
        <w:tc>
          <w:tcPr>
            <w:tcW w:w="662" w:type="pct"/>
            <w:tcBorders>
              <w:top w:val="nil"/>
              <w:left w:val="nil"/>
            </w:tcBorders>
            <w:shd w:val="clear" w:color="auto" w:fill="auto"/>
            <w:noWrap/>
            <w:vAlign w:val="center"/>
            <w:hideMark/>
          </w:tcPr>
          <w:p w14:paraId="7CDB05BF"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3b</w:t>
            </w:r>
          </w:p>
        </w:tc>
        <w:tc>
          <w:tcPr>
            <w:tcW w:w="514" w:type="pct"/>
            <w:tcBorders>
              <w:top w:val="nil"/>
            </w:tcBorders>
            <w:shd w:val="clear" w:color="auto" w:fill="auto"/>
            <w:noWrap/>
            <w:vAlign w:val="center"/>
            <w:hideMark/>
          </w:tcPr>
          <w:p w14:paraId="7978620D"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CO01</w:t>
            </w:r>
          </w:p>
        </w:tc>
        <w:tc>
          <w:tcPr>
            <w:tcW w:w="2189" w:type="pct"/>
            <w:tcBorders>
              <w:top w:val="nil"/>
            </w:tcBorders>
            <w:shd w:val="clear" w:color="auto" w:fill="auto"/>
            <w:noWrap/>
            <w:vAlign w:val="center"/>
            <w:hideMark/>
          </w:tcPr>
          <w:p w14:paraId="1A567BB2" w14:textId="77777777" w:rsidR="00DE28B0" w:rsidRPr="00A87410" w:rsidRDefault="00DE28B0" w:rsidP="00AF40C4">
            <w:pPr>
              <w:jc w:val="left"/>
              <w:rPr>
                <w:rFonts w:eastAsia="Times New Roman" w:cs="Calibri"/>
                <w:color w:val="000000"/>
                <w:sz w:val="18"/>
                <w:szCs w:val="18"/>
                <w:lang w:eastAsia="en-US"/>
              </w:rPr>
            </w:pPr>
            <w:r w:rsidRPr="00A87410">
              <w:rPr>
                <w:rFonts w:eastAsia="Times New Roman" w:cs="Calibri"/>
                <w:color w:val="000000"/>
                <w:sz w:val="18"/>
                <w:szCs w:val="18"/>
                <w:lang w:eastAsia="en-US"/>
              </w:rPr>
              <w:t>Numero di imprese che ricevono un sostegno</w:t>
            </w:r>
          </w:p>
        </w:tc>
        <w:tc>
          <w:tcPr>
            <w:tcW w:w="533" w:type="pct"/>
            <w:tcBorders>
              <w:top w:val="nil"/>
            </w:tcBorders>
            <w:shd w:val="clear" w:color="auto" w:fill="auto"/>
            <w:noWrap/>
            <w:vAlign w:val="center"/>
            <w:hideMark/>
          </w:tcPr>
          <w:p w14:paraId="02D40F98"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3.642 </w:t>
            </w:r>
          </w:p>
        </w:tc>
        <w:tc>
          <w:tcPr>
            <w:tcW w:w="513" w:type="pct"/>
            <w:tcBorders>
              <w:top w:val="nil"/>
            </w:tcBorders>
            <w:shd w:val="clear" w:color="auto" w:fill="auto"/>
            <w:noWrap/>
            <w:vAlign w:val="center"/>
            <w:hideMark/>
          </w:tcPr>
          <w:p w14:paraId="1C66E8FA"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1.114 </w:t>
            </w:r>
          </w:p>
        </w:tc>
        <w:tc>
          <w:tcPr>
            <w:tcW w:w="588" w:type="pct"/>
            <w:tcBorders>
              <w:top w:val="nil"/>
              <w:right w:val="nil"/>
            </w:tcBorders>
            <w:shd w:val="clear" w:color="auto" w:fill="auto"/>
            <w:noWrap/>
            <w:vAlign w:val="center"/>
            <w:hideMark/>
          </w:tcPr>
          <w:p w14:paraId="33047F7D" w14:textId="77777777"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30,59%</w:t>
            </w:r>
          </w:p>
        </w:tc>
      </w:tr>
      <w:tr w:rsidR="00DE28B0" w:rsidRPr="00DE28B0" w14:paraId="785D2207" w14:textId="77777777" w:rsidTr="00AF40C4">
        <w:trPr>
          <w:trHeight w:val="290"/>
        </w:trPr>
        <w:tc>
          <w:tcPr>
            <w:tcW w:w="662" w:type="pct"/>
            <w:tcBorders>
              <w:top w:val="nil"/>
              <w:left w:val="nil"/>
            </w:tcBorders>
            <w:shd w:val="clear" w:color="auto" w:fill="auto"/>
            <w:noWrap/>
            <w:vAlign w:val="center"/>
            <w:hideMark/>
          </w:tcPr>
          <w:p w14:paraId="4343AB99"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3b</w:t>
            </w:r>
          </w:p>
        </w:tc>
        <w:tc>
          <w:tcPr>
            <w:tcW w:w="514" w:type="pct"/>
            <w:tcBorders>
              <w:top w:val="nil"/>
            </w:tcBorders>
            <w:shd w:val="clear" w:color="auto" w:fill="auto"/>
            <w:noWrap/>
            <w:vAlign w:val="center"/>
            <w:hideMark/>
          </w:tcPr>
          <w:p w14:paraId="161AF735"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CO02</w:t>
            </w:r>
          </w:p>
        </w:tc>
        <w:tc>
          <w:tcPr>
            <w:tcW w:w="2189" w:type="pct"/>
            <w:tcBorders>
              <w:top w:val="nil"/>
            </w:tcBorders>
            <w:shd w:val="clear" w:color="auto" w:fill="auto"/>
            <w:noWrap/>
            <w:vAlign w:val="center"/>
            <w:hideMark/>
          </w:tcPr>
          <w:p w14:paraId="238A71F0" w14:textId="77777777" w:rsidR="00DE28B0" w:rsidRPr="00A87410" w:rsidRDefault="00DE28B0" w:rsidP="00AF40C4">
            <w:pPr>
              <w:jc w:val="left"/>
              <w:rPr>
                <w:rFonts w:eastAsia="Times New Roman" w:cs="Calibri"/>
                <w:color w:val="000000"/>
                <w:sz w:val="18"/>
                <w:szCs w:val="18"/>
                <w:lang w:eastAsia="en-US"/>
              </w:rPr>
            </w:pPr>
            <w:r w:rsidRPr="00A87410">
              <w:rPr>
                <w:rFonts w:eastAsia="Times New Roman" w:cs="Calibri"/>
                <w:color w:val="000000"/>
                <w:sz w:val="18"/>
                <w:szCs w:val="18"/>
                <w:lang w:eastAsia="en-US"/>
              </w:rPr>
              <w:t>Numero di imprese che ricevono sovvenzioni (a fondo perduto)</w:t>
            </w:r>
          </w:p>
        </w:tc>
        <w:tc>
          <w:tcPr>
            <w:tcW w:w="533" w:type="pct"/>
            <w:tcBorders>
              <w:top w:val="nil"/>
            </w:tcBorders>
            <w:shd w:val="clear" w:color="auto" w:fill="auto"/>
            <w:noWrap/>
            <w:vAlign w:val="center"/>
            <w:hideMark/>
          </w:tcPr>
          <w:p w14:paraId="1141DB2F"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900 </w:t>
            </w:r>
          </w:p>
        </w:tc>
        <w:tc>
          <w:tcPr>
            <w:tcW w:w="513" w:type="pct"/>
            <w:tcBorders>
              <w:top w:val="nil"/>
            </w:tcBorders>
            <w:shd w:val="clear" w:color="auto" w:fill="auto"/>
            <w:noWrap/>
            <w:vAlign w:val="center"/>
            <w:hideMark/>
          </w:tcPr>
          <w:p w14:paraId="26824922"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263 </w:t>
            </w:r>
          </w:p>
        </w:tc>
        <w:tc>
          <w:tcPr>
            <w:tcW w:w="588" w:type="pct"/>
            <w:tcBorders>
              <w:top w:val="nil"/>
              <w:right w:val="nil"/>
            </w:tcBorders>
            <w:shd w:val="clear" w:color="auto" w:fill="auto"/>
            <w:noWrap/>
            <w:vAlign w:val="center"/>
            <w:hideMark/>
          </w:tcPr>
          <w:p w14:paraId="6F3C5386" w14:textId="77777777"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29,22%</w:t>
            </w:r>
          </w:p>
        </w:tc>
      </w:tr>
      <w:tr w:rsidR="00DE28B0" w:rsidRPr="00DE28B0" w14:paraId="38808DB1" w14:textId="77777777" w:rsidTr="00AF40C4">
        <w:trPr>
          <w:trHeight w:val="290"/>
        </w:trPr>
        <w:tc>
          <w:tcPr>
            <w:tcW w:w="662" w:type="pct"/>
            <w:tcBorders>
              <w:top w:val="nil"/>
              <w:left w:val="nil"/>
            </w:tcBorders>
            <w:shd w:val="clear" w:color="auto" w:fill="auto"/>
            <w:noWrap/>
            <w:vAlign w:val="center"/>
            <w:hideMark/>
          </w:tcPr>
          <w:p w14:paraId="27EF6B8B"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3b</w:t>
            </w:r>
          </w:p>
        </w:tc>
        <w:tc>
          <w:tcPr>
            <w:tcW w:w="514" w:type="pct"/>
            <w:tcBorders>
              <w:top w:val="nil"/>
            </w:tcBorders>
            <w:shd w:val="clear" w:color="auto" w:fill="auto"/>
            <w:noWrap/>
            <w:vAlign w:val="center"/>
            <w:hideMark/>
          </w:tcPr>
          <w:p w14:paraId="26FD76DC"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CO04</w:t>
            </w:r>
          </w:p>
        </w:tc>
        <w:tc>
          <w:tcPr>
            <w:tcW w:w="2189" w:type="pct"/>
            <w:tcBorders>
              <w:top w:val="nil"/>
            </w:tcBorders>
            <w:shd w:val="clear" w:color="auto" w:fill="auto"/>
            <w:vAlign w:val="center"/>
            <w:hideMark/>
          </w:tcPr>
          <w:p w14:paraId="64C594B6" w14:textId="77777777" w:rsidR="00DE28B0" w:rsidRPr="00A87410" w:rsidRDefault="00DE28B0" w:rsidP="00AF40C4">
            <w:pPr>
              <w:jc w:val="left"/>
              <w:rPr>
                <w:rFonts w:eastAsia="Times New Roman" w:cs="Calibri"/>
                <w:color w:val="000000"/>
                <w:sz w:val="18"/>
                <w:szCs w:val="18"/>
                <w:lang w:eastAsia="en-US"/>
              </w:rPr>
            </w:pPr>
            <w:r w:rsidRPr="00A87410">
              <w:rPr>
                <w:rFonts w:eastAsia="Times New Roman" w:cs="Calibri"/>
                <w:color w:val="000000"/>
                <w:sz w:val="18"/>
                <w:szCs w:val="18"/>
                <w:lang w:eastAsia="en-US"/>
              </w:rPr>
              <w:t>Numero di imprese che ricevono un sostegno non finanziario</w:t>
            </w:r>
          </w:p>
        </w:tc>
        <w:tc>
          <w:tcPr>
            <w:tcW w:w="533" w:type="pct"/>
            <w:tcBorders>
              <w:top w:val="nil"/>
            </w:tcBorders>
            <w:shd w:val="clear" w:color="auto" w:fill="auto"/>
            <w:noWrap/>
            <w:vAlign w:val="center"/>
            <w:hideMark/>
          </w:tcPr>
          <w:p w14:paraId="0AE6EC34"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1.200 </w:t>
            </w:r>
          </w:p>
        </w:tc>
        <w:tc>
          <w:tcPr>
            <w:tcW w:w="513" w:type="pct"/>
            <w:tcBorders>
              <w:top w:val="nil"/>
            </w:tcBorders>
            <w:shd w:val="clear" w:color="auto" w:fill="auto"/>
            <w:noWrap/>
            <w:vAlign w:val="center"/>
            <w:hideMark/>
          </w:tcPr>
          <w:p w14:paraId="58003173"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4 </w:t>
            </w:r>
          </w:p>
        </w:tc>
        <w:tc>
          <w:tcPr>
            <w:tcW w:w="588" w:type="pct"/>
            <w:tcBorders>
              <w:top w:val="nil"/>
              <w:right w:val="nil"/>
            </w:tcBorders>
            <w:shd w:val="clear" w:color="auto" w:fill="auto"/>
            <w:noWrap/>
            <w:vAlign w:val="center"/>
            <w:hideMark/>
          </w:tcPr>
          <w:p w14:paraId="1A75E936" w14:textId="77777777"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0,33%</w:t>
            </w:r>
          </w:p>
        </w:tc>
      </w:tr>
      <w:tr w:rsidR="00DE28B0" w:rsidRPr="00DE28B0" w14:paraId="544377F2" w14:textId="77777777" w:rsidTr="00AF40C4">
        <w:trPr>
          <w:trHeight w:val="315"/>
        </w:trPr>
        <w:tc>
          <w:tcPr>
            <w:tcW w:w="662" w:type="pct"/>
            <w:tcBorders>
              <w:top w:val="nil"/>
              <w:left w:val="nil"/>
            </w:tcBorders>
            <w:shd w:val="clear" w:color="auto" w:fill="auto"/>
            <w:noWrap/>
            <w:vAlign w:val="center"/>
            <w:hideMark/>
          </w:tcPr>
          <w:p w14:paraId="36C8874F"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3b</w:t>
            </w:r>
          </w:p>
        </w:tc>
        <w:tc>
          <w:tcPr>
            <w:tcW w:w="514" w:type="pct"/>
            <w:tcBorders>
              <w:top w:val="nil"/>
            </w:tcBorders>
            <w:shd w:val="clear" w:color="auto" w:fill="auto"/>
            <w:noWrap/>
            <w:vAlign w:val="center"/>
            <w:hideMark/>
          </w:tcPr>
          <w:p w14:paraId="45FBAA88"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CO06</w:t>
            </w:r>
          </w:p>
        </w:tc>
        <w:tc>
          <w:tcPr>
            <w:tcW w:w="2189" w:type="pct"/>
            <w:tcBorders>
              <w:top w:val="nil"/>
            </w:tcBorders>
            <w:shd w:val="clear" w:color="auto" w:fill="auto"/>
            <w:noWrap/>
            <w:vAlign w:val="center"/>
            <w:hideMark/>
          </w:tcPr>
          <w:p w14:paraId="62C9EC29" w14:textId="77777777" w:rsidR="00DE28B0" w:rsidRPr="00A87410" w:rsidRDefault="00DE28B0" w:rsidP="00AF40C4">
            <w:pPr>
              <w:jc w:val="left"/>
              <w:rPr>
                <w:rFonts w:eastAsia="Times New Roman" w:cs="Calibri"/>
                <w:color w:val="000000"/>
                <w:sz w:val="18"/>
                <w:szCs w:val="18"/>
                <w:lang w:eastAsia="en-US"/>
              </w:rPr>
            </w:pPr>
            <w:r w:rsidRPr="00A87410">
              <w:rPr>
                <w:rFonts w:eastAsia="Times New Roman" w:cs="Calibri"/>
                <w:color w:val="000000"/>
                <w:sz w:val="18"/>
                <w:szCs w:val="18"/>
                <w:lang w:eastAsia="en-US"/>
              </w:rPr>
              <w:t>Investimenti privati combinati al sostegno pubblico alle</w:t>
            </w:r>
            <w:r w:rsidR="008D7AE0" w:rsidRPr="00A87410">
              <w:rPr>
                <w:rFonts w:eastAsia="Times New Roman" w:cs="Calibri"/>
                <w:color w:val="000000"/>
                <w:sz w:val="18"/>
                <w:szCs w:val="18"/>
                <w:lang w:eastAsia="en-US"/>
              </w:rPr>
              <w:t xml:space="preserve"> </w:t>
            </w:r>
            <w:r w:rsidRPr="00A87410">
              <w:rPr>
                <w:rFonts w:eastAsia="Times New Roman" w:cs="Calibri"/>
                <w:color w:val="000000"/>
                <w:sz w:val="18"/>
                <w:szCs w:val="18"/>
                <w:lang w:eastAsia="en-US"/>
              </w:rPr>
              <w:t>imprese (sovvenzioni a fondo perduto)</w:t>
            </w:r>
          </w:p>
        </w:tc>
        <w:tc>
          <w:tcPr>
            <w:tcW w:w="533" w:type="pct"/>
            <w:tcBorders>
              <w:top w:val="nil"/>
            </w:tcBorders>
            <w:shd w:val="clear" w:color="auto" w:fill="auto"/>
            <w:noWrap/>
            <w:vAlign w:val="center"/>
            <w:hideMark/>
          </w:tcPr>
          <w:p w14:paraId="7775C90B"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9.929.000 </w:t>
            </w:r>
          </w:p>
        </w:tc>
        <w:tc>
          <w:tcPr>
            <w:tcW w:w="513" w:type="pct"/>
            <w:tcBorders>
              <w:top w:val="nil"/>
            </w:tcBorders>
            <w:shd w:val="clear" w:color="auto" w:fill="auto"/>
            <w:noWrap/>
            <w:vAlign w:val="center"/>
            <w:hideMark/>
          </w:tcPr>
          <w:p w14:paraId="7CAE9744"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1.885.415 </w:t>
            </w:r>
          </w:p>
        </w:tc>
        <w:tc>
          <w:tcPr>
            <w:tcW w:w="588" w:type="pct"/>
            <w:tcBorders>
              <w:top w:val="nil"/>
              <w:right w:val="nil"/>
            </w:tcBorders>
            <w:shd w:val="clear" w:color="auto" w:fill="auto"/>
            <w:noWrap/>
            <w:vAlign w:val="center"/>
            <w:hideMark/>
          </w:tcPr>
          <w:p w14:paraId="50EDF7AD" w14:textId="77777777"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18,99%</w:t>
            </w:r>
          </w:p>
        </w:tc>
      </w:tr>
      <w:tr w:rsidR="00DE28B0" w:rsidRPr="00DE28B0" w14:paraId="028950D8" w14:textId="77777777" w:rsidTr="00AF40C4">
        <w:trPr>
          <w:trHeight w:val="290"/>
        </w:trPr>
        <w:tc>
          <w:tcPr>
            <w:tcW w:w="662" w:type="pct"/>
            <w:tcBorders>
              <w:top w:val="nil"/>
              <w:left w:val="nil"/>
            </w:tcBorders>
            <w:shd w:val="clear" w:color="auto" w:fill="auto"/>
            <w:noWrap/>
            <w:vAlign w:val="center"/>
            <w:hideMark/>
          </w:tcPr>
          <w:p w14:paraId="3B5D5F6C"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3b</w:t>
            </w:r>
          </w:p>
        </w:tc>
        <w:tc>
          <w:tcPr>
            <w:tcW w:w="514" w:type="pct"/>
            <w:tcBorders>
              <w:top w:val="nil"/>
            </w:tcBorders>
            <w:shd w:val="clear" w:color="auto" w:fill="auto"/>
            <w:noWrap/>
            <w:vAlign w:val="center"/>
            <w:hideMark/>
          </w:tcPr>
          <w:p w14:paraId="08228A47"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CO28</w:t>
            </w:r>
          </w:p>
        </w:tc>
        <w:tc>
          <w:tcPr>
            <w:tcW w:w="2189" w:type="pct"/>
            <w:tcBorders>
              <w:top w:val="nil"/>
            </w:tcBorders>
            <w:shd w:val="clear" w:color="auto" w:fill="auto"/>
            <w:noWrap/>
            <w:vAlign w:val="center"/>
            <w:hideMark/>
          </w:tcPr>
          <w:p w14:paraId="301F89AE" w14:textId="77777777" w:rsidR="00DE28B0" w:rsidRPr="00A87410" w:rsidRDefault="00DE28B0" w:rsidP="00AF40C4">
            <w:pPr>
              <w:jc w:val="left"/>
              <w:rPr>
                <w:rFonts w:eastAsia="Times New Roman" w:cs="Calibri"/>
                <w:color w:val="000000"/>
                <w:sz w:val="18"/>
                <w:szCs w:val="18"/>
                <w:lang w:eastAsia="en-US"/>
              </w:rPr>
            </w:pPr>
            <w:r w:rsidRPr="00A87410">
              <w:rPr>
                <w:rFonts w:eastAsia="Times New Roman" w:cs="Calibri"/>
                <w:color w:val="000000"/>
                <w:sz w:val="18"/>
                <w:szCs w:val="18"/>
                <w:lang w:eastAsia="en-US"/>
              </w:rPr>
              <w:t>Numero di imprese sostenute per introdurre nuovi prodotti che costituiscono una novità per il mercato</w:t>
            </w:r>
          </w:p>
        </w:tc>
        <w:tc>
          <w:tcPr>
            <w:tcW w:w="533" w:type="pct"/>
            <w:tcBorders>
              <w:top w:val="nil"/>
            </w:tcBorders>
            <w:shd w:val="clear" w:color="auto" w:fill="auto"/>
            <w:noWrap/>
            <w:vAlign w:val="center"/>
            <w:hideMark/>
          </w:tcPr>
          <w:p w14:paraId="44F1A16A"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610 </w:t>
            </w:r>
          </w:p>
        </w:tc>
        <w:tc>
          <w:tcPr>
            <w:tcW w:w="513" w:type="pct"/>
            <w:tcBorders>
              <w:top w:val="nil"/>
            </w:tcBorders>
            <w:shd w:val="clear" w:color="auto" w:fill="auto"/>
            <w:noWrap/>
            <w:vAlign w:val="center"/>
            <w:hideMark/>
          </w:tcPr>
          <w:p w14:paraId="04CA4B1C"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877 </w:t>
            </w:r>
          </w:p>
        </w:tc>
        <w:tc>
          <w:tcPr>
            <w:tcW w:w="588" w:type="pct"/>
            <w:tcBorders>
              <w:top w:val="nil"/>
              <w:right w:val="nil"/>
            </w:tcBorders>
            <w:shd w:val="clear" w:color="auto" w:fill="auto"/>
            <w:noWrap/>
            <w:vAlign w:val="center"/>
            <w:hideMark/>
          </w:tcPr>
          <w:p w14:paraId="5FB01E5A" w14:textId="77777777"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143,77%</w:t>
            </w:r>
          </w:p>
        </w:tc>
      </w:tr>
      <w:tr w:rsidR="00DE28B0" w:rsidRPr="00DE28B0" w14:paraId="06DAC017" w14:textId="77777777" w:rsidTr="00AF40C4">
        <w:trPr>
          <w:trHeight w:val="290"/>
        </w:trPr>
        <w:tc>
          <w:tcPr>
            <w:tcW w:w="662" w:type="pct"/>
            <w:tcBorders>
              <w:top w:val="nil"/>
              <w:left w:val="nil"/>
            </w:tcBorders>
            <w:shd w:val="clear" w:color="auto" w:fill="auto"/>
            <w:noWrap/>
            <w:vAlign w:val="center"/>
            <w:hideMark/>
          </w:tcPr>
          <w:p w14:paraId="68EF2264"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3c</w:t>
            </w:r>
          </w:p>
        </w:tc>
        <w:tc>
          <w:tcPr>
            <w:tcW w:w="514" w:type="pct"/>
            <w:tcBorders>
              <w:top w:val="nil"/>
            </w:tcBorders>
            <w:shd w:val="clear" w:color="auto" w:fill="auto"/>
            <w:noWrap/>
            <w:vAlign w:val="center"/>
            <w:hideMark/>
          </w:tcPr>
          <w:p w14:paraId="390751D0"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CO01</w:t>
            </w:r>
          </w:p>
        </w:tc>
        <w:tc>
          <w:tcPr>
            <w:tcW w:w="2189" w:type="pct"/>
            <w:tcBorders>
              <w:top w:val="nil"/>
            </w:tcBorders>
            <w:shd w:val="clear" w:color="auto" w:fill="auto"/>
            <w:noWrap/>
            <w:vAlign w:val="center"/>
            <w:hideMark/>
          </w:tcPr>
          <w:p w14:paraId="68DA703A" w14:textId="77777777" w:rsidR="00DE28B0" w:rsidRPr="00A87410" w:rsidRDefault="00DE28B0" w:rsidP="00AF40C4">
            <w:pPr>
              <w:jc w:val="left"/>
              <w:rPr>
                <w:rFonts w:eastAsia="Times New Roman" w:cs="Calibri"/>
                <w:color w:val="000000"/>
                <w:sz w:val="18"/>
                <w:szCs w:val="18"/>
                <w:lang w:eastAsia="en-US"/>
              </w:rPr>
            </w:pPr>
            <w:r w:rsidRPr="00A87410">
              <w:rPr>
                <w:rFonts w:eastAsia="Times New Roman" w:cs="Calibri"/>
                <w:color w:val="000000"/>
                <w:sz w:val="18"/>
                <w:szCs w:val="18"/>
                <w:lang w:eastAsia="en-US"/>
              </w:rPr>
              <w:t>Numero di imprese che ricevono un sostegno</w:t>
            </w:r>
          </w:p>
        </w:tc>
        <w:tc>
          <w:tcPr>
            <w:tcW w:w="533" w:type="pct"/>
            <w:tcBorders>
              <w:top w:val="nil"/>
            </w:tcBorders>
            <w:shd w:val="clear" w:color="auto" w:fill="auto"/>
            <w:noWrap/>
            <w:vAlign w:val="center"/>
            <w:hideMark/>
          </w:tcPr>
          <w:p w14:paraId="1F104ED8"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450 </w:t>
            </w:r>
          </w:p>
        </w:tc>
        <w:tc>
          <w:tcPr>
            <w:tcW w:w="513" w:type="pct"/>
            <w:tcBorders>
              <w:top w:val="nil"/>
            </w:tcBorders>
            <w:shd w:val="clear" w:color="auto" w:fill="auto"/>
            <w:noWrap/>
            <w:vAlign w:val="center"/>
            <w:hideMark/>
          </w:tcPr>
          <w:p w14:paraId="4FAD6BEA"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403 </w:t>
            </w:r>
          </w:p>
        </w:tc>
        <w:tc>
          <w:tcPr>
            <w:tcW w:w="588" w:type="pct"/>
            <w:tcBorders>
              <w:top w:val="nil"/>
              <w:right w:val="nil"/>
            </w:tcBorders>
            <w:shd w:val="clear" w:color="auto" w:fill="auto"/>
            <w:noWrap/>
            <w:vAlign w:val="center"/>
            <w:hideMark/>
          </w:tcPr>
          <w:p w14:paraId="4B11D9BB" w14:textId="77777777"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89,56%</w:t>
            </w:r>
          </w:p>
        </w:tc>
      </w:tr>
      <w:tr w:rsidR="00DE28B0" w:rsidRPr="00DE28B0" w14:paraId="4A356B3D" w14:textId="77777777" w:rsidTr="00AF40C4">
        <w:trPr>
          <w:trHeight w:val="290"/>
        </w:trPr>
        <w:tc>
          <w:tcPr>
            <w:tcW w:w="662" w:type="pct"/>
            <w:tcBorders>
              <w:top w:val="nil"/>
              <w:left w:val="nil"/>
            </w:tcBorders>
            <w:shd w:val="clear" w:color="auto" w:fill="auto"/>
            <w:noWrap/>
            <w:vAlign w:val="center"/>
            <w:hideMark/>
          </w:tcPr>
          <w:p w14:paraId="1107EE14"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3d</w:t>
            </w:r>
          </w:p>
        </w:tc>
        <w:tc>
          <w:tcPr>
            <w:tcW w:w="514" w:type="pct"/>
            <w:tcBorders>
              <w:top w:val="nil"/>
            </w:tcBorders>
            <w:shd w:val="clear" w:color="auto" w:fill="auto"/>
            <w:noWrap/>
            <w:vAlign w:val="center"/>
            <w:hideMark/>
          </w:tcPr>
          <w:p w14:paraId="78451FD2"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CO01</w:t>
            </w:r>
          </w:p>
        </w:tc>
        <w:tc>
          <w:tcPr>
            <w:tcW w:w="2189" w:type="pct"/>
            <w:tcBorders>
              <w:top w:val="nil"/>
            </w:tcBorders>
            <w:shd w:val="clear" w:color="auto" w:fill="auto"/>
            <w:noWrap/>
            <w:vAlign w:val="center"/>
            <w:hideMark/>
          </w:tcPr>
          <w:p w14:paraId="0EE2C217" w14:textId="77777777" w:rsidR="00DE28B0" w:rsidRPr="00A87410" w:rsidRDefault="00DE28B0" w:rsidP="00AF40C4">
            <w:pPr>
              <w:jc w:val="left"/>
              <w:rPr>
                <w:rFonts w:eastAsia="Times New Roman" w:cs="Calibri"/>
                <w:color w:val="000000"/>
                <w:sz w:val="18"/>
                <w:szCs w:val="18"/>
                <w:lang w:eastAsia="en-US"/>
              </w:rPr>
            </w:pPr>
            <w:r w:rsidRPr="00A87410">
              <w:rPr>
                <w:rFonts w:eastAsia="Times New Roman" w:cs="Calibri"/>
                <w:color w:val="000000"/>
                <w:sz w:val="18"/>
                <w:szCs w:val="18"/>
                <w:lang w:eastAsia="en-US"/>
              </w:rPr>
              <w:t>Numero di imprese che ricevono un sostegno</w:t>
            </w:r>
          </w:p>
        </w:tc>
        <w:tc>
          <w:tcPr>
            <w:tcW w:w="533" w:type="pct"/>
            <w:tcBorders>
              <w:top w:val="nil"/>
            </w:tcBorders>
            <w:shd w:val="clear" w:color="auto" w:fill="auto"/>
            <w:noWrap/>
            <w:vAlign w:val="center"/>
            <w:hideMark/>
          </w:tcPr>
          <w:p w14:paraId="2C3C9724"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579 </w:t>
            </w:r>
          </w:p>
        </w:tc>
        <w:tc>
          <w:tcPr>
            <w:tcW w:w="513" w:type="pct"/>
            <w:tcBorders>
              <w:top w:val="nil"/>
            </w:tcBorders>
            <w:shd w:val="clear" w:color="auto" w:fill="auto"/>
            <w:noWrap/>
            <w:vAlign w:val="center"/>
            <w:hideMark/>
          </w:tcPr>
          <w:p w14:paraId="2B7F0F0E"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11.073 </w:t>
            </w:r>
          </w:p>
        </w:tc>
        <w:tc>
          <w:tcPr>
            <w:tcW w:w="588" w:type="pct"/>
            <w:tcBorders>
              <w:top w:val="nil"/>
              <w:right w:val="nil"/>
            </w:tcBorders>
            <w:shd w:val="clear" w:color="auto" w:fill="auto"/>
            <w:noWrap/>
            <w:vAlign w:val="center"/>
            <w:hideMark/>
          </w:tcPr>
          <w:p w14:paraId="447150CC" w14:textId="77777777"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1912,44%</w:t>
            </w:r>
          </w:p>
        </w:tc>
      </w:tr>
      <w:tr w:rsidR="00DE28B0" w:rsidRPr="00DE28B0" w14:paraId="00AD623B" w14:textId="77777777" w:rsidTr="00AF40C4">
        <w:trPr>
          <w:trHeight w:val="290"/>
        </w:trPr>
        <w:tc>
          <w:tcPr>
            <w:tcW w:w="662" w:type="pct"/>
            <w:tcBorders>
              <w:left w:val="nil"/>
              <w:bottom w:val="single" w:sz="4" w:space="0" w:color="305496"/>
              <w:right w:val="nil"/>
            </w:tcBorders>
            <w:shd w:val="clear" w:color="auto" w:fill="auto"/>
            <w:noWrap/>
            <w:vAlign w:val="center"/>
            <w:hideMark/>
          </w:tcPr>
          <w:p w14:paraId="7E5FE7C9"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3d</w:t>
            </w:r>
          </w:p>
        </w:tc>
        <w:tc>
          <w:tcPr>
            <w:tcW w:w="514" w:type="pct"/>
            <w:tcBorders>
              <w:left w:val="nil"/>
              <w:bottom w:val="single" w:sz="4" w:space="0" w:color="305496"/>
              <w:right w:val="nil"/>
            </w:tcBorders>
            <w:shd w:val="clear" w:color="auto" w:fill="auto"/>
            <w:noWrap/>
            <w:vAlign w:val="center"/>
            <w:hideMark/>
          </w:tcPr>
          <w:p w14:paraId="404C080D" w14:textId="77777777" w:rsidR="00DE28B0" w:rsidRPr="00DE28B0" w:rsidRDefault="00DE28B0" w:rsidP="00AF40C4">
            <w:pPr>
              <w:jc w:val="center"/>
              <w:rPr>
                <w:rFonts w:eastAsia="Times New Roman" w:cs="Calibri"/>
                <w:color w:val="000000"/>
                <w:sz w:val="18"/>
                <w:szCs w:val="18"/>
                <w:lang w:val="en-US" w:eastAsia="en-US"/>
              </w:rPr>
            </w:pPr>
            <w:r w:rsidRPr="00DE28B0">
              <w:rPr>
                <w:rFonts w:eastAsia="Times New Roman" w:cs="Calibri"/>
                <w:color w:val="000000"/>
                <w:sz w:val="18"/>
                <w:szCs w:val="18"/>
                <w:lang w:val="en-US" w:eastAsia="en-US"/>
              </w:rPr>
              <w:t>CO03</w:t>
            </w:r>
          </w:p>
        </w:tc>
        <w:tc>
          <w:tcPr>
            <w:tcW w:w="2189" w:type="pct"/>
            <w:tcBorders>
              <w:left w:val="nil"/>
              <w:bottom w:val="single" w:sz="4" w:space="0" w:color="305496"/>
            </w:tcBorders>
            <w:shd w:val="clear" w:color="auto" w:fill="auto"/>
            <w:noWrap/>
            <w:vAlign w:val="center"/>
            <w:hideMark/>
          </w:tcPr>
          <w:p w14:paraId="3FDDA248" w14:textId="77777777" w:rsidR="00DE28B0" w:rsidRPr="00A87410" w:rsidRDefault="00DE28B0" w:rsidP="00AF40C4">
            <w:pPr>
              <w:jc w:val="left"/>
              <w:rPr>
                <w:rFonts w:eastAsia="Times New Roman" w:cs="Calibri"/>
                <w:color w:val="000000"/>
                <w:sz w:val="18"/>
                <w:szCs w:val="18"/>
                <w:lang w:eastAsia="en-US"/>
              </w:rPr>
            </w:pPr>
            <w:r w:rsidRPr="00A87410">
              <w:rPr>
                <w:rFonts w:eastAsia="Times New Roman" w:cs="Calibri"/>
                <w:color w:val="000000"/>
                <w:sz w:val="18"/>
                <w:szCs w:val="18"/>
                <w:lang w:eastAsia="en-US"/>
              </w:rPr>
              <w:t>Numero di imprese che ricevono un sostegno finanziario diverso dalle sovvenzioni (a fondo perduto)</w:t>
            </w:r>
          </w:p>
        </w:tc>
        <w:tc>
          <w:tcPr>
            <w:tcW w:w="533" w:type="pct"/>
            <w:tcBorders>
              <w:bottom w:val="single" w:sz="4" w:space="0" w:color="305496"/>
            </w:tcBorders>
            <w:shd w:val="clear" w:color="auto" w:fill="auto"/>
            <w:noWrap/>
            <w:vAlign w:val="center"/>
            <w:hideMark/>
          </w:tcPr>
          <w:p w14:paraId="34A7698A"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579 </w:t>
            </w:r>
          </w:p>
        </w:tc>
        <w:tc>
          <w:tcPr>
            <w:tcW w:w="513" w:type="pct"/>
            <w:tcBorders>
              <w:bottom w:val="single" w:sz="4" w:space="0" w:color="305496"/>
            </w:tcBorders>
            <w:shd w:val="clear" w:color="auto" w:fill="auto"/>
            <w:noWrap/>
            <w:vAlign w:val="center"/>
            <w:hideMark/>
          </w:tcPr>
          <w:p w14:paraId="1588B49E" w14:textId="77777777" w:rsidR="00DE28B0" w:rsidRPr="00DE28B0" w:rsidRDefault="00DE28B0" w:rsidP="00CE78DB">
            <w:pPr>
              <w:jc w:val="right"/>
              <w:rPr>
                <w:rFonts w:eastAsia="Times New Roman" w:cs="Calibri"/>
                <w:sz w:val="18"/>
                <w:szCs w:val="18"/>
                <w:lang w:val="en-US" w:eastAsia="en-US"/>
              </w:rPr>
            </w:pPr>
            <w:r w:rsidRPr="00DE28B0">
              <w:rPr>
                <w:rFonts w:eastAsia="Times New Roman" w:cs="Calibri"/>
                <w:sz w:val="18"/>
                <w:szCs w:val="18"/>
                <w:lang w:val="en-US" w:eastAsia="en-US"/>
              </w:rPr>
              <w:t xml:space="preserve">11.073 </w:t>
            </w:r>
          </w:p>
        </w:tc>
        <w:tc>
          <w:tcPr>
            <w:tcW w:w="588" w:type="pct"/>
            <w:tcBorders>
              <w:bottom w:val="single" w:sz="4" w:space="0" w:color="305496"/>
              <w:right w:val="nil"/>
            </w:tcBorders>
            <w:shd w:val="clear" w:color="auto" w:fill="auto"/>
            <w:noWrap/>
            <w:vAlign w:val="center"/>
            <w:hideMark/>
          </w:tcPr>
          <w:p w14:paraId="3885D0F0" w14:textId="77777777" w:rsidR="00DE28B0" w:rsidRPr="00DE28B0" w:rsidRDefault="00DE28B0" w:rsidP="00CE78DB">
            <w:pPr>
              <w:jc w:val="right"/>
              <w:rPr>
                <w:rFonts w:eastAsia="Times New Roman" w:cs="Calibri"/>
                <w:color w:val="000000"/>
                <w:sz w:val="18"/>
                <w:szCs w:val="18"/>
                <w:lang w:val="en-US" w:eastAsia="en-US"/>
              </w:rPr>
            </w:pPr>
            <w:r w:rsidRPr="00DE28B0">
              <w:rPr>
                <w:rFonts w:eastAsia="Times New Roman" w:cs="Calibri"/>
                <w:color w:val="000000"/>
                <w:sz w:val="18"/>
                <w:szCs w:val="18"/>
                <w:lang w:val="en-US" w:eastAsia="en-US"/>
              </w:rPr>
              <w:t>1912,44%</w:t>
            </w:r>
          </w:p>
        </w:tc>
      </w:tr>
    </w:tbl>
    <w:p w14:paraId="169E1926" w14:textId="77777777" w:rsidR="006B6747" w:rsidRDefault="006B6747" w:rsidP="006B6747">
      <w:pPr>
        <w:rPr>
          <w:sz w:val="18"/>
          <w:szCs w:val="18"/>
        </w:rPr>
      </w:pPr>
      <w:r>
        <w:rPr>
          <w:sz w:val="18"/>
          <w:szCs w:val="18"/>
        </w:rPr>
        <w:t>Fonte: Rapporto Annuale di Attuazione 2020, dati aggiornati al 31.12.2020.</w:t>
      </w:r>
    </w:p>
    <w:p w14:paraId="4A37849F" w14:textId="77777777" w:rsidR="00485FF1" w:rsidRPr="00736D99" w:rsidRDefault="00736D99" w:rsidP="00485FF1">
      <w:pPr>
        <w:rPr>
          <w:sz w:val="18"/>
          <w:szCs w:val="18"/>
        </w:rPr>
      </w:pPr>
      <w:r w:rsidRPr="00736D99">
        <w:rPr>
          <w:sz w:val="18"/>
          <w:szCs w:val="18"/>
        </w:rPr>
        <w:t xml:space="preserve">Nota: </w:t>
      </w:r>
      <w:r>
        <w:rPr>
          <w:sz w:val="18"/>
          <w:szCs w:val="18"/>
        </w:rPr>
        <w:t>Nella tabella vengono riportati solamente gli indicatori che al 2020 presentano un valore realizzato maggiore di zero.</w:t>
      </w:r>
    </w:p>
    <w:p w14:paraId="4EE7A77B" w14:textId="77777777" w:rsidR="008E7B05" w:rsidRDefault="008E7B05" w:rsidP="00A65EDF">
      <w:pPr>
        <w:rPr>
          <w:highlight w:val="yellow"/>
        </w:rPr>
      </w:pPr>
    </w:p>
    <w:p w14:paraId="2811086E" w14:textId="77777777" w:rsidR="00B35952" w:rsidRDefault="00060409" w:rsidP="00A65EDF">
      <w:r w:rsidRPr="00060409">
        <w:t>La</w:t>
      </w:r>
      <w:r>
        <w:t xml:space="preserve"> tabella seguente riporta l’avanzamento degli indicatori di risultato</w:t>
      </w:r>
      <w:r w:rsidR="00FC6C7A">
        <w:t xml:space="preserve"> a fine 2020. </w:t>
      </w:r>
      <w:r w:rsidR="00AC30A2">
        <w:t xml:space="preserve">Va sottolineato che </w:t>
      </w:r>
      <w:r w:rsidR="00E31BCF">
        <w:t xml:space="preserve">alcuni </w:t>
      </w:r>
      <w:r w:rsidR="006B69B0">
        <w:t xml:space="preserve">indicatori di risultato </w:t>
      </w:r>
      <w:r w:rsidR="00B35952">
        <w:t xml:space="preserve">utilizzati nell’ambito del monitoraggio dei programmi </w:t>
      </w:r>
      <w:r w:rsidR="00633784">
        <w:t xml:space="preserve">sono </w:t>
      </w:r>
      <w:r w:rsidR="00B35952">
        <w:t xml:space="preserve">statistiche secondarie </w:t>
      </w:r>
      <w:r w:rsidR="00633784">
        <w:t xml:space="preserve">il </w:t>
      </w:r>
      <w:r w:rsidR="00B35952">
        <w:t xml:space="preserve">cui andamento </w:t>
      </w:r>
      <w:r w:rsidR="00633784">
        <w:t xml:space="preserve">può essere influenzato da </w:t>
      </w:r>
      <w:r w:rsidR="00B35952">
        <w:t xml:space="preserve">numerosi </w:t>
      </w:r>
      <w:r w:rsidR="00633784">
        <w:t xml:space="preserve">fattori oltre che </w:t>
      </w:r>
      <w:r w:rsidR="00B35952">
        <w:t>dagli interventi messi in campo dalla Regione</w:t>
      </w:r>
      <w:r w:rsidR="004F60E5">
        <w:t xml:space="preserve"> e questi vanno quindi presi con la dovuta cautela.</w:t>
      </w:r>
      <w:r w:rsidR="00633784">
        <w:t xml:space="preserve"> </w:t>
      </w:r>
      <w:r w:rsidR="00FC6C7A">
        <w:t>Per quanto riguarda l’</w:t>
      </w:r>
      <w:r w:rsidR="00B35952">
        <w:t>A</w:t>
      </w:r>
      <w:r w:rsidR="00FC6C7A">
        <w:t>sse I</w:t>
      </w:r>
      <w:r w:rsidR="00B35952">
        <w:t>,</w:t>
      </w:r>
      <w:r w:rsidR="00FC6C7A">
        <w:t xml:space="preserve"> gli indicatori d</w:t>
      </w:r>
      <w:r w:rsidR="00AF43C5">
        <w:t>i risultato afferenti agli obiettivi specifici 1b.1, 1b.2, 1b.2a peggiorano rispetto alla baseline</w:t>
      </w:r>
      <w:r w:rsidR="00B35952">
        <w:t>, allontanandosi ulteriormente da</w:t>
      </w:r>
      <w:r w:rsidR="00AF43C5">
        <w:t>l valore target</w:t>
      </w:r>
      <w:r w:rsidR="00B35952">
        <w:t xml:space="preserve"> rispetto a inizio programmazione</w:t>
      </w:r>
      <w:r w:rsidR="006B69B0">
        <w:t xml:space="preserve">, </w:t>
      </w:r>
      <w:r w:rsidR="00633784">
        <w:t>mentre per gli obiettivi specifici 1b.2b e</w:t>
      </w:r>
      <w:r w:rsidR="00E31BCF">
        <w:t xml:space="preserve"> 1b.3 si assiste ad un lieve miglioramento degli indicatori che tuttavia </w:t>
      </w:r>
      <w:r w:rsidR="00B35952">
        <w:t xml:space="preserve">risultano </w:t>
      </w:r>
      <w:r w:rsidR="00E31BCF">
        <w:t>ancora distanti dal target. L’</w:t>
      </w:r>
      <w:r w:rsidR="00B35952">
        <w:t>A</w:t>
      </w:r>
      <w:r w:rsidR="00E31BCF">
        <w:t>sse II presenta un buon livello di realizzazione dei risultati</w:t>
      </w:r>
      <w:r w:rsidR="00B35952">
        <w:t>, riportando u</w:t>
      </w:r>
      <w:r w:rsidR="00E31BCF">
        <w:t>na c</w:t>
      </w:r>
      <w:r w:rsidR="00E31BCF" w:rsidRPr="00E31BCF">
        <w:t>opertura con banda ultra larga a 100 Mbps</w:t>
      </w:r>
      <w:r w:rsidR="00E31BCF">
        <w:t xml:space="preserve"> pari al 25%, poco distante dal valore target del 25,66%.</w:t>
      </w:r>
      <w:r w:rsidR="009E7465">
        <w:t xml:space="preserve"> </w:t>
      </w:r>
    </w:p>
    <w:p w14:paraId="307D2945" w14:textId="77777777" w:rsidR="00060409" w:rsidRDefault="00321E99" w:rsidP="00A65EDF">
      <w:r>
        <w:t>A fine 2020, tre degli indicatori di risultato afferenti all’</w:t>
      </w:r>
      <w:r w:rsidR="00B35952">
        <w:t>A</w:t>
      </w:r>
      <w:r>
        <w:t>sse III hanno già superato il valore target e l’indicatore “investimenti privati sul PIL</w:t>
      </w:r>
      <w:r w:rsidR="00B35952">
        <w:t>”</w:t>
      </w:r>
      <w:r w:rsidR="008C09F7">
        <w:t xml:space="preserve"> risulta pari a 17,69%, molto vicino al valore obiettivo del 18% al 2023. Per quanto riguarda invece il tasso di sopravvivenza delle imprese, il grado di apertura commerciale del comparto manifatturiero e gli impieghi bancari verso imprese lombarde</w:t>
      </w:r>
      <w:r w:rsidR="00B35952">
        <w:t>,</w:t>
      </w:r>
      <w:r w:rsidR="00E6173D">
        <w:t xml:space="preserve"> si nota un peggioramento nella situazione attuale rispetto alla baseline</w:t>
      </w:r>
      <w:r w:rsidR="00CE78DB">
        <w:t xml:space="preserve"> causato dalla crisi</w:t>
      </w:r>
      <w:r w:rsidR="00E6173D">
        <w:t>.</w:t>
      </w:r>
    </w:p>
    <w:p w14:paraId="4CA51694" w14:textId="77777777" w:rsidR="00CE78DB" w:rsidRPr="00060409" w:rsidRDefault="00CE78DB" w:rsidP="00A65EDF"/>
    <w:p w14:paraId="746015C9" w14:textId="77777777" w:rsidR="00485FF1" w:rsidRPr="002C73B1" w:rsidRDefault="00485FF1" w:rsidP="00485FF1">
      <w:pPr>
        <w:pStyle w:val="Didascalia"/>
      </w:pPr>
      <w:bookmarkStart w:id="28" w:name="_Toc59954533"/>
      <w:bookmarkStart w:id="29" w:name="_Toc91081433"/>
      <w:r w:rsidRPr="002C73B1">
        <w:t xml:space="preserve">Tabella </w:t>
      </w:r>
      <w:r w:rsidR="004E6566" w:rsidRPr="002C73B1">
        <w:fldChar w:fldCharType="begin"/>
      </w:r>
      <w:r w:rsidRPr="002C73B1">
        <w:instrText xml:space="preserve"> SEQ Tabella \* ARABIC </w:instrText>
      </w:r>
      <w:r w:rsidR="004E6566" w:rsidRPr="002C73B1">
        <w:fldChar w:fldCharType="separate"/>
      </w:r>
      <w:r w:rsidR="00E53D6C">
        <w:rPr>
          <w:noProof/>
        </w:rPr>
        <w:t>7</w:t>
      </w:r>
      <w:r w:rsidR="004E6566" w:rsidRPr="002C73B1">
        <w:fldChar w:fldCharType="end"/>
      </w:r>
      <w:r w:rsidRPr="002C73B1">
        <w:t xml:space="preserve">. Indicatori di risultato selezionati </w:t>
      </w:r>
      <w:bookmarkEnd w:id="28"/>
      <w:r w:rsidR="002C73B1" w:rsidRPr="002C73B1">
        <w:t>FESR – Area economica</w:t>
      </w:r>
      <w:bookmarkEnd w:id="29"/>
    </w:p>
    <w:tbl>
      <w:tblPr>
        <w:tblW w:w="4984" w:type="pct"/>
        <w:tblLook w:val="04A0" w:firstRow="1" w:lastRow="0" w:firstColumn="1" w:lastColumn="0" w:noHBand="0" w:noVBand="1"/>
      </w:tblPr>
      <w:tblGrid>
        <w:gridCol w:w="976"/>
        <w:gridCol w:w="4689"/>
        <w:gridCol w:w="755"/>
        <w:gridCol w:w="1137"/>
        <w:gridCol w:w="947"/>
        <w:gridCol w:w="1103"/>
      </w:tblGrid>
      <w:tr w:rsidR="007D2800" w:rsidRPr="00001DC5" w14:paraId="0E11E554" w14:textId="77777777" w:rsidTr="002F3B80">
        <w:trPr>
          <w:trHeight w:val="20"/>
        </w:trPr>
        <w:tc>
          <w:tcPr>
            <w:tcW w:w="508" w:type="pct"/>
            <w:tcBorders>
              <w:top w:val="nil"/>
              <w:left w:val="nil"/>
              <w:bottom w:val="nil"/>
              <w:right w:val="nil"/>
            </w:tcBorders>
            <w:shd w:val="clear" w:color="auto" w:fill="669748" w:themeFill="accent2" w:themeFillShade="BF"/>
            <w:vAlign w:val="center"/>
            <w:hideMark/>
          </w:tcPr>
          <w:p w14:paraId="2530C10C" w14:textId="77777777" w:rsidR="007D2800" w:rsidRPr="00001DC5" w:rsidRDefault="00BE1F60" w:rsidP="00FF30A9">
            <w:pPr>
              <w:jc w:val="center"/>
              <w:rPr>
                <w:rFonts w:eastAsia="Times New Roman" w:cs="Calibri"/>
                <w:b/>
                <w:bCs/>
                <w:color w:val="FFFFFF"/>
                <w:sz w:val="18"/>
                <w:szCs w:val="18"/>
                <w:lang w:eastAsia="en-US"/>
              </w:rPr>
            </w:pPr>
            <w:r w:rsidRPr="00001DC5">
              <w:rPr>
                <w:rFonts w:eastAsia="Times New Roman" w:cs="Calibri"/>
                <w:b/>
                <w:bCs/>
                <w:color w:val="FFFFFF"/>
                <w:sz w:val="18"/>
                <w:szCs w:val="18"/>
                <w:lang w:eastAsia="en-US"/>
              </w:rPr>
              <w:t>Codice indicatore</w:t>
            </w:r>
          </w:p>
        </w:tc>
        <w:tc>
          <w:tcPr>
            <w:tcW w:w="2443" w:type="pct"/>
            <w:tcBorders>
              <w:top w:val="nil"/>
              <w:left w:val="nil"/>
              <w:bottom w:val="nil"/>
              <w:right w:val="nil"/>
            </w:tcBorders>
            <w:shd w:val="clear" w:color="auto" w:fill="669748" w:themeFill="accent2" w:themeFillShade="BF"/>
            <w:vAlign w:val="center"/>
            <w:hideMark/>
          </w:tcPr>
          <w:p w14:paraId="5A6ABB1B" w14:textId="77777777" w:rsidR="007D2800" w:rsidRPr="00001DC5" w:rsidRDefault="007D2800" w:rsidP="00FF30A9">
            <w:pPr>
              <w:jc w:val="left"/>
              <w:rPr>
                <w:rFonts w:eastAsia="Times New Roman" w:cs="Calibri"/>
                <w:b/>
                <w:bCs/>
                <w:color w:val="FFFFFF"/>
                <w:sz w:val="18"/>
                <w:szCs w:val="18"/>
                <w:lang w:eastAsia="en-US"/>
              </w:rPr>
            </w:pPr>
            <w:r w:rsidRPr="00001DC5">
              <w:rPr>
                <w:rFonts w:eastAsia="Times New Roman" w:cs="Calibri"/>
                <w:b/>
                <w:bCs/>
                <w:color w:val="FFFFFF"/>
                <w:sz w:val="18"/>
                <w:szCs w:val="18"/>
                <w:lang w:eastAsia="en-US"/>
              </w:rPr>
              <w:t>Indicatore di risultato</w:t>
            </w:r>
          </w:p>
        </w:tc>
        <w:tc>
          <w:tcPr>
            <w:tcW w:w="384" w:type="pct"/>
            <w:tcBorders>
              <w:top w:val="nil"/>
              <w:left w:val="nil"/>
              <w:bottom w:val="nil"/>
              <w:right w:val="nil"/>
            </w:tcBorders>
            <w:shd w:val="clear" w:color="auto" w:fill="669748" w:themeFill="accent2" w:themeFillShade="BF"/>
            <w:vAlign w:val="center"/>
            <w:hideMark/>
          </w:tcPr>
          <w:p w14:paraId="4B98DB2A" w14:textId="77777777" w:rsidR="007D2800" w:rsidRPr="00001DC5" w:rsidRDefault="007D2800" w:rsidP="00033A16">
            <w:pPr>
              <w:jc w:val="right"/>
              <w:rPr>
                <w:rFonts w:eastAsia="Times New Roman" w:cs="Calibri"/>
                <w:b/>
                <w:bCs/>
                <w:color w:val="FFFFFF"/>
                <w:sz w:val="18"/>
                <w:szCs w:val="18"/>
                <w:lang w:eastAsia="en-US"/>
              </w:rPr>
            </w:pPr>
            <w:r w:rsidRPr="00001DC5">
              <w:rPr>
                <w:rFonts w:eastAsia="Times New Roman" w:cs="Calibri"/>
                <w:b/>
                <w:bCs/>
                <w:color w:val="FFFFFF"/>
                <w:sz w:val="18"/>
                <w:szCs w:val="18"/>
                <w:lang w:eastAsia="en-US"/>
              </w:rPr>
              <w:t>Valore base</w:t>
            </w:r>
          </w:p>
        </w:tc>
        <w:tc>
          <w:tcPr>
            <w:tcW w:w="594" w:type="pct"/>
            <w:tcBorders>
              <w:top w:val="nil"/>
              <w:left w:val="nil"/>
              <w:bottom w:val="nil"/>
              <w:right w:val="nil"/>
            </w:tcBorders>
            <w:shd w:val="clear" w:color="auto" w:fill="669748" w:themeFill="accent2" w:themeFillShade="BF"/>
            <w:vAlign w:val="center"/>
            <w:hideMark/>
          </w:tcPr>
          <w:p w14:paraId="421CCABA" w14:textId="77777777" w:rsidR="007D2800" w:rsidRPr="00001DC5" w:rsidRDefault="007D2800" w:rsidP="00033A16">
            <w:pPr>
              <w:jc w:val="right"/>
              <w:rPr>
                <w:rFonts w:eastAsia="Times New Roman" w:cs="Calibri"/>
                <w:b/>
                <w:bCs/>
                <w:color w:val="FFFFFF"/>
                <w:sz w:val="18"/>
                <w:szCs w:val="18"/>
                <w:lang w:eastAsia="en-US"/>
              </w:rPr>
            </w:pPr>
            <w:r w:rsidRPr="00001DC5">
              <w:rPr>
                <w:rFonts w:eastAsia="Times New Roman" w:cs="Calibri"/>
                <w:b/>
                <w:bCs/>
                <w:color w:val="FFFFFF"/>
                <w:sz w:val="18"/>
                <w:szCs w:val="18"/>
                <w:lang w:eastAsia="en-US"/>
              </w:rPr>
              <w:t>Anno di riferimento del valore base</w:t>
            </w:r>
          </w:p>
        </w:tc>
        <w:tc>
          <w:tcPr>
            <w:tcW w:w="495" w:type="pct"/>
            <w:tcBorders>
              <w:top w:val="nil"/>
              <w:left w:val="nil"/>
              <w:bottom w:val="nil"/>
              <w:right w:val="nil"/>
            </w:tcBorders>
            <w:shd w:val="clear" w:color="auto" w:fill="669748" w:themeFill="accent2" w:themeFillShade="BF"/>
            <w:vAlign w:val="center"/>
            <w:hideMark/>
          </w:tcPr>
          <w:p w14:paraId="659A0DB2" w14:textId="77777777" w:rsidR="007D2800" w:rsidRPr="00001DC5" w:rsidRDefault="007D2800" w:rsidP="00033A16">
            <w:pPr>
              <w:jc w:val="right"/>
              <w:rPr>
                <w:rFonts w:eastAsia="Times New Roman" w:cs="Calibri"/>
                <w:b/>
                <w:bCs/>
                <w:color w:val="FFFFFF"/>
                <w:sz w:val="18"/>
                <w:szCs w:val="18"/>
                <w:lang w:eastAsia="en-US"/>
              </w:rPr>
            </w:pPr>
            <w:r w:rsidRPr="00001DC5">
              <w:rPr>
                <w:rFonts w:eastAsia="Times New Roman" w:cs="Calibri"/>
                <w:b/>
                <w:bCs/>
                <w:color w:val="FFFFFF"/>
                <w:sz w:val="18"/>
                <w:szCs w:val="18"/>
                <w:lang w:eastAsia="en-US"/>
              </w:rPr>
              <w:t>Valore obiettivo (2023)</w:t>
            </w:r>
          </w:p>
        </w:tc>
        <w:tc>
          <w:tcPr>
            <w:tcW w:w="576" w:type="pct"/>
            <w:tcBorders>
              <w:top w:val="nil"/>
              <w:left w:val="nil"/>
              <w:bottom w:val="nil"/>
              <w:right w:val="nil"/>
            </w:tcBorders>
            <w:shd w:val="clear" w:color="auto" w:fill="669748" w:themeFill="accent2" w:themeFillShade="BF"/>
            <w:vAlign w:val="center"/>
            <w:hideMark/>
          </w:tcPr>
          <w:p w14:paraId="620C547B" w14:textId="77777777" w:rsidR="007D2800" w:rsidRPr="00001DC5" w:rsidRDefault="007D2800" w:rsidP="00033A16">
            <w:pPr>
              <w:jc w:val="right"/>
              <w:rPr>
                <w:rFonts w:eastAsia="Times New Roman" w:cs="Calibri"/>
                <w:b/>
                <w:bCs/>
                <w:color w:val="FFFFFF"/>
                <w:sz w:val="18"/>
                <w:szCs w:val="18"/>
                <w:lang w:eastAsia="en-US"/>
              </w:rPr>
            </w:pPr>
            <w:r w:rsidRPr="00001DC5">
              <w:rPr>
                <w:rFonts w:eastAsia="Times New Roman" w:cs="Calibri"/>
                <w:b/>
                <w:bCs/>
                <w:color w:val="FFFFFF"/>
                <w:sz w:val="18"/>
                <w:szCs w:val="18"/>
                <w:lang w:eastAsia="en-US"/>
              </w:rPr>
              <w:t>U</w:t>
            </w:r>
            <w:r w:rsidR="00CD5649">
              <w:rPr>
                <w:rFonts w:eastAsia="Times New Roman" w:cs="Calibri"/>
                <w:b/>
                <w:bCs/>
                <w:color w:val="FFFFFF"/>
                <w:sz w:val="18"/>
                <w:szCs w:val="18"/>
                <w:lang w:eastAsia="en-US"/>
              </w:rPr>
              <w:t>l</w:t>
            </w:r>
            <w:r w:rsidRPr="00001DC5">
              <w:rPr>
                <w:rFonts w:eastAsia="Times New Roman" w:cs="Calibri"/>
                <w:b/>
                <w:bCs/>
                <w:color w:val="FFFFFF"/>
                <w:sz w:val="18"/>
                <w:szCs w:val="18"/>
                <w:lang w:eastAsia="en-US"/>
              </w:rPr>
              <w:t>timo dato disponibile</w:t>
            </w:r>
          </w:p>
        </w:tc>
      </w:tr>
      <w:tr w:rsidR="007D2800" w:rsidRPr="00001DC5" w14:paraId="45C7E3F2" w14:textId="77777777" w:rsidTr="002F3B80">
        <w:trPr>
          <w:trHeight w:val="20"/>
        </w:trPr>
        <w:tc>
          <w:tcPr>
            <w:tcW w:w="508" w:type="pct"/>
            <w:tcBorders>
              <w:top w:val="nil"/>
              <w:left w:val="nil"/>
              <w:bottom w:val="single" w:sz="4" w:space="0" w:color="305496"/>
              <w:right w:val="nil"/>
            </w:tcBorders>
            <w:shd w:val="clear" w:color="000000" w:fill="E7E6E6"/>
            <w:vAlign w:val="bottom"/>
            <w:hideMark/>
          </w:tcPr>
          <w:p w14:paraId="5F97778B" w14:textId="77777777" w:rsidR="007D2800" w:rsidRPr="00001DC5" w:rsidRDefault="007D2800" w:rsidP="00FF30A9">
            <w:pPr>
              <w:jc w:val="left"/>
              <w:rPr>
                <w:rFonts w:eastAsia="Times New Roman" w:cs="Calibri"/>
                <w:b/>
                <w:bCs/>
                <w:color w:val="000000"/>
                <w:sz w:val="18"/>
                <w:szCs w:val="18"/>
                <w:lang w:eastAsia="en-US"/>
              </w:rPr>
            </w:pPr>
            <w:r w:rsidRPr="00001DC5">
              <w:rPr>
                <w:rFonts w:eastAsia="Times New Roman" w:cs="Calibri"/>
                <w:b/>
                <w:bCs/>
                <w:color w:val="000000"/>
                <w:sz w:val="18"/>
                <w:szCs w:val="18"/>
                <w:lang w:eastAsia="en-US"/>
              </w:rPr>
              <w:t>Asse I</w:t>
            </w:r>
          </w:p>
        </w:tc>
        <w:tc>
          <w:tcPr>
            <w:tcW w:w="2443" w:type="pct"/>
            <w:tcBorders>
              <w:top w:val="nil"/>
              <w:left w:val="nil"/>
              <w:bottom w:val="single" w:sz="4" w:space="0" w:color="305496"/>
              <w:right w:val="nil"/>
            </w:tcBorders>
            <w:shd w:val="clear" w:color="000000" w:fill="E7E6E6"/>
            <w:vAlign w:val="bottom"/>
            <w:hideMark/>
          </w:tcPr>
          <w:p w14:paraId="50D1F9E5" w14:textId="77777777" w:rsidR="007D2800" w:rsidRPr="00001DC5" w:rsidRDefault="007D2800" w:rsidP="00FF30A9">
            <w:pPr>
              <w:jc w:val="left"/>
              <w:rPr>
                <w:rFonts w:eastAsia="Times New Roman" w:cs="Calibri"/>
                <w:b/>
                <w:bCs/>
                <w:color w:val="000000"/>
                <w:sz w:val="18"/>
                <w:szCs w:val="18"/>
                <w:lang w:eastAsia="en-US"/>
              </w:rPr>
            </w:pPr>
            <w:r w:rsidRPr="00001DC5">
              <w:rPr>
                <w:rFonts w:eastAsia="Times New Roman" w:cs="Calibri"/>
                <w:b/>
                <w:bCs/>
                <w:color w:val="000000"/>
                <w:sz w:val="18"/>
                <w:szCs w:val="18"/>
                <w:lang w:eastAsia="en-US"/>
              </w:rPr>
              <w:t> </w:t>
            </w:r>
          </w:p>
        </w:tc>
        <w:tc>
          <w:tcPr>
            <w:tcW w:w="384" w:type="pct"/>
            <w:tcBorders>
              <w:top w:val="nil"/>
              <w:left w:val="nil"/>
              <w:bottom w:val="single" w:sz="4" w:space="0" w:color="305496"/>
              <w:right w:val="nil"/>
            </w:tcBorders>
            <w:shd w:val="clear" w:color="000000" w:fill="E7E6E6"/>
            <w:vAlign w:val="bottom"/>
            <w:hideMark/>
          </w:tcPr>
          <w:p w14:paraId="226C9D56" w14:textId="77777777" w:rsidR="007D2800" w:rsidRPr="00001DC5" w:rsidRDefault="007D2800" w:rsidP="00033A16">
            <w:pPr>
              <w:jc w:val="right"/>
              <w:rPr>
                <w:rFonts w:eastAsia="Times New Roman" w:cs="Calibri"/>
                <w:b/>
                <w:bCs/>
                <w:color w:val="000000"/>
                <w:sz w:val="18"/>
                <w:szCs w:val="18"/>
                <w:lang w:eastAsia="en-US"/>
              </w:rPr>
            </w:pPr>
            <w:r w:rsidRPr="00001DC5">
              <w:rPr>
                <w:rFonts w:eastAsia="Times New Roman" w:cs="Calibri"/>
                <w:b/>
                <w:bCs/>
                <w:color w:val="000000"/>
                <w:sz w:val="18"/>
                <w:szCs w:val="18"/>
                <w:lang w:eastAsia="en-US"/>
              </w:rPr>
              <w:t> </w:t>
            </w:r>
          </w:p>
        </w:tc>
        <w:tc>
          <w:tcPr>
            <w:tcW w:w="594" w:type="pct"/>
            <w:tcBorders>
              <w:top w:val="nil"/>
              <w:left w:val="nil"/>
              <w:bottom w:val="single" w:sz="4" w:space="0" w:color="305496"/>
              <w:right w:val="nil"/>
            </w:tcBorders>
            <w:shd w:val="clear" w:color="000000" w:fill="E7E6E6"/>
            <w:vAlign w:val="bottom"/>
            <w:hideMark/>
          </w:tcPr>
          <w:p w14:paraId="3BDCA93C" w14:textId="77777777" w:rsidR="007D2800" w:rsidRPr="00001DC5" w:rsidRDefault="007D2800" w:rsidP="00033A16">
            <w:pPr>
              <w:jc w:val="right"/>
              <w:rPr>
                <w:rFonts w:eastAsia="Times New Roman" w:cs="Calibri"/>
                <w:b/>
                <w:bCs/>
                <w:color w:val="000000"/>
                <w:sz w:val="18"/>
                <w:szCs w:val="18"/>
                <w:lang w:eastAsia="en-US"/>
              </w:rPr>
            </w:pPr>
            <w:r w:rsidRPr="00001DC5">
              <w:rPr>
                <w:rFonts w:eastAsia="Times New Roman" w:cs="Calibri"/>
                <w:b/>
                <w:bCs/>
                <w:color w:val="000000"/>
                <w:sz w:val="18"/>
                <w:szCs w:val="18"/>
                <w:lang w:eastAsia="en-US"/>
              </w:rPr>
              <w:t> </w:t>
            </w:r>
          </w:p>
        </w:tc>
        <w:tc>
          <w:tcPr>
            <w:tcW w:w="495" w:type="pct"/>
            <w:tcBorders>
              <w:top w:val="nil"/>
              <w:left w:val="nil"/>
              <w:bottom w:val="single" w:sz="4" w:space="0" w:color="305496"/>
              <w:right w:val="nil"/>
            </w:tcBorders>
            <w:shd w:val="clear" w:color="000000" w:fill="E7E6E6"/>
            <w:vAlign w:val="bottom"/>
            <w:hideMark/>
          </w:tcPr>
          <w:p w14:paraId="1B553718" w14:textId="77777777" w:rsidR="007D2800" w:rsidRPr="00001DC5" w:rsidRDefault="007D2800" w:rsidP="00033A16">
            <w:pPr>
              <w:jc w:val="right"/>
              <w:rPr>
                <w:rFonts w:eastAsia="Times New Roman" w:cs="Calibri"/>
                <w:b/>
                <w:bCs/>
                <w:color w:val="000000"/>
                <w:sz w:val="18"/>
                <w:szCs w:val="18"/>
                <w:lang w:eastAsia="en-US"/>
              </w:rPr>
            </w:pPr>
            <w:r w:rsidRPr="00001DC5">
              <w:rPr>
                <w:rFonts w:eastAsia="Times New Roman" w:cs="Calibri"/>
                <w:b/>
                <w:bCs/>
                <w:color w:val="000000"/>
                <w:sz w:val="18"/>
                <w:szCs w:val="18"/>
                <w:lang w:eastAsia="en-US"/>
              </w:rPr>
              <w:t> </w:t>
            </w:r>
          </w:p>
        </w:tc>
        <w:tc>
          <w:tcPr>
            <w:tcW w:w="576" w:type="pct"/>
            <w:tcBorders>
              <w:top w:val="nil"/>
              <w:left w:val="nil"/>
              <w:bottom w:val="single" w:sz="4" w:space="0" w:color="305496"/>
              <w:right w:val="nil"/>
            </w:tcBorders>
            <w:shd w:val="clear" w:color="000000" w:fill="E7E6E6"/>
            <w:vAlign w:val="bottom"/>
            <w:hideMark/>
          </w:tcPr>
          <w:p w14:paraId="2F2F5475" w14:textId="77777777" w:rsidR="007D2800" w:rsidRPr="00001DC5" w:rsidRDefault="007D2800" w:rsidP="00033A16">
            <w:pPr>
              <w:jc w:val="right"/>
              <w:rPr>
                <w:rFonts w:eastAsia="Times New Roman" w:cs="Calibri"/>
                <w:b/>
                <w:bCs/>
                <w:color w:val="000000"/>
                <w:sz w:val="18"/>
                <w:szCs w:val="18"/>
                <w:lang w:eastAsia="en-US"/>
              </w:rPr>
            </w:pPr>
            <w:r w:rsidRPr="00001DC5">
              <w:rPr>
                <w:rFonts w:eastAsia="Times New Roman" w:cs="Calibri"/>
                <w:b/>
                <w:bCs/>
                <w:color w:val="000000"/>
                <w:sz w:val="18"/>
                <w:szCs w:val="18"/>
                <w:lang w:eastAsia="en-US"/>
              </w:rPr>
              <w:t> </w:t>
            </w:r>
          </w:p>
        </w:tc>
      </w:tr>
      <w:tr w:rsidR="007D2800" w:rsidRPr="00001DC5" w14:paraId="13BC06FB" w14:textId="77777777" w:rsidTr="002F3B80">
        <w:trPr>
          <w:trHeight w:val="20"/>
        </w:trPr>
        <w:tc>
          <w:tcPr>
            <w:tcW w:w="508" w:type="pct"/>
            <w:tcBorders>
              <w:top w:val="nil"/>
              <w:left w:val="nil"/>
              <w:bottom w:val="nil"/>
              <w:right w:val="nil"/>
            </w:tcBorders>
            <w:shd w:val="clear" w:color="auto" w:fill="auto"/>
            <w:vAlign w:val="bottom"/>
            <w:hideMark/>
          </w:tcPr>
          <w:p w14:paraId="208093C8"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1b.1</w:t>
            </w:r>
          </w:p>
        </w:tc>
        <w:tc>
          <w:tcPr>
            <w:tcW w:w="2443" w:type="pct"/>
            <w:tcBorders>
              <w:top w:val="nil"/>
              <w:left w:val="nil"/>
              <w:bottom w:val="nil"/>
              <w:right w:val="nil"/>
            </w:tcBorders>
            <w:shd w:val="clear" w:color="auto" w:fill="auto"/>
            <w:vAlign w:val="bottom"/>
            <w:hideMark/>
          </w:tcPr>
          <w:p w14:paraId="7FB22376"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Imprese che hanno svolto attività di R&amp;S in collaborazione con soggetti esterni sul totale delle imprese che svolgono R&amp;S (%)</w:t>
            </w:r>
          </w:p>
        </w:tc>
        <w:tc>
          <w:tcPr>
            <w:tcW w:w="384" w:type="pct"/>
            <w:tcBorders>
              <w:top w:val="nil"/>
              <w:left w:val="nil"/>
              <w:bottom w:val="nil"/>
              <w:right w:val="nil"/>
            </w:tcBorders>
            <w:shd w:val="clear" w:color="auto" w:fill="auto"/>
            <w:vAlign w:val="bottom"/>
            <w:hideMark/>
          </w:tcPr>
          <w:p w14:paraId="700774D4"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28,93%</w:t>
            </w:r>
          </w:p>
        </w:tc>
        <w:tc>
          <w:tcPr>
            <w:tcW w:w="594" w:type="pct"/>
            <w:tcBorders>
              <w:top w:val="nil"/>
              <w:left w:val="nil"/>
              <w:bottom w:val="nil"/>
              <w:right w:val="nil"/>
            </w:tcBorders>
            <w:shd w:val="clear" w:color="auto" w:fill="auto"/>
            <w:vAlign w:val="bottom"/>
            <w:hideMark/>
          </w:tcPr>
          <w:p w14:paraId="6919D8BB"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2012</w:t>
            </w:r>
          </w:p>
        </w:tc>
        <w:tc>
          <w:tcPr>
            <w:tcW w:w="495" w:type="pct"/>
            <w:tcBorders>
              <w:top w:val="nil"/>
              <w:left w:val="nil"/>
              <w:bottom w:val="nil"/>
              <w:right w:val="nil"/>
            </w:tcBorders>
            <w:shd w:val="clear" w:color="auto" w:fill="auto"/>
            <w:vAlign w:val="bottom"/>
            <w:hideMark/>
          </w:tcPr>
          <w:p w14:paraId="1F9C778B"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35,00%</w:t>
            </w:r>
          </w:p>
        </w:tc>
        <w:tc>
          <w:tcPr>
            <w:tcW w:w="576" w:type="pct"/>
            <w:tcBorders>
              <w:top w:val="nil"/>
              <w:left w:val="nil"/>
              <w:bottom w:val="nil"/>
              <w:right w:val="nil"/>
            </w:tcBorders>
            <w:shd w:val="clear" w:color="auto" w:fill="auto"/>
            <w:vAlign w:val="bottom"/>
            <w:hideMark/>
          </w:tcPr>
          <w:p w14:paraId="50A2E1C4"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28,80%</w:t>
            </w:r>
          </w:p>
        </w:tc>
      </w:tr>
      <w:tr w:rsidR="007D2800" w:rsidRPr="00001DC5" w14:paraId="059F69EF" w14:textId="77777777" w:rsidTr="002F3B80">
        <w:trPr>
          <w:trHeight w:val="20"/>
        </w:trPr>
        <w:tc>
          <w:tcPr>
            <w:tcW w:w="508" w:type="pct"/>
            <w:tcBorders>
              <w:top w:val="nil"/>
              <w:left w:val="nil"/>
              <w:bottom w:val="nil"/>
              <w:right w:val="nil"/>
            </w:tcBorders>
            <w:shd w:val="clear" w:color="auto" w:fill="auto"/>
            <w:vAlign w:val="bottom"/>
            <w:hideMark/>
          </w:tcPr>
          <w:p w14:paraId="2F647871"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1b.2</w:t>
            </w:r>
          </w:p>
        </w:tc>
        <w:tc>
          <w:tcPr>
            <w:tcW w:w="2443" w:type="pct"/>
            <w:tcBorders>
              <w:top w:val="nil"/>
              <w:left w:val="nil"/>
              <w:bottom w:val="nil"/>
              <w:right w:val="nil"/>
            </w:tcBorders>
            <w:shd w:val="clear" w:color="auto" w:fill="auto"/>
            <w:vAlign w:val="bottom"/>
            <w:hideMark/>
          </w:tcPr>
          <w:p w14:paraId="3C6D55CD"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Incidenza della spesa totale per R&amp;S sul PIL (%)</w:t>
            </w:r>
          </w:p>
        </w:tc>
        <w:tc>
          <w:tcPr>
            <w:tcW w:w="384" w:type="pct"/>
            <w:tcBorders>
              <w:top w:val="nil"/>
              <w:left w:val="nil"/>
              <w:bottom w:val="nil"/>
              <w:right w:val="nil"/>
            </w:tcBorders>
            <w:shd w:val="clear" w:color="auto" w:fill="auto"/>
            <w:vAlign w:val="bottom"/>
            <w:hideMark/>
          </w:tcPr>
          <w:p w14:paraId="49816FA4"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1,33%</w:t>
            </w:r>
          </w:p>
        </w:tc>
        <w:tc>
          <w:tcPr>
            <w:tcW w:w="594" w:type="pct"/>
            <w:tcBorders>
              <w:top w:val="nil"/>
              <w:left w:val="nil"/>
              <w:bottom w:val="nil"/>
              <w:right w:val="nil"/>
            </w:tcBorders>
            <w:shd w:val="clear" w:color="auto" w:fill="auto"/>
            <w:vAlign w:val="bottom"/>
            <w:hideMark/>
          </w:tcPr>
          <w:p w14:paraId="05A4BC13"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2011</w:t>
            </w:r>
          </w:p>
        </w:tc>
        <w:tc>
          <w:tcPr>
            <w:tcW w:w="495" w:type="pct"/>
            <w:tcBorders>
              <w:top w:val="nil"/>
              <w:left w:val="nil"/>
              <w:bottom w:val="nil"/>
              <w:right w:val="nil"/>
            </w:tcBorders>
            <w:shd w:val="clear" w:color="auto" w:fill="auto"/>
            <w:vAlign w:val="bottom"/>
            <w:hideMark/>
          </w:tcPr>
          <w:p w14:paraId="1BCFE20C"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1,70%</w:t>
            </w:r>
          </w:p>
        </w:tc>
        <w:tc>
          <w:tcPr>
            <w:tcW w:w="576" w:type="pct"/>
            <w:tcBorders>
              <w:top w:val="nil"/>
              <w:left w:val="nil"/>
              <w:bottom w:val="nil"/>
              <w:right w:val="nil"/>
            </w:tcBorders>
            <w:shd w:val="clear" w:color="auto" w:fill="auto"/>
            <w:vAlign w:val="bottom"/>
            <w:hideMark/>
          </w:tcPr>
          <w:p w14:paraId="111FA23B"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1,32%</w:t>
            </w:r>
          </w:p>
        </w:tc>
      </w:tr>
      <w:tr w:rsidR="007D2800" w:rsidRPr="00001DC5" w14:paraId="47515105" w14:textId="77777777" w:rsidTr="002F3B80">
        <w:trPr>
          <w:trHeight w:val="20"/>
        </w:trPr>
        <w:tc>
          <w:tcPr>
            <w:tcW w:w="508" w:type="pct"/>
            <w:tcBorders>
              <w:top w:val="nil"/>
              <w:left w:val="nil"/>
              <w:bottom w:val="nil"/>
              <w:right w:val="nil"/>
            </w:tcBorders>
            <w:shd w:val="clear" w:color="auto" w:fill="auto"/>
            <w:vAlign w:val="bottom"/>
            <w:hideMark/>
          </w:tcPr>
          <w:p w14:paraId="4FAFA7A7"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1b.2a</w:t>
            </w:r>
          </w:p>
        </w:tc>
        <w:tc>
          <w:tcPr>
            <w:tcW w:w="2443" w:type="pct"/>
            <w:tcBorders>
              <w:top w:val="nil"/>
              <w:left w:val="nil"/>
              <w:bottom w:val="nil"/>
              <w:right w:val="nil"/>
            </w:tcBorders>
            <w:shd w:val="clear" w:color="auto" w:fill="auto"/>
            <w:vAlign w:val="bottom"/>
            <w:hideMark/>
          </w:tcPr>
          <w:p w14:paraId="20BF837E"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Incidenza della spesa pubblica per R&amp;S sul PIL (%)</w:t>
            </w:r>
          </w:p>
        </w:tc>
        <w:tc>
          <w:tcPr>
            <w:tcW w:w="384" w:type="pct"/>
            <w:tcBorders>
              <w:top w:val="nil"/>
              <w:left w:val="nil"/>
              <w:bottom w:val="nil"/>
              <w:right w:val="nil"/>
            </w:tcBorders>
            <w:shd w:val="clear" w:color="auto" w:fill="auto"/>
            <w:vAlign w:val="bottom"/>
            <w:hideMark/>
          </w:tcPr>
          <w:p w14:paraId="6E2439BC"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0,30%</w:t>
            </w:r>
          </w:p>
        </w:tc>
        <w:tc>
          <w:tcPr>
            <w:tcW w:w="594" w:type="pct"/>
            <w:tcBorders>
              <w:top w:val="nil"/>
              <w:left w:val="nil"/>
              <w:bottom w:val="nil"/>
              <w:right w:val="nil"/>
            </w:tcBorders>
            <w:shd w:val="clear" w:color="auto" w:fill="auto"/>
            <w:vAlign w:val="bottom"/>
            <w:hideMark/>
          </w:tcPr>
          <w:p w14:paraId="7EC7CDA4"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2011</w:t>
            </w:r>
          </w:p>
        </w:tc>
        <w:tc>
          <w:tcPr>
            <w:tcW w:w="495" w:type="pct"/>
            <w:tcBorders>
              <w:top w:val="nil"/>
              <w:left w:val="nil"/>
              <w:bottom w:val="nil"/>
              <w:right w:val="nil"/>
            </w:tcBorders>
            <w:shd w:val="clear" w:color="auto" w:fill="auto"/>
            <w:vAlign w:val="bottom"/>
            <w:hideMark/>
          </w:tcPr>
          <w:p w14:paraId="5228FF98"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0,38%</w:t>
            </w:r>
          </w:p>
        </w:tc>
        <w:tc>
          <w:tcPr>
            <w:tcW w:w="576" w:type="pct"/>
            <w:tcBorders>
              <w:top w:val="nil"/>
              <w:left w:val="nil"/>
              <w:bottom w:val="nil"/>
              <w:right w:val="nil"/>
            </w:tcBorders>
            <w:shd w:val="clear" w:color="auto" w:fill="auto"/>
            <w:vAlign w:val="bottom"/>
            <w:hideMark/>
          </w:tcPr>
          <w:p w14:paraId="09E23D2B"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0,27%</w:t>
            </w:r>
          </w:p>
        </w:tc>
      </w:tr>
      <w:tr w:rsidR="007D2800" w:rsidRPr="00001DC5" w14:paraId="4798A475" w14:textId="77777777" w:rsidTr="002F3B80">
        <w:trPr>
          <w:trHeight w:val="20"/>
        </w:trPr>
        <w:tc>
          <w:tcPr>
            <w:tcW w:w="508" w:type="pct"/>
            <w:tcBorders>
              <w:top w:val="nil"/>
              <w:left w:val="nil"/>
              <w:bottom w:val="nil"/>
              <w:right w:val="nil"/>
            </w:tcBorders>
            <w:shd w:val="clear" w:color="auto" w:fill="auto"/>
            <w:vAlign w:val="bottom"/>
            <w:hideMark/>
          </w:tcPr>
          <w:p w14:paraId="159E01B7"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1b.2b</w:t>
            </w:r>
          </w:p>
        </w:tc>
        <w:tc>
          <w:tcPr>
            <w:tcW w:w="2443" w:type="pct"/>
            <w:tcBorders>
              <w:top w:val="nil"/>
              <w:left w:val="nil"/>
              <w:bottom w:val="nil"/>
              <w:right w:val="nil"/>
            </w:tcBorders>
            <w:shd w:val="clear" w:color="auto" w:fill="auto"/>
            <w:vAlign w:val="bottom"/>
            <w:hideMark/>
          </w:tcPr>
          <w:p w14:paraId="69B4753D"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Incidenza della spesa per R&amp;S del settore privato sul PIL (%)</w:t>
            </w:r>
          </w:p>
        </w:tc>
        <w:tc>
          <w:tcPr>
            <w:tcW w:w="384" w:type="pct"/>
            <w:tcBorders>
              <w:top w:val="nil"/>
              <w:left w:val="nil"/>
              <w:bottom w:val="nil"/>
              <w:right w:val="nil"/>
            </w:tcBorders>
            <w:shd w:val="clear" w:color="auto" w:fill="auto"/>
            <w:vAlign w:val="bottom"/>
            <w:hideMark/>
          </w:tcPr>
          <w:p w14:paraId="4B0281FF"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1,03%</w:t>
            </w:r>
          </w:p>
        </w:tc>
        <w:tc>
          <w:tcPr>
            <w:tcW w:w="594" w:type="pct"/>
            <w:tcBorders>
              <w:top w:val="nil"/>
              <w:left w:val="nil"/>
              <w:bottom w:val="nil"/>
              <w:right w:val="nil"/>
            </w:tcBorders>
            <w:shd w:val="clear" w:color="auto" w:fill="auto"/>
            <w:vAlign w:val="bottom"/>
            <w:hideMark/>
          </w:tcPr>
          <w:p w14:paraId="3A41EF80"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2011</w:t>
            </w:r>
          </w:p>
        </w:tc>
        <w:tc>
          <w:tcPr>
            <w:tcW w:w="495" w:type="pct"/>
            <w:tcBorders>
              <w:top w:val="nil"/>
              <w:left w:val="nil"/>
              <w:bottom w:val="nil"/>
              <w:right w:val="nil"/>
            </w:tcBorders>
            <w:shd w:val="clear" w:color="auto" w:fill="auto"/>
            <w:vAlign w:val="bottom"/>
            <w:hideMark/>
          </w:tcPr>
          <w:p w14:paraId="0E8DCF81"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1,32%</w:t>
            </w:r>
          </w:p>
        </w:tc>
        <w:tc>
          <w:tcPr>
            <w:tcW w:w="576" w:type="pct"/>
            <w:tcBorders>
              <w:top w:val="nil"/>
              <w:left w:val="nil"/>
              <w:bottom w:val="nil"/>
              <w:right w:val="nil"/>
            </w:tcBorders>
            <w:shd w:val="clear" w:color="auto" w:fill="auto"/>
            <w:vAlign w:val="bottom"/>
            <w:hideMark/>
          </w:tcPr>
          <w:p w14:paraId="715E3EB5"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1,04%</w:t>
            </w:r>
          </w:p>
        </w:tc>
      </w:tr>
      <w:tr w:rsidR="007D2800" w:rsidRPr="00001DC5" w14:paraId="2A07A333" w14:textId="77777777" w:rsidTr="002F3B80">
        <w:trPr>
          <w:trHeight w:val="20"/>
        </w:trPr>
        <w:tc>
          <w:tcPr>
            <w:tcW w:w="508" w:type="pct"/>
            <w:tcBorders>
              <w:top w:val="nil"/>
              <w:left w:val="nil"/>
              <w:bottom w:val="nil"/>
              <w:right w:val="nil"/>
            </w:tcBorders>
            <w:shd w:val="clear" w:color="auto" w:fill="auto"/>
            <w:vAlign w:val="bottom"/>
            <w:hideMark/>
          </w:tcPr>
          <w:p w14:paraId="45E9FC56"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1b.3</w:t>
            </w:r>
          </w:p>
        </w:tc>
        <w:tc>
          <w:tcPr>
            <w:tcW w:w="2443" w:type="pct"/>
            <w:tcBorders>
              <w:top w:val="nil"/>
              <w:left w:val="nil"/>
              <w:bottom w:val="nil"/>
              <w:right w:val="nil"/>
            </w:tcBorders>
            <w:shd w:val="clear" w:color="auto" w:fill="auto"/>
            <w:vAlign w:val="bottom"/>
            <w:hideMark/>
          </w:tcPr>
          <w:p w14:paraId="3C82554C"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Domande italiane di brevetto europeo pubblicate da EPO</w:t>
            </w:r>
          </w:p>
        </w:tc>
        <w:tc>
          <w:tcPr>
            <w:tcW w:w="384" w:type="pct"/>
            <w:tcBorders>
              <w:top w:val="nil"/>
              <w:left w:val="nil"/>
              <w:bottom w:val="nil"/>
              <w:right w:val="nil"/>
            </w:tcBorders>
            <w:shd w:val="clear" w:color="auto" w:fill="auto"/>
            <w:vAlign w:val="bottom"/>
            <w:hideMark/>
          </w:tcPr>
          <w:p w14:paraId="6F0F0738" w14:textId="57560E62"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1.326</w:t>
            </w:r>
          </w:p>
        </w:tc>
        <w:tc>
          <w:tcPr>
            <w:tcW w:w="594" w:type="pct"/>
            <w:tcBorders>
              <w:top w:val="nil"/>
              <w:left w:val="nil"/>
              <w:bottom w:val="nil"/>
              <w:right w:val="nil"/>
            </w:tcBorders>
            <w:shd w:val="clear" w:color="auto" w:fill="auto"/>
            <w:vAlign w:val="bottom"/>
            <w:hideMark/>
          </w:tcPr>
          <w:p w14:paraId="2E94DB8B"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2011</w:t>
            </w:r>
          </w:p>
        </w:tc>
        <w:tc>
          <w:tcPr>
            <w:tcW w:w="495" w:type="pct"/>
            <w:tcBorders>
              <w:top w:val="nil"/>
              <w:left w:val="nil"/>
              <w:bottom w:val="nil"/>
              <w:right w:val="nil"/>
            </w:tcBorders>
            <w:shd w:val="clear" w:color="auto" w:fill="auto"/>
            <w:vAlign w:val="bottom"/>
            <w:hideMark/>
          </w:tcPr>
          <w:p w14:paraId="1FB72210" w14:textId="1B72B7F2"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1.525</w:t>
            </w:r>
          </w:p>
        </w:tc>
        <w:tc>
          <w:tcPr>
            <w:tcW w:w="576" w:type="pct"/>
            <w:tcBorders>
              <w:top w:val="nil"/>
              <w:left w:val="nil"/>
              <w:bottom w:val="nil"/>
              <w:right w:val="nil"/>
            </w:tcBorders>
            <w:shd w:val="clear" w:color="auto" w:fill="auto"/>
            <w:vAlign w:val="bottom"/>
            <w:hideMark/>
          </w:tcPr>
          <w:p w14:paraId="4FA28CFD" w14:textId="1B077970"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1.382</w:t>
            </w:r>
          </w:p>
        </w:tc>
      </w:tr>
      <w:tr w:rsidR="007D2800" w:rsidRPr="00001DC5" w14:paraId="3831C8DE" w14:textId="77777777" w:rsidTr="002F3B80">
        <w:trPr>
          <w:trHeight w:val="20"/>
        </w:trPr>
        <w:tc>
          <w:tcPr>
            <w:tcW w:w="508" w:type="pct"/>
            <w:tcBorders>
              <w:top w:val="nil"/>
              <w:left w:val="nil"/>
              <w:bottom w:val="single" w:sz="4" w:space="0" w:color="305496"/>
              <w:right w:val="nil"/>
            </w:tcBorders>
            <w:shd w:val="clear" w:color="000000" w:fill="E7E6E6"/>
            <w:vAlign w:val="bottom"/>
            <w:hideMark/>
          </w:tcPr>
          <w:p w14:paraId="020C947A" w14:textId="77777777" w:rsidR="007D2800" w:rsidRPr="00001DC5" w:rsidRDefault="007D2800" w:rsidP="00FF30A9">
            <w:pPr>
              <w:jc w:val="left"/>
              <w:rPr>
                <w:rFonts w:eastAsia="Times New Roman" w:cs="Calibri"/>
                <w:b/>
                <w:bCs/>
                <w:color w:val="000000"/>
                <w:sz w:val="18"/>
                <w:szCs w:val="18"/>
                <w:lang w:eastAsia="en-US"/>
              </w:rPr>
            </w:pPr>
            <w:r w:rsidRPr="00001DC5">
              <w:rPr>
                <w:rFonts w:eastAsia="Times New Roman" w:cs="Calibri"/>
                <w:b/>
                <w:bCs/>
                <w:color w:val="000000"/>
                <w:sz w:val="18"/>
                <w:szCs w:val="18"/>
                <w:lang w:eastAsia="en-US"/>
              </w:rPr>
              <w:t>Asse II</w:t>
            </w:r>
          </w:p>
        </w:tc>
        <w:tc>
          <w:tcPr>
            <w:tcW w:w="2443" w:type="pct"/>
            <w:tcBorders>
              <w:top w:val="nil"/>
              <w:left w:val="nil"/>
              <w:bottom w:val="single" w:sz="4" w:space="0" w:color="305496"/>
              <w:right w:val="nil"/>
            </w:tcBorders>
            <w:shd w:val="clear" w:color="000000" w:fill="E7E6E6"/>
            <w:vAlign w:val="bottom"/>
            <w:hideMark/>
          </w:tcPr>
          <w:p w14:paraId="37A8C198" w14:textId="77777777" w:rsidR="007D2800" w:rsidRPr="00001DC5" w:rsidRDefault="007D2800" w:rsidP="00FF30A9">
            <w:pPr>
              <w:jc w:val="left"/>
              <w:rPr>
                <w:rFonts w:eastAsia="Times New Roman" w:cs="Calibri"/>
                <w:b/>
                <w:bCs/>
                <w:color w:val="000000"/>
                <w:sz w:val="18"/>
                <w:szCs w:val="18"/>
                <w:lang w:eastAsia="en-US"/>
              </w:rPr>
            </w:pPr>
            <w:r w:rsidRPr="00001DC5">
              <w:rPr>
                <w:rFonts w:eastAsia="Times New Roman" w:cs="Calibri"/>
                <w:b/>
                <w:bCs/>
                <w:color w:val="000000"/>
                <w:sz w:val="18"/>
                <w:szCs w:val="18"/>
                <w:lang w:eastAsia="en-US"/>
              </w:rPr>
              <w:t> </w:t>
            </w:r>
          </w:p>
        </w:tc>
        <w:tc>
          <w:tcPr>
            <w:tcW w:w="384" w:type="pct"/>
            <w:tcBorders>
              <w:top w:val="nil"/>
              <w:left w:val="nil"/>
              <w:bottom w:val="single" w:sz="4" w:space="0" w:color="305496"/>
              <w:right w:val="nil"/>
            </w:tcBorders>
            <w:shd w:val="clear" w:color="000000" w:fill="E7E6E6"/>
            <w:vAlign w:val="bottom"/>
            <w:hideMark/>
          </w:tcPr>
          <w:p w14:paraId="6017C3AE" w14:textId="77777777" w:rsidR="007D2800" w:rsidRPr="00001DC5" w:rsidRDefault="007D2800" w:rsidP="00033A16">
            <w:pPr>
              <w:jc w:val="right"/>
              <w:rPr>
                <w:rFonts w:eastAsia="Times New Roman" w:cs="Calibri"/>
                <w:b/>
                <w:bCs/>
                <w:color w:val="000000"/>
                <w:sz w:val="18"/>
                <w:szCs w:val="18"/>
                <w:lang w:eastAsia="en-US"/>
              </w:rPr>
            </w:pPr>
            <w:r w:rsidRPr="00001DC5">
              <w:rPr>
                <w:rFonts w:eastAsia="Times New Roman" w:cs="Calibri"/>
                <w:b/>
                <w:bCs/>
                <w:color w:val="000000"/>
                <w:sz w:val="18"/>
                <w:szCs w:val="18"/>
                <w:lang w:eastAsia="en-US"/>
              </w:rPr>
              <w:t> </w:t>
            </w:r>
          </w:p>
        </w:tc>
        <w:tc>
          <w:tcPr>
            <w:tcW w:w="594" w:type="pct"/>
            <w:tcBorders>
              <w:top w:val="nil"/>
              <w:left w:val="nil"/>
              <w:bottom w:val="single" w:sz="4" w:space="0" w:color="305496"/>
              <w:right w:val="nil"/>
            </w:tcBorders>
            <w:shd w:val="clear" w:color="000000" w:fill="E7E6E6"/>
            <w:vAlign w:val="bottom"/>
            <w:hideMark/>
          </w:tcPr>
          <w:p w14:paraId="0ABAC46E" w14:textId="77777777" w:rsidR="007D2800" w:rsidRPr="00001DC5" w:rsidRDefault="007D2800" w:rsidP="00033A16">
            <w:pPr>
              <w:jc w:val="right"/>
              <w:rPr>
                <w:rFonts w:eastAsia="Times New Roman" w:cs="Calibri"/>
                <w:b/>
                <w:bCs/>
                <w:color w:val="000000"/>
                <w:sz w:val="18"/>
                <w:szCs w:val="18"/>
                <w:lang w:eastAsia="en-US"/>
              </w:rPr>
            </w:pPr>
            <w:r w:rsidRPr="00001DC5">
              <w:rPr>
                <w:rFonts w:eastAsia="Times New Roman" w:cs="Calibri"/>
                <w:b/>
                <w:bCs/>
                <w:color w:val="000000"/>
                <w:sz w:val="18"/>
                <w:szCs w:val="18"/>
                <w:lang w:eastAsia="en-US"/>
              </w:rPr>
              <w:t> </w:t>
            </w:r>
          </w:p>
        </w:tc>
        <w:tc>
          <w:tcPr>
            <w:tcW w:w="495" w:type="pct"/>
            <w:tcBorders>
              <w:top w:val="nil"/>
              <w:left w:val="nil"/>
              <w:bottom w:val="single" w:sz="4" w:space="0" w:color="305496"/>
              <w:right w:val="nil"/>
            </w:tcBorders>
            <w:shd w:val="clear" w:color="000000" w:fill="E7E6E6"/>
            <w:vAlign w:val="bottom"/>
            <w:hideMark/>
          </w:tcPr>
          <w:p w14:paraId="3A0E57C0" w14:textId="77777777" w:rsidR="007D2800" w:rsidRPr="00001DC5" w:rsidRDefault="007D2800" w:rsidP="00033A16">
            <w:pPr>
              <w:jc w:val="right"/>
              <w:rPr>
                <w:rFonts w:eastAsia="Times New Roman" w:cs="Calibri"/>
                <w:b/>
                <w:bCs/>
                <w:color w:val="000000"/>
                <w:sz w:val="18"/>
                <w:szCs w:val="18"/>
                <w:lang w:eastAsia="en-US"/>
              </w:rPr>
            </w:pPr>
            <w:r w:rsidRPr="00001DC5">
              <w:rPr>
                <w:rFonts w:eastAsia="Times New Roman" w:cs="Calibri"/>
                <w:b/>
                <w:bCs/>
                <w:color w:val="000000"/>
                <w:sz w:val="18"/>
                <w:szCs w:val="18"/>
                <w:lang w:eastAsia="en-US"/>
              </w:rPr>
              <w:t> </w:t>
            </w:r>
          </w:p>
        </w:tc>
        <w:tc>
          <w:tcPr>
            <w:tcW w:w="576" w:type="pct"/>
            <w:tcBorders>
              <w:top w:val="nil"/>
              <w:left w:val="nil"/>
              <w:bottom w:val="single" w:sz="4" w:space="0" w:color="305496"/>
              <w:right w:val="nil"/>
            </w:tcBorders>
            <w:shd w:val="clear" w:color="000000" w:fill="E7E6E6"/>
            <w:vAlign w:val="bottom"/>
            <w:hideMark/>
          </w:tcPr>
          <w:p w14:paraId="53492589" w14:textId="77777777" w:rsidR="007D2800" w:rsidRPr="00001DC5" w:rsidRDefault="007D2800" w:rsidP="00033A16">
            <w:pPr>
              <w:jc w:val="right"/>
              <w:rPr>
                <w:rFonts w:eastAsia="Times New Roman" w:cs="Calibri"/>
                <w:b/>
                <w:bCs/>
                <w:color w:val="000000"/>
                <w:sz w:val="18"/>
                <w:szCs w:val="18"/>
                <w:lang w:eastAsia="en-US"/>
              </w:rPr>
            </w:pPr>
            <w:r w:rsidRPr="00001DC5">
              <w:rPr>
                <w:rFonts w:eastAsia="Times New Roman" w:cs="Calibri"/>
                <w:b/>
                <w:bCs/>
                <w:color w:val="000000"/>
                <w:sz w:val="18"/>
                <w:szCs w:val="18"/>
                <w:lang w:eastAsia="en-US"/>
              </w:rPr>
              <w:t> </w:t>
            </w:r>
          </w:p>
        </w:tc>
      </w:tr>
      <w:tr w:rsidR="007D2800" w:rsidRPr="00001DC5" w14:paraId="08AD286D" w14:textId="77777777" w:rsidTr="002F3B80">
        <w:trPr>
          <w:trHeight w:val="20"/>
        </w:trPr>
        <w:tc>
          <w:tcPr>
            <w:tcW w:w="508" w:type="pct"/>
            <w:tcBorders>
              <w:top w:val="nil"/>
              <w:left w:val="nil"/>
              <w:bottom w:val="nil"/>
              <w:right w:val="nil"/>
            </w:tcBorders>
            <w:shd w:val="clear" w:color="auto" w:fill="auto"/>
            <w:vAlign w:val="bottom"/>
            <w:hideMark/>
          </w:tcPr>
          <w:p w14:paraId="68F3CD27"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2a.1</w:t>
            </w:r>
          </w:p>
        </w:tc>
        <w:tc>
          <w:tcPr>
            <w:tcW w:w="2443" w:type="pct"/>
            <w:tcBorders>
              <w:top w:val="nil"/>
              <w:left w:val="nil"/>
              <w:bottom w:val="nil"/>
              <w:right w:val="nil"/>
            </w:tcBorders>
            <w:shd w:val="clear" w:color="auto" w:fill="auto"/>
            <w:vAlign w:val="bottom"/>
            <w:hideMark/>
          </w:tcPr>
          <w:p w14:paraId="6C124F92"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Copertura con banda ultra larga a 100 Mbps (%)</w:t>
            </w:r>
          </w:p>
        </w:tc>
        <w:tc>
          <w:tcPr>
            <w:tcW w:w="384" w:type="pct"/>
            <w:tcBorders>
              <w:top w:val="nil"/>
              <w:left w:val="nil"/>
              <w:bottom w:val="nil"/>
              <w:right w:val="nil"/>
            </w:tcBorders>
            <w:shd w:val="clear" w:color="auto" w:fill="auto"/>
            <w:vAlign w:val="bottom"/>
            <w:hideMark/>
          </w:tcPr>
          <w:p w14:paraId="15837E4A"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13,32%</w:t>
            </w:r>
          </w:p>
        </w:tc>
        <w:tc>
          <w:tcPr>
            <w:tcW w:w="594" w:type="pct"/>
            <w:tcBorders>
              <w:top w:val="nil"/>
              <w:left w:val="nil"/>
              <w:bottom w:val="nil"/>
              <w:right w:val="nil"/>
            </w:tcBorders>
            <w:shd w:val="clear" w:color="auto" w:fill="auto"/>
            <w:vAlign w:val="bottom"/>
            <w:hideMark/>
          </w:tcPr>
          <w:p w14:paraId="7090A63C"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2013</w:t>
            </w:r>
          </w:p>
        </w:tc>
        <w:tc>
          <w:tcPr>
            <w:tcW w:w="495" w:type="pct"/>
            <w:tcBorders>
              <w:top w:val="nil"/>
              <w:left w:val="nil"/>
              <w:bottom w:val="nil"/>
              <w:right w:val="nil"/>
            </w:tcBorders>
            <w:shd w:val="clear" w:color="auto" w:fill="auto"/>
            <w:vAlign w:val="bottom"/>
            <w:hideMark/>
          </w:tcPr>
          <w:p w14:paraId="78464554"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25,66%</w:t>
            </w:r>
          </w:p>
        </w:tc>
        <w:tc>
          <w:tcPr>
            <w:tcW w:w="576" w:type="pct"/>
            <w:tcBorders>
              <w:top w:val="nil"/>
              <w:left w:val="nil"/>
              <w:bottom w:val="nil"/>
              <w:right w:val="nil"/>
            </w:tcBorders>
            <w:shd w:val="clear" w:color="auto" w:fill="auto"/>
            <w:vAlign w:val="bottom"/>
            <w:hideMark/>
          </w:tcPr>
          <w:p w14:paraId="3ADE9955"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25,00%</w:t>
            </w:r>
          </w:p>
        </w:tc>
      </w:tr>
      <w:tr w:rsidR="007D2800" w:rsidRPr="00001DC5" w14:paraId="7491AA66" w14:textId="77777777" w:rsidTr="002F3B80">
        <w:trPr>
          <w:trHeight w:val="20"/>
        </w:trPr>
        <w:tc>
          <w:tcPr>
            <w:tcW w:w="508" w:type="pct"/>
            <w:tcBorders>
              <w:top w:val="nil"/>
              <w:left w:val="nil"/>
              <w:bottom w:val="single" w:sz="4" w:space="0" w:color="305496"/>
              <w:right w:val="nil"/>
            </w:tcBorders>
            <w:shd w:val="clear" w:color="000000" w:fill="E7E6E6"/>
            <w:vAlign w:val="bottom"/>
            <w:hideMark/>
          </w:tcPr>
          <w:p w14:paraId="75F48934" w14:textId="77777777" w:rsidR="007D2800" w:rsidRPr="00001DC5" w:rsidRDefault="007D2800" w:rsidP="00FF30A9">
            <w:pPr>
              <w:jc w:val="left"/>
              <w:rPr>
                <w:rFonts w:eastAsia="Times New Roman" w:cs="Calibri"/>
                <w:b/>
                <w:bCs/>
                <w:color w:val="000000"/>
                <w:sz w:val="18"/>
                <w:szCs w:val="18"/>
                <w:lang w:eastAsia="en-US"/>
              </w:rPr>
            </w:pPr>
            <w:r w:rsidRPr="00001DC5">
              <w:rPr>
                <w:rFonts w:eastAsia="Times New Roman" w:cs="Calibri"/>
                <w:b/>
                <w:bCs/>
                <w:color w:val="000000"/>
                <w:sz w:val="18"/>
                <w:szCs w:val="18"/>
                <w:lang w:eastAsia="en-US"/>
              </w:rPr>
              <w:t>Asse III</w:t>
            </w:r>
          </w:p>
        </w:tc>
        <w:tc>
          <w:tcPr>
            <w:tcW w:w="2443" w:type="pct"/>
            <w:tcBorders>
              <w:top w:val="nil"/>
              <w:left w:val="nil"/>
              <w:bottom w:val="single" w:sz="4" w:space="0" w:color="305496"/>
              <w:right w:val="nil"/>
            </w:tcBorders>
            <w:shd w:val="clear" w:color="000000" w:fill="E7E6E6"/>
            <w:vAlign w:val="bottom"/>
            <w:hideMark/>
          </w:tcPr>
          <w:p w14:paraId="41408527" w14:textId="77777777" w:rsidR="007D2800" w:rsidRPr="00001DC5" w:rsidRDefault="007D2800" w:rsidP="00FF30A9">
            <w:pPr>
              <w:jc w:val="left"/>
              <w:rPr>
                <w:rFonts w:eastAsia="Times New Roman" w:cs="Calibri"/>
                <w:b/>
                <w:bCs/>
                <w:color w:val="000000"/>
                <w:sz w:val="18"/>
                <w:szCs w:val="18"/>
                <w:lang w:eastAsia="en-US"/>
              </w:rPr>
            </w:pPr>
            <w:r w:rsidRPr="00001DC5">
              <w:rPr>
                <w:rFonts w:eastAsia="Times New Roman" w:cs="Calibri"/>
                <w:b/>
                <w:bCs/>
                <w:color w:val="000000"/>
                <w:sz w:val="18"/>
                <w:szCs w:val="18"/>
                <w:lang w:eastAsia="en-US"/>
              </w:rPr>
              <w:t> </w:t>
            </w:r>
          </w:p>
        </w:tc>
        <w:tc>
          <w:tcPr>
            <w:tcW w:w="384" w:type="pct"/>
            <w:tcBorders>
              <w:top w:val="nil"/>
              <w:left w:val="nil"/>
              <w:bottom w:val="single" w:sz="4" w:space="0" w:color="305496"/>
              <w:right w:val="nil"/>
            </w:tcBorders>
            <w:shd w:val="clear" w:color="000000" w:fill="E7E6E6"/>
            <w:vAlign w:val="bottom"/>
            <w:hideMark/>
          </w:tcPr>
          <w:p w14:paraId="63410D58" w14:textId="77777777" w:rsidR="007D2800" w:rsidRPr="00001DC5" w:rsidRDefault="007D2800" w:rsidP="00033A16">
            <w:pPr>
              <w:jc w:val="right"/>
              <w:rPr>
                <w:rFonts w:eastAsia="Times New Roman" w:cs="Calibri"/>
                <w:b/>
                <w:bCs/>
                <w:color w:val="000000"/>
                <w:sz w:val="18"/>
                <w:szCs w:val="18"/>
                <w:lang w:eastAsia="en-US"/>
              </w:rPr>
            </w:pPr>
            <w:r w:rsidRPr="00001DC5">
              <w:rPr>
                <w:rFonts w:eastAsia="Times New Roman" w:cs="Calibri"/>
                <w:b/>
                <w:bCs/>
                <w:color w:val="000000"/>
                <w:sz w:val="18"/>
                <w:szCs w:val="18"/>
                <w:lang w:eastAsia="en-US"/>
              </w:rPr>
              <w:t> </w:t>
            </w:r>
          </w:p>
        </w:tc>
        <w:tc>
          <w:tcPr>
            <w:tcW w:w="594" w:type="pct"/>
            <w:tcBorders>
              <w:top w:val="nil"/>
              <w:left w:val="nil"/>
              <w:bottom w:val="single" w:sz="4" w:space="0" w:color="305496"/>
              <w:right w:val="nil"/>
            </w:tcBorders>
            <w:shd w:val="clear" w:color="000000" w:fill="E7E6E6"/>
            <w:vAlign w:val="bottom"/>
            <w:hideMark/>
          </w:tcPr>
          <w:p w14:paraId="51A9E38D" w14:textId="77777777" w:rsidR="007D2800" w:rsidRPr="00001DC5" w:rsidRDefault="007D2800" w:rsidP="00033A16">
            <w:pPr>
              <w:jc w:val="right"/>
              <w:rPr>
                <w:rFonts w:eastAsia="Times New Roman" w:cs="Calibri"/>
                <w:b/>
                <w:bCs/>
                <w:color w:val="000000"/>
                <w:sz w:val="18"/>
                <w:szCs w:val="18"/>
                <w:lang w:eastAsia="en-US"/>
              </w:rPr>
            </w:pPr>
            <w:r w:rsidRPr="00001DC5">
              <w:rPr>
                <w:rFonts w:eastAsia="Times New Roman" w:cs="Calibri"/>
                <w:b/>
                <w:bCs/>
                <w:color w:val="000000"/>
                <w:sz w:val="18"/>
                <w:szCs w:val="18"/>
                <w:lang w:eastAsia="en-US"/>
              </w:rPr>
              <w:t> </w:t>
            </w:r>
          </w:p>
        </w:tc>
        <w:tc>
          <w:tcPr>
            <w:tcW w:w="495" w:type="pct"/>
            <w:tcBorders>
              <w:top w:val="nil"/>
              <w:left w:val="nil"/>
              <w:bottom w:val="single" w:sz="4" w:space="0" w:color="305496"/>
              <w:right w:val="nil"/>
            </w:tcBorders>
            <w:shd w:val="clear" w:color="000000" w:fill="E7E6E6"/>
            <w:vAlign w:val="bottom"/>
            <w:hideMark/>
          </w:tcPr>
          <w:p w14:paraId="7D8B785A" w14:textId="77777777" w:rsidR="007D2800" w:rsidRPr="00001DC5" w:rsidRDefault="007D2800" w:rsidP="00033A16">
            <w:pPr>
              <w:jc w:val="right"/>
              <w:rPr>
                <w:rFonts w:eastAsia="Times New Roman" w:cs="Calibri"/>
                <w:b/>
                <w:bCs/>
                <w:color w:val="000000"/>
                <w:sz w:val="18"/>
                <w:szCs w:val="18"/>
                <w:lang w:eastAsia="en-US"/>
              </w:rPr>
            </w:pPr>
            <w:r w:rsidRPr="00001DC5">
              <w:rPr>
                <w:rFonts w:eastAsia="Times New Roman" w:cs="Calibri"/>
                <w:b/>
                <w:bCs/>
                <w:color w:val="000000"/>
                <w:sz w:val="18"/>
                <w:szCs w:val="18"/>
                <w:lang w:eastAsia="en-US"/>
              </w:rPr>
              <w:t> </w:t>
            </w:r>
          </w:p>
        </w:tc>
        <w:tc>
          <w:tcPr>
            <w:tcW w:w="576" w:type="pct"/>
            <w:tcBorders>
              <w:top w:val="nil"/>
              <w:left w:val="nil"/>
              <w:bottom w:val="single" w:sz="4" w:space="0" w:color="305496"/>
              <w:right w:val="nil"/>
            </w:tcBorders>
            <w:shd w:val="clear" w:color="000000" w:fill="E7E6E6"/>
            <w:vAlign w:val="bottom"/>
            <w:hideMark/>
          </w:tcPr>
          <w:p w14:paraId="6A95169E" w14:textId="77777777" w:rsidR="007D2800" w:rsidRPr="00001DC5" w:rsidRDefault="007D2800" w:rsidP="00033A16">
            <w:pPr>
              <w:jc w:val="right"/>
              <w:rPr>
                <w:rFonts w:eastAsia="Times New Roman" w:cs="Calibri"/>
                <w:b/>
                <w:bCs/>
                <w:color w:val="000000"/>
                <w:sz w:val="18"/>
                <w:szCs w:val="18"/>
                <w:lang w:eastAsia="en-US"/>
              </w:rPr>
            </w:pPr>
            <w:r w:rsidRPr="00001DC5">
              <w:rPr>
                <w:rFonts w:eastAsia="Times New Roman" w:cs="Calibri"/>
                <w:b/>
                <w:bCs/>
                <w:color w:val="000000"/>
                <w:sz w:val="18"/>
                <w:szCs w:val="18"/>
                <w:lang w:eastAsia="en-US"/>
              </w:rPr>
              <w:t> </w:t>
            </w:r>
          </w:p>
        </w:tc>
      </w:tr>
      <w:tr w:rsidR="007D2800" w:rsidRPr="00001DC5" w14:paraId="34A97E28" w14:textId="77777777" w:rsidTr="002F3B80">
        <w:trPr>
          <w:trHeight w:val="20"/>
        </w:trPr>
        <w:tc>
          <w:tcPr>
            <w:tcW w:w="508" w:type="pct"/>
            <w:tcBorders>
              <w:top w:val="nil"/>
              <w:left w:val="nil"/>
              <w:bottom w:val="nil"/>
              <w:right w:val="nil"/>
            </w:tcBorders>
            <w:shd w:val="clear" w:color="auto" w:fill="auto"/>
            <w:vAlign w:val="bottom"/>
            <w:hideMark/>
          </w:tcPr>
          <w:p w14:paraId="134306B0"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 xml:space="preserve">3a.1 </w:t>
            </w:r>
          </w:p>
        </w:tc>
        <w:tc>
          <w:tcPr>
            <w:tcW w:w="2443" w:type="pct"/>
            <w:tcBorders>
              <w:top w:val="nil"/>
              <w:left w:val="nil"/>
              <w:bottom w:val="nil"/>
              <w:right w:val="nil"/>
            </w:tcBorders>
            <w:shd w:val="clear" w:color="auto" w:fill="auto"/>
            <w:vAlign w:val="bottom"/>
            <w:hideMark/>
          </w:tcPr>
          <w:p w14:paraId="0D645CB1"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Tasso di sopravvivenza delle imprese nei 5 anni successivi (%)</w:t>
            </w:r>
          </w:p>
        </w:tc>
        <w:tc>
          <w:tcPr>
            <w:tcW w:w="384" w:type="pct"/>
            <w:tcBorders>
              <w:top w:val="nil"/>
              <w:left w:val="nil"/>
              <w:bottom w:val="nil"/>
              <w:right w:val="nil"/>
            </w:tcBorders>
            <w:shd w:val="clear" w:color="auto" w:fill="auto"/>
            <w:vAlign w:val="bottom"/>
            <w:hideMark/>
          </w:tcPr>
          <w:p w14:paraId="5E44A21A"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49,10%</w:t>
            </w:r>
          </w:p>
        </w:tc>
        <w:tc>
          <w:tcPr>
            <w:tcW w:w="594" w:type="pct"/>
            <w:tcBorders>
              <w:top w:val="nil"/>
              <w:left w:val="nil"/>
              <w:bottom w:val="nil"/>
              <w:right w:val="nil"/>
            </w:tcBorders>
            <w:shd w:val="clear" w:color="auto" w:fill="auto"/>
            <w:vAlign w:val="bottom"/>
            <w:hideMark/>
          </w:tcPr>
          <w:p w14:paraId="0A0BBB4E"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2011</w:t>
            </w:r>
          </w:p>
        </w:tc>
        <w:tc>
          <w:tcPr>
            <w:tcW w:w="495" w:type="pct"/>
            <w:tcBorders>
              <w:top w:val="nil"/>
              <w:left w:val="nil"/>
              <w:bottom w:val="nil"/>
              <w:right w:val="nil"/>
            </w:tcBorders>
            <w:shd w:val="clear" w:color="auto" w:fill="auto"/>
            <w:vAlign w:val="bottom"/>
            <w:hideMark/>
          </w:tcPr>
          <w:p w14:paraId="7F1D5C79"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55,00%</w:t>
            </w:r>
          </w:p>
        </w:tc>
        <w:tc>
          <w:tcPr>
            <w:tcW w:w="576" w:type="pct"/>
            <w:tcBorders>
              <w:top w:val="nil"/>
              <w:left w:val="nil"/>
              <w:bottom w:val="nil"/>
              <w:right w:val="nil"/>
            </w:tcBorders>
            <w:shd w:val="clear" w:color="auto" w:fill="auto"/>
            <w:vAlign w:val="bottom"/>
            <w:hideMark/>
          </w:tcPr>
          <w:p w14:paraId="2471968E"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42,33%</w:t>
            </w:r>
          </w:p>
        </w:tc>
      </w:tr>
      <w:tr w:rsidR="007D2800" w:rsidRPr="00001DC5" w14:paraId="005CFA7E" w14:textId="77777777" w:rsidTr="002F3B80">
        <w:trPr>
          <w:trHeight w:val="20"/>
        </w:trPr>
        <w:tc>
          <w:tcPr>
            <w:tcW w:w="508" w:type="pct"/>
            <w:tcBorders>
              <w:top w:val="nil"/>
              <w:left w:val="nil"/>
              <w:bottom w:val="nil"/>
              <w:right w:val="nil"/>
            </w:tcBorders>
            <w:shd w:val="clear" w:color="auto" w:fill="auto"/>
            <w:vAlign w:val="bottom"/>
            <w:hideMark/>
          </w:tcPr>
          <w:p w14:paraId="6559A3B0"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3b.1</w:t>
            </w:r>
          </w:p>
        </w:tc>
        <w:tc>
          <w:tcPr>
            <w:tcW w:w="2443" w:type="pct"/>
            <w:tcBorders>
              <w:top w:val="nil"/>
              <w:left w:val="nil"/>
              <w:bottom w:val="nil"/>
              <w:right w:val="nil"/>
            </w:tcBorders>
            <w:shd w:val="clear" w:color="auto" w:fill="auto"/>
            <w:vAlign w:val="bottom"/>
            <w:hideMark/>
          </w:tcPr>
          <w:p w14:paraId="3AE98B01"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Grado di apertura commerciale del comparto manifatturiero (%)</w:t>
            </w:r>
          </w:p>
        </w:tc>
        <w:tc>
          <w:tcPr>
            <w:tcW w:w="384" w:type="pct"/>
            <w:tcBorders>
              <w:top w:val="nil"/>
              <w:left w:val="nil"/>
              <w:bottom w:val="nil"/>
              <w:right w:val="nil"/>
            </w:tcBorders>
            <w:shd w:val="clear" w:color="auto" w:fill="auto"/>
            <w:vAlign w:val="bottom"/>
            <w:hideMark/>
          </w:tcPr>
          <w:p w14:paraId="2C8666B4"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44,47%</w:t>
            </w:r>
          </w:p>
        </w:tc>
        <w:tc>
          <w:tcPr>
            <w:tcW w:w="594" w:type="pct"/>
            <w:tcBorders>
              <w:top w:val="nil"/>
              <w:left w:val="nil"/>
              <w:bottom w:val="nil"/>
              <w:right w:val="nil"/>
            </w:tcBorders>
            <w:shd w:val="clear" w:color="auto" w:fill="auto"/>
            <w:vAlign w:val="bottom"/>
            <w:hideMark/>
          </w:tcPr>
          <w:p w14:paraId="3B1EC9DA"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2012</w:t>
            </w:r>
          </w:p>
        </w:tc>
        <w:tc>
          <w:tcPr>
            <w:tcW w:w="495" w:type="pct"/>
            <w:tcBorders>
              <w:top w:val="nil"/>
              <w:left w:val="nil"/>
              <w:bottom w:val="nil"/>
              <w:right w:val="nil"/>
            </w:tcBorders>
            <w:shd w:val="clear" w:color="auto" w:fill="auto"/>
            <w:vAlign w:val="bottom"/>
            <w:hideMark/>
          </w:tcPr>
          <w:p w14:paraId="27328E75"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45,00%</w:t>
            </w:r>
          </w:p>
        </w:tc>
        <w:tc>
          <w:tcPr>
            <w:tcW w:w="576" w:type="pct"/>
            <w:tcBorders>
              <w:top w:val="nil"/>
              <w:left w:val="nil"/>
              <w:bottom w:val="nil"/>
              <w:right w:val="nil"/>
            </w:tcBorders>
            <w:shd w:val="clear" w:color="auto" w:fill="auto"/>
            <w:vAlign w:val="bottom"/>
            <w:hideMark/>
          </w:tcPr>
          <w:p w14:paraId="598FE54F"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43,81%</w:t>
            </w:r>
          </w:p>
        </w:tc>
      </w:tr>
      <w:tr w:rsidR="007D2800" w:rsidRPr="00001DC5" w14:paraId="75C1B922" w14:textId="77777777" w:rsidTr="002F3B80">
        <w:trPr>
          <w:trHeight w:val="20"/>
        </w:trPr>
        <w:tc>
          <w:tcPr>
            <w:tcW w:w="508" w:type="pct"/>
            <w:tcBorders>
              <w:top w:val="nil"/>
              <w:left w:val="nil"/>
              <w:bottom w:val="nil"/>
              <w:right w:val="nil"/>
            </w:tcBorders>
            <w:shd w:val="clear" w:color="auto" w:fill="auto"/>
            <w:vAlign w:val="bottom"/>
            <w:hideMark/>
          </w:tcPr>
          <w:p w14:paraId="0A0271BE"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3b.2a</w:t>
            </w:r>
          </w:p>
        </w:tc>
        <w:tc>
          <w:tcPr>
            <w:tcW w:w="2443" w:type="pct"/>
            <w:tcBorders>
              <w:top w:val="nil"/>
              <w:left w:val="nil"/>
              <w:bottom w:val="nil"/>
              <w:right w:val="nil"/>
            </w:tcBorders>
            <w:shd w:val="clear" w:color="auto" w:fill="auto"/>
            <w:vAlign w:val="bottom"/>
            <w:hideMark/>
          </w:tcPr>
          <w:p w14:paraId="1AD241D2"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Investimenti privati sul PIL (%)</w:t>
            </w:r>
          </w:p>
        </w:tc>
        <w:tc>
          <w:tcPr>
            <w:tcW w:w="384" w:type="pct"/>
            <w:tcBorders>
              <w:top w:val="nil"/>
              <w:left w:val="nil"/>
              <w:bottom w:val="nil"/>
              <w:right w:val="nil"/>
            </w:tcBorders>
            <w:shd w:val="clear" w:color="auto" w:fill="auto"/>
            <w:vAlign w:val="bottom"/>
            <w:hideMark/>
          </w:tcPr>
          <w:p w14:paraId="0F33D532"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16,34%</w:t>
            </w:r>
          </w:p>
        </w:tc>
        <w:tc>
          <w:tcPr>
            <w:tcW w:w="594" w:type="pct"/>
            <w:tcBorders>
              <w:top w:val="nil"/>
              <w:left w:val="nil"/>
              <w:bottom w:val="nil"/>
              <w:right w:val="nil"/>
            </w:tcBorders>
            <w:shd w:val="clear" w:color="auto" w:fill="auto"/>
            <w:vAlign w:val="bottom"/>
            <w:hideMark/>
          </w:tcPr>
          <w:p w14:paraId="5286A76E"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2011</w:t>
            </w:r>
          </w:p>
        </w:tc>
        <w:tc>
          <w:tcPr>
            <w:tcW w:w="495" w:type="pct"/>
            <w:tcBorders>
              <w:top w:val="nil"/>
              <w:left w:val="nil"/>
              <w:bottom w:val="nil"/>
              <w:right w:val="nil"/>
            </w:tcBorders>
            <w:shd w:val="clear" w:color="auto" w:fill="auto"/>
            <w:vAlign w:val="bottom"/>
            <w:hideMark/>
          </w:tcPr>
          <w:p w14:paraId="12D21B5D"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18,00%</w:t>
            </w:r>
          </w:p>
        </w:tc>
        <w:tc>
          <w:tcPr>
            <w:tcW w:w="576" w:type="pct"/>
            <w:tcBorders>
              <w:top w:val="nil"/>
              <w:left w:val="nil"/>
              <w:bottom w:val="nil"/>
              <w:right w:val="nil"/>
            </w:tcBorders>
            <w:shd w:val="clear" w:color="auto" w:fill="auto"/>
            <w:vAlign w:val="bottom"/>
            <w:hideMark/>
          </w:tcPr>
          <w:p w14:paraId="21708C43"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17,69%</w:t>
            </w:r>
          </w:p>
        </w:tc>
      </w:tr>
      <w:tr w:rsidR="007D2800" w:rsidRPr="00001DC5" w14:paraId="3261A469" w14:textId="77777777" w:rsidTr="002F3B80">
        <w:trPr>
          <w:trHeight w:val="20"/>
        </w:trPr>
        <w:tc>
          <w:tcPr>
            <w:tcW w:w="508" w:type="pct"/>
            <w:tcBorders>
              <w:top w:val="nil"/>
              <w:left w:val="nil"/>
              <w:bottom w:val="nil"/>
              <w:right w:val="nil"/>
            </w:tcBorders>
            <w:shd w:val="clear" w:color="auto" w:fill="auto"/>
            <w:vAlign w:val="bottom"/>
            <w:hideMark/>
          </w:tcPr>
          <w:p w14:paraId="23E8428B"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3b.2b</w:t>
            </w:r>
          </w:p>
        </w:tc>
        <w:tc>
          <w:tcPr>
            <w:tcW w:w="2443" w:type="pct"/>
            <w:tcBorders>
              <w:top w:val="nil"/>
              <w:left w:val="nil"/>
              <w:bottom w:val="nil"/>
              <w:right w:val="nil"/>
            </w:tcBorders>
            <w:shd w:val="clear" w:color="auto" w:fill="auto"/>
            <w:vAlign w:val="bottom"/>
            <w:hideMark/>
          </w:tcPr>
          <w:p w14:paraId="204D8545"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Arrivi di clienti italiani e stranieri nel complesso degli esercizi ricettivi</w:t>
            </w:r>
          </w:p>
        </w:tc>
        <w:tc>
          <w:tcPr>
            <w:tcW w:w="384" w:type="pct"/>
            <w:tcBorders>
              <w:top w:val="nil"/>
              <w:left w:val="nil"/>
              <w:bottom w:val="nil"/>
              <w:right w:val="nil"/>
            </w:tcBorders>
            <w:shd w:val="clear" w:color="auto" w:fill="auto"/>
            <w:vAlign w:val="bottom"/>
            <w:hideMark/>
          </w:tcPr>
          <w:p w14:paraId="58FE7970"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13,60</w:t>
            </w:r>
          </w:p>
        </w:tc>
        <w:tc>
          <w:tcPr>
            <w:tcW w:w="594" w:type="pct"/>
            <w:tcBorders>
              <w:top w:val="nil"/>
              <w:left w:val="nil"/>
              <w:bottom w:val="nil"/>
              <w:right w:val="nil"/>
            </w:tcBorders>
            <w:shd w:val="clear" w:color="auto" w:fill="auto"/>
            <w:vAlign w:val="bottom"/>
            <w:hideMark/>
          </w:tcPr>
          <w:p w14:paraId="3585A191"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2013</w:t>
            </w:r>
          </w:p>
        </w:tc>
        <w:tc>
          <w:tcPr>
            <w:tcW w:w="495" w:type="pct"/>
            <w:tcBorders>
              <w:top w:val="nil"/>
              <w:left w:val="nil"/>
              <w:bottom w:val="nil"/>
              <w:right w:val="nil"/>
            </w:tcBorders>
            <w:shd w:val="clear" w:color="auto" w:fill="auto"/>
            <w:vAlign w:val="bottom"/>
            <w:hideMark/>
          </w:tcPr>
          <w:p w14:paraId="62941662"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15,10</w:t>
            </w:r>
          </w:p>
        </w:tc>
        <w:tc>
          <w:tcPr>
            <w:tcW w:w="576" w:type="pct"/>
            <w:tcBorders>
              <w:top w:val="nil"/>
              <w:left w:val="nil"/>
              <w:bottom w:val="nil"/>
              <w:right w:val="nil"/>
            </w:tcBorders>
            <w:shd w:val="clear" w:color="auto" w:fill="auto"/>
            <w:vAlign w:val="bottom"/>
            <w:hideMark/>
          </w:tcPr>
          <w:p w14:paraId="662B9E37"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17,50</w:t>
            </w:r>
          </w:p>
        </w:tc>
      </w:tr>
      <w:tr w:rsidR="007D2800" w:rsidRPr="00001DC5" w14:paraId="1D4C2D08" w14:textId="77777777" w:rsidTr="002F3B80">
        <w:trPr>
          <w:trHeight w:val="20"/>
        </w:trPr>
        <w:tc>
          <w:tcPr>
            <w:tcW w:w="508" w:type="pct"/>
            <w:tcBorders>
              <w:top w:val="nil"/>
              <w:left w:val="nil"/>
              <w:bottom w:val="nil"/>
              <w:right w:val="nil"/>
            </w:tcBorders>
            <w:shd w:val="clear" w:color="auto" w:fill="auto"/>
            <w:vAlign w:val="bottom"/>
            <w:hideMark/>
          </w:tcPr>
          <w:p w14:paraId="66ED105B"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3c.1</w:t>
            </w:r>
          </w:p>
        </w:tc>
        <w:tc>
          <w:tcPr>
            <w:tcW w:w="2443" w:type="pct"/>
            <w:tcBorders>
              <w:top w:val="nil"/>
              <w:left w:val="nil"/>
              <w:bottom w:val="nil"/>
              <w:right w:val="nil"/>
            </w:tcBorders>
            <w:shd w:val="clear" w:color="auto" w:fill="auto"/>
            <w:vAlign w:val="bottom"/>
            <w:hideMark/>
          </w:tcPr>
          <w:p w14:paraId="2F996673"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Tasso d'innovazione del sistema produttivo (%)</w:t>
            </w:r>
          </w:p>
        </w:tc>
        <w:tc>
          <w:tcPr>
            <w:tcW w:w="384" w:type="pct"/>
            <w:tcBorders>
              <w:top w:val="nil"/>
              <w:left w:val="nil"/>
              <w:bottom w:val="nil"/>
              <w:right w:val="nil"/>
            </w:tcBorders>
            <w:shd w:val="clear" w:color="auto" w:fill="auto"/>
            <w:vAlign w:val="bottom"/>
            <w:hideMark/>
          </w:tcPr>
          <w:p w14:paraId="2AFC1921"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36,30%</w:t>
            </w:r>
          </w:p>
        </w:tc>
        <w:tc>
          <w:tcPr>
            <w:tcW w:w="594" w:type="pct"/>
            <w:tcBorders>
              <w:top w:val="nil"/>
              <w:left w:val="nil"/>
              <w:bottom w:val="nil"/>
              <w:right w:val="nil"/>
            </w:tcBorders>
            <w:shd w:val="clear" w:color="auto" w:fill="auto"/>
            <w:vAlign w:val="bottom"/>
            <w:hideMark/>
          </w:tcPr>
          <w:p w14:paraId="245CC82E"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2010</w:t>
            </w:r>
          </w:p>
        </w:tc>
        <w:tc>
          <w:tcPr>
            <w:tcW w:w="495" w:type="pct"/>
            <w:tcBorders>
              <w:top w:val="nil"/>
              <w:left w:val="nil"/>
              <w:bottom w:val="nil"/>
              <w:right w:val="nil"/>
            </w:tcBorders>
            <w:shd w:val="clear" w:color="auto" w:fill="auto"/>
            <w:vAlign w:val="bottom"/>
            <w:hideMark/>
          </w:tcPr>
          <w:p w14:paraId="1678413D"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41,30%</w:t>
            </w:r>
          </w:p>
        </w:tc>
        <w:tc>
          <w:tcPr>
            <w:tcW w:w="576" w:type="pct"/>
            <w:tcBorders>
              <w:top w:val="nil"/>
              <w:left w:val="nil"/>
              <w:bottom w:val="nil"/>
              <w:right w:val="nil"/>
            </w:tcBorders>
            <w:shd w:val="clear" w:color="auto" w:fill="auto"/>
            <w:vAlign w:val="bottom"/>
            <w:hideMark/>
          </w:tcPr>
          <w:p w14:paraId="1E6B814D"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54,35%</w:t>
            </w:r>
          </w:p>
        </w:tc>
      </w:tr>
      <w:tr w:rsidR="007D2800" w:rsidRPr="00001DC5" w14:paraId="19075AC6" w14:textId="77777777" w:rsidTr="002F3B80">
        <w:trPr>
          <w:trHeight w:val="20"/>
        </w:trPr>
        <w:tc>
          <w:tcPr>
            <w:tcW w:w="508" w:type="pct"/>
            <w:tcBorders>
              <w:top w:val="nil"/>
              <w:left w:val="nil"/>
              <w:bottom w:val="nil"/>
              <w:right w:val="nil"/>
            </w:tcBorders>
            <w:shd w:val="clear" w:color="auto" w:fill="auto"/>
            <w:vAlign w:val="bottom"/>
            <w:hideMark/>
          </w:tcPr>
          <w:p w14:paraId="0E685F61"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3d.1a</w:t>
            </w:r>
          </w:p>
        </w:tc>
        <w:tc>
          <w:tcPr>
            <w:tcW w:w="2443" w:type="pct"/>
            <w:tcBorders>
              <w:top w:val="nil"/>
              <w:left w:val="nil"/>
              <w:bottom w:val="nil"/>
              <w:right w:val="nil"/>
            </w:tcBorders>
            <w:shd w:val="clear" w:color="auto" w:fill="auto"/>
            <w:vAlign w:val="bottom"/>
            <w:hideMark/>
          </w:tcPr>
          <w:p w14:paraId="551FCD0D"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 xml:space="preserve">Valore degli investimenti in capitale di rischio </w:t>
            </w:r>
            <w:proofErr w:type="spellStart"/>
            <w:r w:rsidRPr="00001DC5">
              <w:rPr>
                <w:rFonts w:eastAsia="Times New Roman" w:cs="Calibri"/>
                <w:color w:val="000000"/>
                <w:sz w:val="18"/>
                <w:szCs w:val="18"/>
                <w:lang w:eastAsia="en-US"/>
              </w:rPr>
              <w:t>early</w:t>
            </w:r>
            <w:proofErr w:type="spellEnd"/>
            <w:r w:rsidRPr="00001DC5">
              <w:rPr>
                <w:rFonts w:eastAsia="Times New Roman" w:cs="Calibri"/>
                <w:color w:val="000000"/>
                <w:sz w:val="18"/>
                <w:szCs w:val="18"/>
                <w:lang w:eastAsia="en-US"/>
              </w:rPr>
              <w:t xml:space="preserve"> stage (%)</w:t>
            </w:r>
          </w:p>
        </w:tc>
        <w:tc>
          <w:tcPr>
            <w:tcW w:w="384" w:type="pct"/>
            <w:tcBorders>
              <w:top w:val="nil"/>
              <w:left w:val="nil"/>
              <w:bottom w:val="nil"/>
              <w:right w:val="nil"/>
            </w:tcBorders>
            <w:shd w:val="clear" w:color="auto" w:fill="auto"/>
            <w:vAlign w:val="bottom"/>
            <w:hideMark/>
          </w:tcPr>
          <w:p w14:paraId="400A4A22"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0,01%</w:t>
            </w:r>
          </w:p>
        </w:tc>
        <w:tc>
          <w:tcPr>
            <w:tcW w:w="594" w:type="pct"/>
            <w:tcBorders>
              <w:top w:val="nil"/>
              <w:left w:val="nil"/>
              <w:bottom w:val="nil"/>
              <w:right w:val="nil"/>
            </w:tcBorders>
            <w:shd w:val="clear" w:color="auto" w:fill="auto"/>
            <w:vAlign w:val="bottom"/>
            <w:hideMark/>
          </w:tcPr>
          <w:p w14:paraId="65CACF18"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2012</w:t>
            </w:r>
          </w:p>
        </w:tc>
        <w:tc>
          <w:tcPr>
            <w:tcW w:w="495" w:type="pct"/>
            <w:tcBorders>
              <w:top w:val="nil"/>
              <w:left w:val="nil"/>
              <w:bottom w:val="nil"/>
              <w:right w:val="nil"/>
            </w:tcBorders>
            <w:shd w:val="clear" w:color="auto" w:fill="auto"/>
            <w:vAlign w:val="bottom"/>
            <w:hideMark/>
          </w:tcPr>
          <w:p w14:paraId="3077B645"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0,01%</w:t>
            </w:r>
          </w:p>
        </w:tc>
        <w:tc>
          <w:tcPr>
            <w:tcW w:w="576" w:type="pct"/>
            <w:tcBorders>
              <w:top w:val="nil"/>
              <w:left w:val="nil"/>
              <w:bottom w:val="nil"/>
              <w:right w:val="nil"/>
            </w:tcBorders>
            <w:shd w:val="clear" w:color="auto" w:fill="auto"/>
            <w:vAlign w:val="bottom"/>
            <w:hideMark/>
          </w:tcPr>
          <w:p w14:paraId="7B9833C7"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0,05%</w:t>
            </w:r>
          </w:p>
        </w:tc>
      </w:tr>
      <w:tr w:rsidR="007D2800" w:rsidRPr="00001DC5" w14:paraId="43B74DEF" w14:textId="77777777" w:rsidTr="002F3B80">
        <w:trPr>
          <w:trHeight w:val="20"/>
        </w:trPr>
        <w:tc>
          <w:tcPr>
            <w:tcW w:w="508" w:type="pct"/>
            <w:tcBorders>
              <w:top w:val="nil"/>
              <w:left w:val="nil"/>
              <w:bottom w:val="single" w:sz="4" w:space="0" w:color="305496"/>
              <w:right w:val="nil"/>
            </w:tcBorders>
            <w:shd w:val="clear" w:color="auto" w:fill="auto"/>
            <w:vAlign w:val="bottom"/>
            <w:hideMark/>
          </w:tcPr>
          <w:p w14:paraId="4A320C9C"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3d.1c</w:t>
            </w:r>
          </w:p>
        </w:tc>
        <w:tc>
          <w:tcPr>
            <w:tcW w:w="2443" w:type="pct"/>
            <w:tcBorders>
              <w:top w:val="nil"/>
              <w:left w:val="nil"/>
              <w:bottom w:val="single" w:sz="4" w:space="0" w:color="305496"/>
              <w:right w:val="nil"/>
            </w:tcBorders>
            <w:shd w:val="clear" w:color="auto" w:fill="auto"/>
            <w:vAlign w:val="bottom"/>
            <w:hideMark/>
          </w:tcPr>
          <w:p w14:paraId="7D1A9CBA" w14:textId="77777777" w:rsidR="007D2800" w:rsidRPr="00001DC5" w:rsidRDefault="007D2800" w:rsidP="00FF30A9">
            <w:pPr>
              <w:jc w:val="left"/>
              <w:rPr>
                <w:rFonts w:eastAsia="Times New Roman" w:cs="Calibri"/>
                <w:color w:val="000000"/>
                <w:sz w:val="18"/>
                <w:szCs w:val="18"/>
                <w:lang w:eastAsia="en-US"/>
              </w:rPr>
            </w:pPr>
            <w:r w:rsidRPr="00001DC5">
              <w:rPr>
                <w:rFonts w:eastAsia="Times New Roman" w:cs="Calibri"/>
                <w:color w:val="000000"/>
                <w:sz w:val="18"/>
                <w:szCs w:val="18"/>
                <w:lang w:eastAsia="en-US"/>
              </w:rPr>
              <w:t>Impieghi bancari verso imprese (famiglie produttrici e società non finanziarie) lombarde in % del PIL (%)</w:t>
            </w:r>
          </w:p>
        </w:tc>
        <w:tc>
          <w:tcPr>
            <w:tcW w:w="384" w:type="pct"/>
            <w:tcBorders>
              <w:top w:val="nil"/>
              <w:left w:val="nil"/>
              <w:bottom w:val="single" w:sz="4" w:space="0" w:color="305496"/>
              <w:right w:val="nil"/>
            </w:tcBorders>
            <w:shd w:val="clear" w:color="auto" w:fill="auto"/>
            <w:vAlign w:val="bottom"/>
            <w:hideMark/>
          </w:tcPr>
          <w:p w14:paraId="00FB8688"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79,34%</w:t>
            </w:r>
          </w:p>
        </w:tc>
        <w:tc>
          <w:tcPr>
            <w:tcW w:w="594" w:type="pct"/>
            <w:tcBorders>
              <w:top w:val="nil"/>
              <w:left w:val="nil"/>
              <w:bottom w:val="single" w:sz="4" w:space="0" w:color="305496"/>
              <w:right w:val="nil"/>
            </w:tcBorders>
            <w:shd w:val="clear" w:color="auto" w:fill="auto"/>
            <w:vAlign w:val="bottom"/>
            <w:hideMark/>
          </w:tcPr>
          <w:p w14:paraId="4C64C5BB"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2012</w:t>
            </w:r>
          </w:p>
        </w:tc>
        <w:tc>
          <w:tcPr>
            <w:tcW w:w="495" w:type="pct"/>
            <w:tcBorders>
              <w:top w:val="nil"/>
              <w:left w:val="nil"/>
              <w:bottom w:val="single" w:sz="4" w:space="0" w:color="305496"/>
              <w:right w:val="nil"/>
            </w:tcBorders>
            <w:shd w:val="clear" w:color="auto" w:fill="auto"/>
            <w:vAlign w:val="bottom"/>
            <w:hideMark/>
          </w:tcPr>
          <w:p w14:paraId="510264DC"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80,97%</w:t>
            </w:r>
          </w:p>
        </w:tc>
        <w:tc>
          <w:tcPr>
            <w:tcW w:w="576" w:type="pct"/>
            <w:tcBorders>
              <w:top w:val="nil"/>
              <w:left w:val="nil"/>
              <w:bottom w:val="single" w:sz="4" w:space="0" w:color="305496"/>
              <w:right w:val="nil"/>
            </w:tcBorders>
            <w:shd w:val="clear" w:color="auto" w:fill="auto"/>
            <w:vAlign w:val="bottom"/>
            <w:hideMark/>
          </w:tcPr>
          <w:p w14:paraId="63E42DA0" w14:textId="77777777" w:rsidR="007D2800" w:rsidRPr="00001DC5" w:rsidRDefault="007D2800" w:rsidP="00033A16">
            <w:pPr>
              <w:jc w:val="right"/>
              <w:rPr>
                <w:rFonts w:eastAsia="Times New Roman" w:cs="Calibri"/>
                <w:color w:val="000000"/>
                <w:sz w:val="18"/>
                <w:szCs w:val="18"/>
                <w:lang w:eastAsia="en-US"/>
              </w:rPr>
            </w:pPr>
            <w:r w:rsidRPr="00001DC5">
              <w:rPr>
                <w:rFonts w:eastAsia="Times New Roman" w:cs="Calibri"/>
                <w:color w:val="000000"/>
                <w:sz w:val="18"/>
                <w:szCs w:val="18"/>
                <w:lang w:eastAsia="en-US"/>
              </w:rPr>
              <w:t>50,67%</w:t>
            </w:r>
          </w:p>
        </w:tc>
      </w:tr>
    </w:tbl>
    <w:p w14:paraId="6A35987F" w14:textId="77777777" w:rsidR="005D6B8F" w:rsidRDefault="005D6B8F" w:rsidP="006F5397">
      <w:pPr>
        <w:rPr>
          <w:sz w:val="18"/>
          <w:szCs w:val="18"/>
        </w:rPr>
      </w:pPr>
      <w:bookmarkStart w:id="30" w:name="_Hlk76029992"/>
      <w:r>
        <w:rPr>
          <w:sz w:val="18"/>
          <w:szCs w:val="18"/>
        </w:rPr>
        <w:t>Fonte: Dati di monitoraggio forniti da Regione Lombardia aggiornati al 31.12.2020.</w:t>
      </w:r>
    </w:p>
    <w:p w14:paraId="252835B3" w14:textId="77777777" w:rsidR="006F5397" w:rsidRPr="00736D99" w:rsidRDefault="006F5397" w:rsidP="006F5397">
      <w:pPr>
        <w:rPr>
          <w:sz w:val="18"/>
          <w:szCs w:val="18"/>
        </w:rPr>
      </w:pPr>
      <w:r w:rsidRPr="00736D99">
        <w:rPr>
          <w:sz w:val="18"/>
          <w:szCs w:val="18"/>
        </w:rPr>
        <w:t xml:space="preserve">Nota: </w:t>
      </w:r>
      <w:r w:rsidR="00DE23D8">
        <w:rPr>
          <w:sz w:val="18"/>
          <w:szCs w:val="18"/>
        </w:rPr>
        <w:t>Nella tabella vengono riportati solamente gli indicatori che riportano un target e che al 2020 presentano un valore realizzato maggiore di zero</w:t>
      </w:r>
      <w:r w:rsidR="00B962B4">
        <w:rPr>
          <w:sz w:val="18"/>
          <w:szCs w:val="18"/>
        </w:rPr>
        <w:t>.</w:t>
      </w:r>
    </w:p>
    <w:bookmarkEnd w:id="30"/>
    <w:p w14:paraId="12A0EDA5" w14:textId="77777777" w:rsidR="00AC30A2" w:rsidRDefault="00AC30A2" w:rsidP="00AC30A2">
      <w:pPr>
        <w:rPr>
          <w:highlight w:val="yellow"/>
        </w:rPr>
      </w:pPr>
    </w:p>
    <w:p w14:paraId="42C98FB5" w14:textId="77777777" w:rsidR="00411F53" w:rsidRDefault="00414FD8" w:rsidP="00CE78DB">
      <w:pPr>
        <w:rPr>
          <w:rFonts w:eastAsia="Times New Roman"/>
        </w:rPr>
      </w:pPr>
      <w:r>
        <w:rPr>
          <w:rFonts w:eastAsia="Times New Roman"/>
        </w:rPr>
        <w:t xml:space="preserve">Per quanto riguarda le iniziative finanziate dal </w:t>
      </w:r>
      <w:r w:rsidRPr="00414FD8">
        <w:rPr>
          <w:rFonts w:eastAsia="Times New Roman"/>
          <w:b/>
        </w:rPr>
        <w:t>PSR FEASR</w:t>
      </w:r>
      <w:r>
        <w:rPr>
          <w:rFonts w:eastAsia="Times New Roman"/>
        </w:rPr>
        <w:t xml:space="preserve">, </w:t>
      </w:r>
      <w:r w:rsidR="00411F53">
        <w:rPr>
          <w:rFonts w:eastAsia="Times New Roman"/>
        </w:rPr>
        <w:t>la tabella che segue illustra i principali indicatori</w:t>
      </w:r>
      <w:r w:rsidRPr="00414FD8">
        <w:rPr>
          <w:rFonts w:eastAsia="Times New Roman"/>
        </w:rPr>
        <w:t xml:space="preserve"> </w:t>
      </w:r>
      <w:r>
        <w:rPr>
          <w:rFonts w:eastAsia="Times New Roman"/>
        </w:rPr>
        <w:t xml:space="preserve">relativi </w:t>
      </w:r>
      <w:r w:rsidRPr="00456825">
        <w:rPr>
          <w:rFonts w:eastAsia="Times New Roman"/>
        </w:rPr>
        <w:t xml:space="preserve">all’avanzamento </w:t>
      </w:r>
      <w:r>
        <w:rPr>
          <w:rFonts w:eastAsia="Times New Roman"/>
        </w:rPr>
        <w:t>della Priorità 1</w:t>
      </w:r>
      <w:r w:rsidRPr="00456825">
        <w:rPr>
          <w:rFonts w:eastAsia="Times New Roman"/>
        </w:rPr>
        <w:t xml:space="preserve"> </w:t>
      </w:r>
      <w:r w:rsidRPr="00456825">
        <w:rPr>
          <w:rFonts w:eastAsia="Times New Roman"/>
          <w:i/>
        </w:rPr>
        <w:t>Promuovere il trasferimento di conoscenze e l'innovazione nel settore agricolo e forestale e nelle zone rurali</w:t>
      </w:r>
      <w:r w:rsidR="00411F53">
        <w:rPr>
          <w:rFonts w:eastAsia="Times New Roman"/>
        </w:rPr>
        <w:t xml:space="preserve">. </w:t>
      </w:r>
      <w:r>
        <w:rPr>
          <w:rFonts w:eastAsia="Times New Roman"/>
        </w:rPr>
        <w:t xml:space="preserve">Alla </w:t>
      </w:r>
      <w:r w:rsidR="00411F53">
        <w:rPr>
          <w:rFonts w:eastAsia="Times New Roman"/>
        </w:rPr>
        <w:t xml:space="preserve">Priorità </w:t>
      </w:r>
      <w:r>
        <w:rPr>
          <w:rFonts w:eastAsia="Times New Roman"/>
        </w:rPr>
        <w:t xml:space="preserve">1 non sono assegnate risorse direttamente ma essa </w:t>
      </w:r>
      <w:r w:rsidR="00411F53">
        <w:rPr>
          <w:rFonts w:eastAsia="Times New Roman"/>
        </w:rPr>
        <w:t>è alimentata pro quota da diverse Misure del Programma.</w:t>
      </w:r>
    </w:p>
    <w:p w14:paraId="499AF882" w14:textId="77777777" w:rsidR="007251AB" w:rsidRPr="00456825" w:rsidRDefault="007251AB" w:rsidP="00CE78DB"/>
    <w:p w14:paraId="593C6054" w14:textId="77777777" w:rsidR="00411F53" w:rsidRPr="00456825" w:rsidRDefault="00414FD8" w:rsidP="00414FD8">
      <w:pPr>
        <w:pStyle w:val="Didascalia"/>
        <w:rPr>
          <w:b w:val="0"/>
          <w:bCs/>
          <w:i w:val="0"/>
        </w:rPr>
      </w:pPr>
      <w:bookmarkStart w:id="31" w:name="_Toc91081434"/>
      <w:r>
        <w:t xml:space="preserve">Tabella </w:t>
      </w:r>
      <w:r w:rsidR="004E6566">
        <w:fldChar w:fldCharType="begin"/>
      </w:r>
      <w:r>
        <w:instrText xml:space="preserve"> SEQ Tabella \* ARABIC </w:instrText>
      </w:r>
      <w:r w:rsidR="004E6566">
        <w:fldChar w:fldCharType="separate"/>
      </w:r>
      <w:r w:rsidR="00E53D6C">
        <w:rPr>
          <w:noProof/>
        </w:rPr>
        <w:t>8</w:t>
      </w:r>
      <w:r w:rsidR="004E6566">
        <w:fldChar w:fldCharType="end"/>
      </w:r>
      <w:r>
        <w:t xml:space="preserve">. Indicatori target relativi alla Priorità </w:t>
      </w:r>
      <w:r w:rsidR="00BC0A97">
        <w:t>1</w:t>
      </w:r>
      <w:r>
        <w:rPr>
          <w:noProof/>
        </w:rPr>
        <w:t xml:space="preserve"> del PSR FEASR</w:t>
      </w:r>
      <w:bookmarkEnd w:id="31"/>
    </w:p>
    <w:tbl>
      <w:tblPr>
        <w:tblStyle w:val="Grigliatabella"/>
        <w:tblW w:w="0" w:type="auto"/>
        <w:tblLook w:val="04A0" w:firstRow="1" w:lastRow="0" w:firstColumn="1" w:lastColumn="0" w:noHBand="0" w:noVBand="1"/>
      </w:tblPr>
      <w:tblGrid>
        <w:gridCol w:w="2871"/>
        <w:gridCol w:w="3262"/>
        <w:gridCol w:w="1086"/>
        <w:gridCol w:w="1333"/>
        <w:gridCol w:w="1076"/>
      </w:tblGrid>
      <w:tr w:rsidR="005A14D8" w:rsidRPr="005A14D8" w14:paraId="66F79EBD" w14:textId="77777777" w:rsidTr="005A14D8">
        <w:tc>
          <w:tcPr>
            <w:tcW w:w="2871" w:type="dxa"/>
            <w:shd w:val="clear" w:color="auto" w:fill="8DBB70" w:themeFill="accent2"/>
          </w:tcPr>
          <w:p w14:paraId="7C484CD4" w14:textId="77777777" w:rsidR="00CE78DB" w:rsidRPr="005A14D8" w:rsidRDefault="00CE78DB" w:rsidP="00CE78DB">
            <w:pPr>
              <w:widowControl w:val="0"/>
              <w:autoSpaceDE w:val="0"/>
              <w:autoSpaceDN w:val="0"/>
              <w:adjustRightInd w:val="0"/>
              <w:rPr>
                <w:b/>
                <w:bCs/>
                <w:color w:val="FFFFFF" w:themeColor="background1"/>
                <w:sz w:val="18"/>
                <w:szCs w:val="18"/>
              </w:rPr>
            </w:pPr>
            <w:r w:rsidRPr="005A14D8">
              <w:rPr>
                <w:b/>
                <w:bCs/>
                <w:color w:val="FFFFFF" w:themeColor="background1"/>
                <w:sz w:val="18"/>
                <w:szCs w:val="18"/>
              </w:rPr>
              <w:t xml:space="preserve">Focus Area/Misura </w:t>
            </w:r>
          </w:p>
        </w:tc>
        <w:tc>
          <w:tcPr>
            <w:tcW w:w="3263" w:type="dxa"/>
            <w:shd w:val="clear" w:color="auto" w:fill="8DBB70" w:themeFill="accent2"/>
          </w:tcPr>
          <w:p w14:paraId="7CB86ACE" w14:textId="77777777" w:rsidR="00CE78DB" w:rsidRPr="005A14D8" w:rsidRDefault="00CE78DB" w:rsidP="00CE78DB">
            <w:pPr>
              <w:widowControl w:val="0"/>
              <w:autoSpaceDE w:val="0"/>
              <w:autoSpaceDN w:val="0"/>
              <w:adjustRightInd w:val="0"/>
              <w:rPr>
                <w:b/>
                <w:bCs/>
                <w:color w:val="FFFFFF" w:themeColor="background1"/>
                <w:sz w:val="18"/>
                <w:szCs w:val="18"/>
              </w:rPr>
            </w:pPr>
            <w:r w:rsidRPr="005A14D8">
              <w:rPr>
                <w:b/>
                <w:bCs/>
                <w:color w:val="FFFFFF" w:themeColor="background1"/>
                <w:sz w:val="18"/>
                <w:szCs w:val="18"/>
              </w:rPr>
              <w:t>Indicatori</w:t>
            </w:r>
          </w:p>
        </w:tc>
        <w:tc>
          <w:tcPr>
            <w:tcW w:w="1086" w:type="dxa"/>
            <w:shd w:val="clear" w:color="auto" w:fill="8DBB70" w:themeFill="accent2"/>
          </w:tcPr>
          <w:p w14:paraId="49E66289" w14:textId="77777777" w:rsidR="00CE78DB" w:rsidRPr="005A14D8" w:rsidRDefault="00CE78DB" w:rsidP="005A14D8">
            <w:pPr>
              <w:widowControl w:val="0"/>
              <w:autoSpaceDE w:val="0"/>
              <w:autoSpaceDN w:val="0"/>
              <w:adjustRightInd w:val="0"/>
              <w:jc w:val="right"/>
              <w:rPr>
                <w:b/>
                <w:bCs/>
                <w:color w:val="FFFFFF" w:themeColor="background1"/>
                <w:sz w:val="18"/>
                <w:szCs w:val="18"/>
              </w:rPr>
            </w:pPr>
            <w:r w:rsidRPr="005A14D8">
              <w:rPr>
                <w:b/>
                <w:bCs/>
                <w:color w:val="FFFFFF" w:themeColor="background1"/>
                <w:sz w:val="18"/>
                <w:szCs w:val="18"/>
              </w:rPr>
              <w:t>Realizzato</w:t>
            </w:r>
          </w:p>
        </w:tc>
        <w:tc>
          <w:tcPr>
            <w:tcW w:w="1333" w:type="dxa"/>
            <w:shd w:val="clear" w:color="auto" w:fill="8DBB70" w:themeFill="accent2"/>
          </w:tcPr>
          <w:p w14:paraId="265F0BCC" w14:textId="77777777" w:rsidR="00CE78DB" w:rsidRPr="005A14D8" w:rsidRDefault="00CE78DB" w:rsidP="005A14D8">
            <w:pPr>
              <w:widowControl w:val="0"/>
              <w:autoSpaceDE w:val="0"/>
              <w:autoSpaceDN w:val="0"/>
              <w:adjustRightInd w:val="0"/>
              <w:jc w:val="right"/>
              <w:rPr>
                <w:b/>
                <w:bCs/>
                <w:color w:val="FFFFFF" w:themeColor="background1"/>
                <w:sz w:val="18"/>
                <w:szCs w:val="18"/>
              </w:rPr>
            </w:pPr>
            <w:r w:rsidRPr="005A14D8">
              <w:rPr>
                <w:b/>
                <w:bCs/>
                <w:color w:val="FFFFFF" w:themeColor="background1"/>
                <w:sz w:val="18"/>
                <w:szCs w:val="18"/>
              </w:rPr>
              <w:t>Utilizzazione %</w:t>
            </w:r>
          </w:p>
        </w:tc>
        <w:tc>
          <w:tcPr>
            <w:tcW w:w="1076" w:type="dxa"/>
            <w:shd w:val="clear" w:color="auto" w:fill="8DBB70" w:themeFill="accent2"/>
          </w:tcPr>
          <w:p w14:paraId="27544569" w14:textId="77777777" w:rsidR="00CE78DB" w:rsidRPr="005A14D8" w:rsidRDefault="00CE78DB" w:rsidP="005A14D8">
            <w:pPr>
              <w:widowControl w:val="0"/>
              <w:autoSpaceDE w:val="0"/>
              <w:autoSpaceDN w:val="0"/>
              <w:adjustRightInd w:val="0"/>
              <w:jc w:val="right"/>
              <w:rPr>
                <w:b/>
                <w:bCs/>
                <w:color w:val="FFFFFF" w:themeColor="background1"/>
                <w:sz w:val="18"/>
                <w:szCs w:val="18"/>
              </w:rPr>
            </w:pPr>
            <w:r w:rsidRPr="005A14D8">
              <w:rPr>
                <w:b/>
                <w:bCs/>
                <w:color w:val="FFFFFF" w:themeColor="background1"/>
                <w:sz w:val="18"/>
                <w:szCs w:val="18"/>
              </w:rPr>
              <w:t>Target Finale 2023</w:t>
            </w:r>
          </w:p>
        </w:tc>
      </w:tr>
      <w:tr w:rsidR="005A14D8" w:rsidRPr="005A14D8" w14:paraId="1FB085DE" w14:textId="77777777" w:rsidTr="005A14D8">
        <w:tc>
          <w:tcPr>
            <w:tcW w:w="2871" w:type="dxa"/>
          </w:tcPr>
          <w:p w14:paraId="4491B172" w14:textId="77777777" w:rsidR="005A14D8" w:rsidRPr="005A14D8" w:rsidRDefault="005A14D8" w:rsidP="005A14D8">
            <w:pPr>
              <w:widowControl w:val="0"/>
              <w:autoSpaceDE w:val="0"/>
              <w:autoSpaceDN w:val="0"/>
              <w:adjustRightInd w:val="0"/>
              <w:rPr>
                <w:bCs/>
                <w:sz w:val="18"/>
                <w:szCs w:val="18"/>
              </w:rPr>
            </w:pPr>
            <w:r w:rsidRPr="005A14D8">
              <w:rPr>
                <w:sz w:val="18"/>
                <w:szCs w:val="18"/>
              </w:rPr>
              <w:t>1A) Stimolare l'innovazione, la cooperazione e lo sviluppo della base di conoscenze nelle zone rurali</w:t>
            </w:r>
          </w:p>
        </w:tc>
        <w:tc>
          <w:tcPr>
            <w:tcW w:w="3263" w:type="dxa"/>
          </w:tcPr>
          <w:p w14:paraId="245134C3" w14:textId="77777777" w:rsidR="005A14D8" w:rsidRPr="005A14D8" w:rsidRDefault="005A14D8" w:rsidP="005A14D8">
            <w:pPr>
              <w:widowControl w:val="0"/>
              <w:autoSpaceDE w:val="0"/>
              <w:autoSpaceDN w:val="0"/>
              <w:adjustRightInd w:val="0"/>
              <w:rPr>
                <w:bCs/>
                <w:sz w:val="18"/>
                <w:szCs w:val="18"/>
              </w:rPr>
            </w:pPr>
            <w:r w:rsidRPr="005A14D8">
              <w:rPr>
                <w:sz w:val="18"/>
                <w:szCs w:val="18"/>
              </w:rPr>
              <w:t>T1: percentuale di spesa a norma degli articoli 14, 15 e 35 del regolamento (UE) n. 1305/2013 in relazione alla spesa totale per il PSR</w:t>
            </w:r>
          </w:p>
        </w:tc>
        <w:tc>
          <w:tcPr>
            <w:tcW w:w="1086" w:type="dxa"/>
          </w:tcPr>
          <w:p w14:paraId="5A61E837" w14:textId="77777777" w:rsidR="005A14D8" w:rsidRPr="00661EED" w:rsidRDefault="005A14D8" w:rsidP="005A14D8">
            <w:pPr>
              <w:widowControl w:val="0"/>
              <w:autoSpaceDE w:val="0"/>
              <w:autoSpaceDN w:val="0"/>
              <w:adjustRightInd w:val="0"/>
              <w:jc w:val="right"/>
              <w:rPr>
                <w:bCs/>
                <w:sz w:val="18"/>
                <w:szCs w:val="18"/>
              </w:rPr>
            </w:pPr>
            <w:r w:rsidRPr="00661EED">
              <w:rPr>
                <w:sz w:val="18"/>
                <w:szCs w:val="18"/>
              </w:rPr>
              <w:t>0,51</w:t>
            </w:r>
          </w:p>
        </w:tc>
        <w:tc>
          <w:tcPr>
            <w:tcW w:w="1333" w:type="dxa"/>
          </w:tcPr>
          <w:p w14:paraId="79167BD7" w14:textId="77777777" w:rsidR="005A14D8" w:rsidRPr="00661EED" w:rsidRDefault="005A14D8" w:rsidP="005A14D8">
            <w:pPr>
              <w:widowControl w:val="0"/>
              <w:autoSpaceDE w:val="0"/>
              <w:autoSpaceDN w:val="0"/>
              <w:adjustRightInd w:val="0"/>
              <w:jc w:val="right"/>
              <w:rPr>
                <w:bCs/>
                <w:sz w:val="18"/>
                <w:szCs w:val="18"/>
              </w:rPr>
            </w:pPr>
            <w:r w:rsidRPr="00661EED">
              <w:rPr>
                <w:sz w:val="18"/>
                <w:szCs w:val="18"/>
              </w:rPr>
              <w:t>15,71</w:t>
            </w:r>
          </w:p>
        </w:tc>
        <w:tc>
          <w:tcPr>
            <w:tcW w:w="1076" w:type="dxa"/>
          </w:tcPr>
          <w:p w14:paraId="6E99DC97" w14:textId="77777777" w:rsidR="005A14D8" w:rsidRPr="00661EED" w:rsidRDefault="005A14D8" w:rsidP="005A14D8">
            <w:pPr>
              <w:widowControl w:val="0"/>
              <w:autoSpaceDE w:val="0"/>
              <w:autoSpaceDN w:val="0"/>
              <w:adjustRightInd w:val="0"/>
              <w:jc w:val="right"/>
              <w:rPr>
                <w:bCs/>
                <w:sz w:val="18"/>
                <w:szCs w:val="18"/>
              </w:rPr>
            </w:pPr>
            <w:r w:rsidRPr="00661EED">
              <w:rPr>
                <w:sz w:val="18"/>
                <w:szCs w:val="18"/>
              </w:rPr>
              <w:t>3,25</w:t>
            </w:r>
          </w:p>
        </w:tc>
      </w:tr>
      <w:tr w:rsidR="005A14D8" w:rsidRPr="005A14D8" w14:paraId="141632CB" w14:textId="77777777" w:rsidTr="005A14D8">
        <w:tc>
          <w:tcPr>
            <w:tcW w:w="2871" w:type="dxa"/>
          </w:tcPr>
          <w:p w14:paraId="520C569C" w14:textId="77777777" w:rsidR="005A14D8" w:rsidRPr="005A14D8" w:rsidRDefault="005A14D8" w:rsidP="005A14D8">
            <w:pPr>
              <w:widowControl w:val="0"/>
              <w:autoSpaceDE w:val="0"/>
              <w:autoSpaceDN w:val="0"/>
              <w:adjustRightInd w:val="0"/>
              <w:rPr>
                <w:bCs/>
                <w:sz w:val="18"/>
                <w:szCs w:val="18"/>
              </w:rPr>
            </w:pPr>
            <w:r w:rsidRPr="005A14D8">
              <w:rPr>
                <w:sz w:val="18"/>
                <w:szCs w:val="18"/>
              </w:rPr>
              <w:t>1B) Rinsaldare i nessi tra agricoltura, produzione alimentare e silvicoltura, da un lato, e ricerca e innovazione, dall'altro, anche al fine di migliorare la gestione e le prestazioni ambientali</w:t>
            </w:r>
          </w:p>
        </w:tc>
        <w:tc>
          <w:tcPr>
            <w:tcW w:w="3263" w:type="dxa"/>
          </w:tcPr>
          <w:p w14:paraId="3E638B05" w14:textId="77777777" w:rsidR="005A14D8" w:rsidRPr="005A14D8" w:rsidRDefault="005A14D8" w:rsidP="005A14D8">
            <w:pPr>
              <w:widowControl w:val="0"/>
              <w:autoSpaceDE w:val="0"/>
              <w:autoSpaceDN w:val="0"/>
              <w:adjustRightInd w:val="0"/>
              <w:rPr>
                <w:bCs/>
                <w:sz w:val="18"/>
                <w:szCs w:val="18"/>
              </w:rPr>
            </w:pPr>
            <w:r w:rsidRPr="005A14D8">
              <w:rPr>
                <w:sz w:val="18"/>
                <w:szCs w:val="18"/>
              </w:rPr>
              <w:t>T2: numero totale di operazioni di cooperazione sovvenzionate nel quadro della misura di cooperazione [articolo 35 del regolamento (UE) n. 1305/2013] (gruppi, reti/poli, progetti pilota...)</w:t>
            </w:r>
          </w:p>
        </w:tc>
        <w:tc>
          <w:tcPr>
            <w:tcW w:w="1086" w:type="dxa"/>
          </w:tcPr>
          <w:p w14:paraId="0BD90B52" w14:textId="77777777" w:rsidR="005A14D8" w:rsidRPr="00661EED" w:rsidRDefault="005A14D8" w:rsidP="005A14D8">
            <w:pPr>
              <w:widowControl w:val="0"/>
              <w:autoSpaceDE w:val="0"/>
              <w:autoSpaceDN w:val="0"/>
              <w:adjustRightInd w:val="0"/>
              <w:jc w:val="right"/>
              <w:rPr>
                <w:bCs/>
                <w:sz w:val="18"/>
                <w:szCs w:val="18"/>
              </w:rPr>
            </w:pPr>
            <w:r w:rsidRPr="00661EED">
              <w:rPr>
                <w:sz w:val="18"/>
                <w:szCs w:val="18"/>
              </w:rPr>
              <w:t>21</w:t>
            </w:r>
          </w:p>
        </w:tc>
        <w:tc>
          <w:tcPr>
            <w:tcW w:w="1333" w:type="dxa"/>
          </w:tcPr>
          <w:p w14:paraId="20940DBA" w14:textId="77777777" w:rsidR="005A14D8" w:rsidRPr="00661EED" w:rsidRDefault="005A14D8" w:rsidP="005A14D8">
            <w:pPr>
              <w:widowControl w:val="0"/>
              <w:autoSpaceDE w:val="0"/>
              <w:autoSpaceDN w:val="0"/>
              <w:adjustRightInd w:val="0"/>
              <w:jc w:val="right"/>
              <w:rPr>
                <w:bCs/>
                <w:sz w:val="18"/>
                <w:szCs w:val="18"/>
              </w:rPr>
            </w:pPr>
            <w:r w:rsidRPr="00661EED">
              <w:rPr>
                <w:sz w:val="18"/>
                <w:szCs w:val="18"/>
              </w:rPr>
              <w:t>35</w:t>
            </w:r>
          </w:p>
        </w:tc>
        <w:tc>
          <w:tcPr>
            <w:tcW w:w="1076" w:type="dxa"/>
          </w:tcPr>
          <w:p w14:paraId="6ADF503D" w14:textId="77777777" w:rsidR="005A14D8" w:rsidRPr="00661EED" w:rsidRDefault="005A14D8" w:rsidP="005A14D8">
            <w:pPr>
              <w:widowControl w:val="0"/>
              <w:autoSpaceDE w:val="0"/>
              <w:autoSpaceDN w:val="0"/>
              <w:adjustRightInd w:val="0"/>
              <w:jc w:val="right"/>
              <w:rPr>
                <w:bCs/>
                <w:sz w:val="18"/>
                <w:szCs w:val="18"/>
              </w:rPr>
            </w:pPr>
            <w:r w:rsidRPr="00661EED">
              <w:rPr>
                <w:sz w:val="18"/>
                <w:szCs w:val="18"/>
              </w:rPr>
              <w:t>60</w:t>
            </w:r>
          </w:p>
        </w:tc>
      </w:tr>
      <w:tr w:rsidR="005A14D8" w:rsidRPr="005A14D8" w14:paraId="74F377E5" w14:textId="77777777" w:rsidTr="005A14D8">
        <w:tc>
          <w:tcPr>
            <w:tcW w:w="2871" w:type="dxa"/>
          </w:tcPr>
          <w:p w14:paraId="32A74853" w14:textId="77777777" w:rsidR="005A14D8" w:rsidRPr="005A14D8" w:rsidRDefault="005A14D8" w:rsidP="005A14D8">
            <w:pPr>
              <w:widowControl w:val="0"/>
              <w:autoSpaceDE w:val="0"/>
              <w:autoSpaceDN w:val="0"/>
              <w:adjustRightInd w:val="0"/>
              <w:rPr>
                <w:bCs/>
                <w:sz w:val="18"/>
                <w:szCs w:val="18"/>
              </w:rPr>
            </w:pPr>
            <w:r w:rsidRPr="005A14D8">
              <w:rPr>
                <w:sz w:val="18"/>
                <w:szCs w:val="18"/>
              </w:rPr>
              <w:t>1C) Incoraggiare l'apprendimento lungo tutto l'arco della vita e la formazione professionale nel settore agricolo e forestale</w:t>
            </w:r>
          </w:p>
        </w:tc>
        <w:tc>
          <w:tcPr>
            <w:tcW w:w="3263" w:type="dxa"/>
          </w:tcPr>
          <w:p w14:paraId="568E62EE" w14:textId="77777777" w:rsidR="005A14D8" w:rsidRPr="005A14D8" w:rsidRDefault="005A14D8" w:rsidP="005A14D8">
            <w:pPr>
              <w:widowControl w:val="0"/>
              <w:autoSpaceDE w:val="0"/>
              <w:autoSpaceDN w:val="0"/>
              <w:adjustRightInd w:val="0"/>
              <w:rPr>
                <w:bCs/>
                <w:sz w:val="18"/>
                <w:szCs w:val="18"/>
              </w:rPr>
            </w:pPr>
            <w:r w:rsidRPr="005A14D8">
              <w:rPr>
                <w:sz w:val="18"/>
                <w:szCs w:val="18"/>
              </w:rPr>
              <w:t>T3: numero totale di partecipanti formati a norma dell'articolo 14 del regolamento (UE) n. 1305/2013</w:t>
            </w:r>
          </w:p>
        </w:tc>
        <w:tc>
          <w:tcPr>
            <w:tcW w:w="1086" w:type="dxa"/>
          </w:tcPr>
          <w:p w14:paraId="2F7628F1" w14:textId="77777777" w:rsidR="005A14D8" w:rsidRPr="00661EED" w:rsidRDefault="005A14D8" w:rsidP="005A14D8">
            <w:pPr>
              <w:widowControl w:val="0"/>
              <w:autoSpaceDE w:val="0"/>
              <w:autoSpaceDN w:val="0"/>
              <w:adjustRightInd w:val="0"/>
              <w:jc w:val="right"/>
              <w:rPr>
                <w:bCs/>
                <w:sz w:val="18"/>
                <w:szCs w:val="18"/>
              </w:rPr>
            </w:pPr>
            <w:r w:rsidRPr="00661EED">
              <w:rPr>
                <w:sz w:val="18"/>
                <w:szCs w:val="18"/>
              </w:rPr>
              <w:t>636</w:t>
            </w:r>
          </w:p>
        </w:tc>
        <w:tc>
          <w:tcPr>
            <w:tcW w:w="1333" w:type="dxa"/>
          </w:tcPr>
          <w:p w14:paraId="630D6F47" w14:textId="77777777" w:rsidR="005A14D8" w:rsidRPr="00661EED" w:rsidRDefault="005A14D8" w:rsidP="005A14D8">
            <w:pPr>
              <w:widowControl w:val="0"/>
              <w:autoSpaceDE w:val="0"/>
              <w:autoSpaceDN w:val="0"/>
              <w:adjustRightInd w:val="0"/>
              <w:jc w:val="right"/>
              <w:rPr>
                <w:bCs/>
                <w:sz w:val="18"/>
                <w:szCs w:val="18"/>
              </w:rPr>
            </w:pPr>
            <w:r w:rsidRPr="00661EED">
              <w:rPr>
                <w:sz w:val="18"/>
                <w:szCs w:val="18"/>
              </w:rPr>
              <w:t>13,45</w:t>
            </w:r>
          </w:p>
        </w:tc>
        <w:tc>
          <w:tcPr>
            <w:tcW w:w="1076" w:type="dxa"/>
          </w:tcPr>
          <w:p w14:paraId="1572ECCF" w14:textId="5898131C" w:rsidR="005A14D8" w:rsidRPr="00661EED" w:rsidRDefault="005A14D8" w:rsidP="005A14D8">
            <w:pPr>
              <w:widowControl w:val="0"/>
              <w:autoSpaceDE w:val="0"/>
              <w:autoSpaceDN w:val="0"/>
              <w:adjustRightInd w:val="0"/>
              <w:jc w:val="right"/>
              <w:rPr>
                <w:bCs/>
                <w:sz w:val="18"/>
                <w:szCs w:val="18"/>
              </w:rPr>
            </w:pPr>
            <w:r w:rsidRPr="00661EED">
              <w:rPr>
                <w:sz w:val="18"/>
                <w:szCs w:val="18"/>
              </w:rPr>
              <w:t>4.730</w:t>
            </w:r>
          </w:p>
        </w:tc>
      </w:tr>
    </w:tbl>
    <w:p w14:paraId="3B4B7CF6" w14:textId="77777777" w:rsidR="005A14D8" w:rsidRPr="005A14D8" w:rsidRDefault="005A14D8" w:rsidP="005A14D8">
      <w:pPr>
        <w:pStyle w:val="Fonte"/>
      </w:pPr>
      <w:r w:rsidRPr="005A14D8">
        <w:t>Fonte RAA 2020</w:t>
      </w:r>
    </w:p>
    <w:p w14:paraId="5A05AB14" w14:textId="77777777" w:rsidR="005A14D8" w:rsidRPr="005A14D8" w:rsidRDefault="005A14D8" w:rsidP="005A14D8">
      <w:pPr>
        <w:widowControl w:val="0"/>
        <w:autoSpaceDE w:val="0"/>
        <w:autoSpaceDN w:val="0"/>
        <w:adjustRightInd w:val="0"/>
        <w:rPr>
          <w:bCs/>
          <w:szCs w:val="22"/>
        </w:rPr>
      </w:pPr>
    </w:p>
    <w:p w14:paraId="26810392" w14:textId="77777777" w:rsidR="00123846" w:rsidRDefault="00411F53" w:rsidP="00411F53">
      <w:pPr>
        <w:widowControl w:val="0"/>
        <w:autoSpaceDE w:val="0"/>
        <w:autoSpaceDN w:val="0"/>
        <w:adjustRightInd w:val="0"/>
        <w:rPr>
          <w:bCs/>
          <w:szCs w:val="22"/>
        </w:rPr>
      </w:pPr>
      <w:r w:rsidRPr="00456825">
        <w:rPr>
          <w:bCs/>
          <w:szCs w:val="22"/>
        </w:rPr>
        <w:t xml:space="preserve">Come </w:t>
      </w:r>
      <w:r>
        <w:rPr>
          <w:bCs/>
          <w:szCs w:val="22"/>
        </w:rPr>
        <w:t>si può osservare dalla tabella, al 31 dicembre 2020 la Priorità 1 risulta ancora lontana dal raggiungimento dei propri target, per ciascuna delle FA in essa previste. Soltanto per la FA 1B ed il relativo indicatore target (T2) è possibile riscontrare un valore meno negativo (35%).</w:t>
      </w:r>
    </w:p>
    <w:p w14:paraId="3E72C1B2" w14:textId="77777777" w:rsidR="00123846" w:rsidRDefault="00123846" w:rsidP="00411F53">
      <w:pPr>
        <w:widowControl w:val="0"/>
        <w:autoSpaceDE w:val="0"/>
        <w:autoSpaceDN w:val="0"/>
        <w:adjustRightInd w:val="0"/>
        <w:rPr>
          <w:bCs/>
          <w:szCs w:val="22"/>
        </w:rPr>
      </w:pPr>
    </w:p>
    <w:p w14:paraId="537D9258" w14:textId="77777777" w:rsidR="00411F53" w:rsidRPr="00123846" w:rsidRDefault="00411F53" w:rsidP="00411F53">
      <w:pPr>
        <w:widowControl w:val="0"/>
        <w:autoSpaceDE w:val="0"/>
        <w:autoSpaceDN w:val="0"/>
        <w:adjustRightInd w:val="0"/>
        <w:rPr>
          <w:bCs/>
          <w:szCs w:val="22"/>
        </w:rPr>
      </w:pPr>
      <w:r w:rsidRPr="00164FC9">
        <w:rPr>
          <w:rFonts w:eastAsia="Times New Roman"/>
          <w:bCs/>
          <w:color w:val="000000"/>
          <w:szCs w:val="22"/>
        </w:rPr>
        <w:t xml:space="preserve">In merito all’avanzamento </w:t>
      </w:r>
      <w:r>
        <w:rPr>
          <w:rFonts w:eastAsia="Times New Roman"/>
          <w:bCs/>
          <w:color w:val="000000"/>
          <w:szCs w:val="22"/>
        </w:rPr>
        <w:t xml:space="preserve">della Priorità </w:t>
      </w:r>
      <w:r w:rsidRPr="00456825">
        <w:rPr>
          <w:rFonts w:eastAsia="Times New Roman"/>
          <w:color w:val="000000"/>
          <w:szCs w:val="22"/>
        </w:rPr>
        <w:t xml:space="preserve">2 </w:t>
      </w:r>
      <w:r w:rsidRPr="005A14D8">
        <w:rPr>
          <w:rFonts w:eastAsia="Times New Roman"/>
          <w:i/>
          <w:iCs/>
          <w:color w:val="000000"/>
          <w:szCs w:val="22"/>
        </w:rPr>
        <w:t>Potenziare</w:t>
      </w:r>
      <w:r w:rsidRPr="00456825">
        <w:rPr>
          <w:rFonts w:eastAsia="Times New Roman"/>
          <w:i/>
          <w:color w:val="000000"/>
          <w:szCs w:val="22"/>
        </w:rPr>
        <w:t xml:space="preserve"> in tutte le regioni la redditività delle aziende agricole e la competitività dell'agricoltura in tutte le sue forme e promuovere tecnologie innovative per le aziende agricole e la gestione sostenibile delle foreste</w:t>
      </w:r>
      <w:r>
        <w:rPr>
          <w:rFonts w:eastAsia="Times New Roman"/>
          <w:color w:val="000000"/>
          <w:szCs w:val="22"/>
        </w:rPr>
        <w:t>, l’avanzamento sembra soddisfacente per ciò che concerne entrambi gli indicatori target, sebbene il T4 sia ancora al 57%.</w:t>
      </w:r>
    </w:p>
    <w:p w14:paraId="13641B27" w14:textId="77777777" w:rsidR="005F0C4A" w:rsidRDefault="005F0C4A">
      <w:pPr>
        <w:spacing w:after="320" w:line="300" w:lineRule="auto"/>
        <w:jc w:val="left"/>
      </w:pPr>
      <w:r>
        <w:br w:type="page"/>
      </w:r>
    </w:p>
    <w:p w14:paraId="02727134" w14:textId="77777777" w:rsidR="00411F53" w:rsidRPr="00414FD8" w:rsidRDefault="00414FD8" w:rsidP="00414FD8">
      <w:pPr>
        <w:pStyle w:val="Didascalia"/>
      </w:pPr>
      <w:bookmarkStart w:id="32" w:name="_Toc91081435"/>
      <w:r>
        <w:t xml:space="preserve">Tabella </w:t>
      </w:r>
      <w:r w:rsidR="004E6566">
        <w:fldChar w:fldCharType="begin"/>
      </w:r>
      <w:r>
        <w:instrText xml:space="preserve"> SEQ Tabella \* ARABIC </w:instrText>
      </w:r>
      <w:r w:rsidR="004E6566">
        <w:fldChar w:fldCharType="separate"/>
      </w:r>
      <w:r w:rsidR="00E53D6C">
        <w:rPr>
          <w:noProof/>
        </w:rPr>
        <w:t>9</w:t>
      </w:r>
      <w:r w:rsidR="004E6566">
        <w:fldChar w:fldCharType="end"/>
      </w:r>
      <w:r>
        <w:t xml:space="preserve">. </w:t>
      </w:r>
      <w:r w:rsidRPr="003D07B5">
        <w:t xml:space="preserve">Indicatori target relativi alla Priorità </w:t>
      </w:r>
      <w:r>
        <w:t>2</w:t>
      </w:r>
      <w:r w:rsidRPr="003D07B5">
        <w:t xml:space="preserve"> del PSR FEASR</w:t>
      </w:r>
      <w:bookmarkEnd w:id="32"/>
    </w:p>
    <w:tbl>
      <w:tblPr>
        <w:tblW w:w="5000" w:type="pct"/>
        <w:tblCellMar>
          <w:left w:w="70" w:type="dxa"/>
          <w:right w:w="70" w:type="dxa"/>
        </w:tblCellMar>
        <w:tblLook w:val="04A0" w:firstRow="1" w:lastRow="0" w:firstColumn="1" w:lastColumn="0" w:noHBand="0" w:noVBand="1"/>
      </w:tblPr>
      <w:tblGrid>
        <w:gridCol w:w="1601"/>
        <w:gridCol w:w="1731"/>
        <w:gridCol w:w="1287"/>
        <w:gridCol w:w="1106"/>
        <w:gridCol w:w="1287"/>
        <w:gridCol w:w="1257"/>
        <w:gridCol w:w="1359"/>
      </w:tblGrid>
      <w:tr w:rsidR="00411F53" w:rsidRPr="00123846" w14:paraId="3310AE86" w14:textId="77777777" w:rsidTr="00736089">
        <w:trPr>
          <w:trHeight w:val="60"/>
          <w:tblHeader/>
        </w:trPr>
        <w:tc>
          <w:tcPr>
            <w:tcW w:w="756" w:type="pct"/>
            <w:tcBorders>
              <w:top w:val="single" w:sz="4" w:space="0" w:color="000000"/>
              <w:left w:val="single" w:sz="4" w:space="0" w:color="000000"/>
              <w:bottom w:val="single" w:sz="4" w:space="0" w:color="000000"/>
              <w:right w:val="single" w:sz="4" w:space="0" w:color="000000"/>
            </w:tcBorders>
            <w:shd w:val="clear" w:color="auto" w:fill="669748" w:themeFill="accent2" w:themeFillShade="BF"/>
            <w:vAlign w:val="center"/>
            <w:hideMark/>
          </w:tcPr>
          <w:p w14:paraId="7B6D76AF" w14:textId="77777777" w:rsidR="00411F53" w:rsidRPr="00123846" w:rsidRDefault="00411F53" w:rsidP="00AF58DF">
            <w:pPr>
              <w:jc w:val="center"/>
              <w:rPr>
                <w:rFonts w:eastAsia="Times New Roman" w:cs="Calibri"/>
                <w:b/>
                <w:bCs/>
                <w:color w:val="FFFFFF" w:themeColor="background1"/>
                <w:sz w:val="18"/>
                <w:szCs w:val="18"/>
              </w:rPr>
            </w:pPr>
            <w:r w:rsidRPr="00123846">
              <w:rPr>
                <w:rFonts w:eastAsia="Times New Roman" w:cs="Calibri"/>
                <w:b/>
                <w:bCs/>
                <w:color w:val="FFFFFF" w:themeColor="background1"/>
                <w:sz w:val="18"/>
                <w:szCs w:val="18"/>
              </w:rPr>
              <w:t>Focus Area/Misura</w:t>
            </w:r>
          </w:p>
        </w:tc>
        <w:tc>
          <w:tcPr>
            <w:tcW w:w="813"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316F0A85" w14:textId="77777777" w:rsidR="00411F53" w:rsidRPr="00123846" w:rsidRDefault="00411F53" w:rsidP="00AF58DF">
            <w:pPr>
              <w:jc w:val="center"/>
              <w:rPr>
                <w:rFonts w:eastAsia="Times New Roman" w:cs="Calibri"/>
                <w:color w:val="FFFFFF" w:themeColor="background1"/>
                <w:sz w:val="18"/>
                <w:szCs w:val="18"/>
              </w:rPr>
            </w:pPr>
            <w:r w:rsidRPr="00123846">
              <w:rPr>
                <w:rFonts w:eastAsia="Times New Roman" w:cs="Calibri"/>
                <w:b/>
                <w:bCs/>
                <w:color w:val="FFFFFF" w:themeColor="background1"/>
                <w:sz w:val="18"/>
                <w:szCs w:val="18"/>
              </w:rPr>
              <w:t>Indicatori</w:t>
            </w:r>
          </w:p>
        </w:tc>
        <w:tc>
          <w:tcPr>
            <w:tcW w:w="730"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0BF34CF0" w14:textId="77777777" w:rsidR="00411F53" w:rsidRPr="00123846" w:rsidRDefault="00411F53" w:rsidP="00AF58DF">
            <w:pPr>
              <w:jc w:val="center"/>
              <w:rPr>
                <w:rFonts w:eastAsia="Times New Roman" w:cs="Calibri"/>
                <w:b/>
                <w:bCs/>
                <w:color w:val="FFFFFF" w:themeColor="background1"/>
                <w:sz w:val="18"/>
                <w:szCs w:val="18"/>
              </w:rPr>
            </w:pPr>
            <w:r w:rsidRPr="00123846">
              <w:rPr>
                <w:rFonts w:eastAsia="Times New Roman" w:cs="Calibri"/>
                <w:b/>
                <w:bCs/>
                <w:color w:val="FFFFFF" w:themeColor="background1"/>
                <w:sz w:val="18"/>
                <w:szCs w:val="18"/>
              </w:rPr>
              <w:t>In base all'approvato</w:t>
            </w:r>
          </w:p>
        </w:tc>
        <w:tc>
          <w:tcPr>
            <w:tcW w:w="649"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0FDB44A5" w14:textId="77777777" w:rsidR="00411F53" w:rsidRPr="00123846" w:rsidRDefault="00411F53" w:rsidP="00AF58DF">
            <w:pPr>
              <w:jc w:val="center"/>
              <w:rPr>
                <w:rFonts w:eastAsia="Times New Roman" w:cs="Calibri"/>
                <w:b/>
                <w:bCs/>
                <w:color w:val="FFFFFF" w:themeColor="background1"/>
                <w:sz w:val="18"/>
                <w:szCs w:val="18"/>
              </w:rPr>
            </w:pPr>
            <w:r w:rsidRPr="00123846">
              <w:rPr>
                <w:rFonts w:eastAsia="Times New Roman" w:cs="Calibri"/>
                <w:b/>
                <w:bCs/>
                <w:color w:val="FFFFFF" w:themeColor="background1"/>
                <w:sz w:val="18"/>
                <w:szCs w:val="18"/>
              </w:rPr>
              <w:t>Utilizzazione (%)</w:t>
            </w:r>
          </w:p>
        </w:tc>
        <w:tc>
          <w:tcPr>
            <w:tcW w:w="629"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69E51CEB" w14:textId="77777777" w:rsidR="00411F53" w:rsidRPr="00123846" w:rsidRDefault="00411F53" w:rsidP="00AF58DF">
            <w:pPr>
              <w:jc w:val="center"/>
              <w:rPr>
                <w:rFonts w:eastAsia="Times New Roman" w:cs="Calibri"/>
                <w:b/>
                <w:bCs/>
                <w:color w:val="FFFFFF" w:themeColor="background1"/>
                <w:sz w:val="18"/>
                <w:szCs w:val="18"/>
              </w:rPr>
            </w:pPr>
            <w:r w:rsidRPr="00123846">
              <w:rPr>
                <w:rFonts w:eastAsia="Times New Roman" w:cs="Calibri"/>
                <w:b/>
                <w:bCs/>
                <w:color w:val="FFFFFF" w:themeColor="background1"/>
                <w:sz w:val="18"/>
                <w:szCs w:val="18"/>
              </w:rPr>
              <w:t>Realizzato</w:t>
            </w:r>
          </w:p>
        </w:tc>
        <w:tc>
          <w:tcPr>
            <w:tcW w:w="649"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15935F4E" w14:textId="77777777" w:rsidR="00411F53" w:rsidRPr="00123846" w:rsidRDefault="00411F53" w:rsidP="00AF58DF">
            <w:pPr>
              <w:jc w:val="center"/>
              <w:rPr>
                <w:rFonts w:eastAsia="Times New Roman" w:cs="Calibri"/>
                <w:b/>
                <w:bCs/>
                <w:color w:val="FFFFFF" w:themeColor="background1"/>
                <w:sz w:val="18"/>
                <w:szCs w:val="18"/>
              </w:rPr>
            </w:pPr>
            <w:r w:rsidRPr="00123846">
              <w:rPr>
                <w:rFonts w:eastAsia="Times New Roman" w:cs="Calibri"/>
                <w:b/>
                <w:bCs/>
                <w:color w:val="FFFFFF" w:themeColor="background1"/>
                <w:sz w:val="18"/>
                <w:szCs w:val="18"/>
              </w:rPr>
              <w:t>Utilizzazione %</w:t>
            </w:r>
          </w:p>
        </w:tc>
        <w:tc>
          <w:tcPr>
            <w:tcW w:w="774"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51BBF772" w14:textId="77777777" w:rsidR="00411F53" w:rsidRPr="00123846" w:rsidRDefault="00411F53" w:rsidP="00AF58DF">
            <w:pPr>
              <w:jc w:val="center"/>
              <w:rPr>
                <w:rFonts w:eastAsia="Times New Roman" w:cs="Calibri"/>
                <w:b/>
                <w:bCs/>
                <w:color w:val="FFFFFF" w:themeColor="background1"/>
                <w:sz w:val="18"/>
                <w:szCs w:val="18"/>
              </w:rPr>
            </w:pPr>
            <w:r w:rsidRPr="00123846">
              <w:rPr>
                <w:rFonts w:eastAsia="Times New Roman" w:cs="Calibri"/>
                <w:b/>
                <w:bCs/>
                <w:color w:val="FFFFFF" w:themeColor="background1"/>
                <w:sz w:val="18"/>
                <w:szCs w:val="18"/>
              </w:rPr>
              <w:t>Target Finale 2023</w:t>
            </w:r>
          </w:p>
        </w:tc>
      </w:tr>
      <w:tr w:rsidR="00411F53" w:rsidRPr="00123846" w14:paraId="05BB43AD" w14:textId="77777777" w:rsidTr="00AF58DF">
        <w:trPr>
          <w:trHeight w:val="1795"/>
        </w:trPr>
        <w:tc>
          <w:tcPr>
            <w:tcW w:w="756" w:type="pct"/>
            <w:tcBorders>
              <w:top w:val="nil"/>
              <w:left w:val="single" w:sz="4" w:space="0" w:color="000000"/>
              <w:bottom w:val="single" w:sz="4" w:space="0" w:color="000000"/>
              <w:right w:val="single" w:sz="4" w:space="0" w:color="000000"/>
            </w:tcBorders>
            <w:shd w:val="clear" w:color="auto" w:fill="auto"/>
            <w:vAlign w:val="center"/>
            <w:hideMark/>
          </w:tcPr>
          <w:p w14:paraId="220429EA" w14:textId="77777777" w:rsidR="00411F53" w:rsidRPr="00123846" w:rsidRDefault="00411F53" w:rsidP="00AF58DF">
            <w:pPr>
              <w:rPr>
                <w:rFonts w:eastAsia="Times New Roman" w:cs="Calibri"/>
                <w:color w:val="000000"/>
                <w:sz w:val="18"/>
                <w:szCs w:val="18"/>
              </w:rPr>
            </w:pPr>
            <w:r w:rsidRPr="00123846">
              <w:rPr>
                <w:rFonts w:eastAsia="Times New Roman" w:cs="Calibri"/>
                <w:color w:val="000000"/>
                <w:sz w:val="18"/>
                <w:szCs w:val="18"/>
              </w:rPr>
              <w:t>2A) Migliorare le prestazioni economiche di tutte le aziende agricole e incoraggiare la ristrutturazione e l'ammodernamento delle aziende agricole, in particolare per aumentare la quota di mercato e l'orientamento al mercato nonché la diversificazione delle attività</w:t>
            </w:r>
          </w:p>
        </w:tc>
        <w:tc>
          <w:tcPr>
            <w:tcW w:w="813" w:type="pct"/>
            <w:tcBorders>
              <w:top w:val="nil"/>
              <w:left w:val="nil"/>
              <w:bottom w:val="single" w:sz="4" w:space="0" w:color="000000"/>
              <w:right w:val="single" w:sz="4" w:space="0" w:color="000000"/>
            </w:tcBorders>
            <w:shd w:val="clear" w:color="auto" w:fill="auto"/>
            <w:vAlign w:val="center"/>
            <w:hideMark/>
          </w:tcPr>
          <w:p w14:paraId="14C8CAAE" w14:textId="77777777" w:rsidR="00411F53" w:rsidRPr="00123846" w:rsidRDefault="00411F53" w:rsidP="00AF58DF">
            <w:pPr>
              <w:rPr>
                <w:rFonts w:eastAsia="Times New Roman" w:cs="Calibri"/>
                <w:color w:val="000000"/>
                <w:sz w:val="18"/>
                <w:szCs w:val="18"/>
              </w:rPr>
            </w:pPr>
            <w:r w:rsidRPr="00123846">
              <w:rPr>
                <w:rFonts w:eastAsia="Times New Roman" w:cs="Calibri"/>
                <w:color w:val="000000"/>
                <w:sz w:val="18"/>
                <w:szCs w:val="18"/>
              </w:rPr>
              <w:t>T4: percentuale di aziende agricole che fruiscono del sostegno del PSR per investimenti di ristrutturazione e ammodernamento (aspetto specifico 2A)</w:t>
            </w:r>
          </w:p>
        </w:tc>
        <w:tc>
          <w:tcPr>
            <w:tcW w:w="730" w:type="pct"/>
            <w:tcBorders>
              <w:top w:val="nil"/>
              <w:left w:val="nil"/>
              <w:bottom w:val="single" w:sz="4" w:space="0" w:color="000000"/>
              <w:right w:val="single" w:sz="4" w:space="0" w:color="000000"/>
            </w:tcBorders>
            <w:shd w:val="clear" w:color="auto" w:fill="auto"/>
            <w:vAlign w:val="center"/>
            <w:hideMark/>
          </w:tcPr>
          <w:p w14:paraId="7614326D" w14:textId="77777777" w:rsidR="00411F53" w:rsidRPr="00123846" w:rsidRDefault="00411F53" w:rsidP="00AF58DF">
            <w:pPr>
              <w:jc w:val="center"/>
              <w:rPr>
                <w:rFonts w:eastAsia="Times New Roman" w:cs="Calibri"/>
                <w:color w:val="000000"/>
                <w:sz w:val="18"/>
                <w:szCs w:val="18"/>
              </w:rPr>
            </w:pPr>
            <w:r w:rsidRPr="00123846">
              <w:rPr>
                <w:rFonts w:eastAsia="Times New Roman" w:cs="Calibri"/>
                <w:color w:val="000000"/>
                <w:sz w:val="18"/>
                <w:szCs w:val="18"/>
              </w:rPr>
              <w:t>2,24</w:t>
            </w:r>
          </w:p>
        </w:tc>
        <w:tc>
          <w:tcPr>
            <w:tcW w:w="649" w:type="pct"/>
            <w:tcBorders>
              <w:top w:val="nil"/>
              <w:left w:val="nil"/>
              <w:bottom w:val="single" w:sz="4" w:space="0" w:color="000000"/>
              <w:right w:val="single" w:sz="4" w:space="0" w:color="000000"/>
            </w:tcBorders>
            <w:shd w:val="clear" w:color="auto" w:fill="auto"/>
            <w:vAlign w:val="center"/>
            <w:hideMark/>
          </w:tcPr>
          <w:p w14:paraId="7FDF68CB" w14:textId="77777777" w:rsidR="00411F53" w:rsidRPr="00123846" w:rsidRDefault="00411F53" w:rsidP="00AF58DF">
            <w:pPr>
              <w:jc w:val="center"/>
              <w:rPr>
                <w:rFonts w:eastAsia="Times New Roman" w:cs="Calibri"/>
                <w:color w:val="000000"/>
                <w:sz w:val="18"/>
                <w:szCs w:val="18"/>
              </w:rPr>
            </w:pPr>
            <w:r w:rsidRPr="00123846">
              <w:rPr>
                <w:rFonts w:eastAsia="Times New Roman" w:cs="Calibri"/>
                <w:color w:val="000000"/>
                <w:sz w:val="18"/>
                <w:szCs w:val="18"/>
              </w:rPr>
              <w:t>101,42</w:t>
            </w:r>
          </w:p>
        </w:tc>
        <w:tc>
          <w:tcPr>
            <w:tcW w:w="629" w:type="pct"/>
            <w:tcBorders>
              <w:top w:val="nil"/>
              <w:left w:val="nil"/>
              <w:bottom w:val="single" w:sz="4" w:space="0" w:color="000000"/>
              <w:right w:val="single" w:sz="4" w:space="0" w:color="000000"/>
            </w:tcBorders>
            <w:shd w:val="clear" w:color="auto" w:fill="auto"/>
            <w:vAlign w:val="center"/>
            <w:hideMark/>
          </w:tcPr>
          <w:p w14:paraId="38C434D9" w14:textId="77777777" w:rsidR="00411F53" w:rsidRPr="00661EED" w:rsidRDefault="00411F53" w:rsidP="00AF58DF">
            <w:pPr>
              <w:jc w:val="center"/>
              <w:rPr>
                <w:rFonts w:eastAsia="Times New Roman" w:cs="Calibri"/>
                <w:color w:val="000000"/>
                <w:sz w:val="18"/>
                <w:szCs w:val="18"/>
              </w:rPr>
            </w:pPr>
            <w:r w:rsidRPr="00661EED">
              <w:rPr>
                <w:rFonts w:eastAsia="Times New Roman" w:cs="Calibri"/>
                <w:color w:val="000000"/>
                <w:sz w:val="18"/>
                <w:szCs w:val="18"/>
              </w:rPr>
              <w:t>1,27</w:t>
            </w:r>
          </w:p>
        </w:tc>
        <w:tc>
          <w:tcPr>
            <w:tcW w:w="649" w:type="pct"/>
            <w:tcBorders>
              <w:top w:val="nil"/>
              <w:left w:val="nil"/>
              <w:bottom w:val="single" w:sz="4" w:space="0" w:color="000000"/>
              <w:right w:val="single" w:sz="4" w:space="0" w:color="000000"/>
            </w:tcBorders>
            <w:shd w:val="clear" w:color="auto" w:fill="auto"/>
            <w:vAlign w:val="center"/>
            <w:hideMark/>
          </w:tcPr>
          <w:p w14:paraId="5A2C4179" w14:textId="77777777" w:rsidR="00411F53" w:rsidRPr="00661EED" w:rsidRDefault="00411F53" w:rsidP="00AF58DF">
            <w:pPr>
              <w:jc w:val="center"/>
              <w:rPr>
                <w:rFonts w:eastAsia="Times New Roman" w:cs="Calibri"/>
                <w:color w:val="000000"/>
                <w:sz w:val="18"/>
                <w:szCs w:val="18"/>
              </w:rPr>
            </w:pPr>
            <w:r w:rsidRPr="00661EED">
              <w:rPr>
                <w:rFonts w:eastAsia="Times New Roman" w:cs="Calibri"/>
                <w:color w:val="000000"/>
                <w:sz w:val="18"/>
                <w:szCs w:val="18"/>
              </w:rPr>
              <w:t>57,5</w:t>
            </w:r>
          </w:p>
        </w:tc>
        <w:tc>
          <w:tcPr>
            <w:tcW w:w="774" w:type="pct"/>
            <w:tcBorders>
              <w:top w:val="nil"/>
              <w:left w:val="nil"/>
              <w:bottom w:val="single" w:sz="4" w:space="0" w:color="000000"/>
              <w:right w:val="single" w:sz="4" w:space="0" w:color="000000"/>
            </w:tcBorders>
            <w:shd w:val="clear" w:color="auto" w:fill="auto"/>
            <w:vAlign w:val="center"/>
            <w:hideMark/>
          </w:tcPr>
          <w:p w14:paraId="6ED89439" w14:textId="77777777" w:rsidR="00411F53" w:rsidRPr="00661EED" w:rsidRDefault="00411F53" w:rsidP="00AF58DF">
            <w:pPr>
              <w:jc w:val="center"/>
              <w:rPr>
                <w:rFonts w:eastAsia="Times New Roman" w:cs="Calibri"/>
                <w:color w:val="000000"/>
                <w:sz w:val="18"/>
                <w:szCs w:val="18"/>
              </w:rPr>
            </w:pPr>
            <w:r w:rsidRPr="00661EED">
              <w:rPr>
                <w:rFonts w:eastAsia="Times New Roman" w:cs="Calibri"/>
                <w:color w:val="000000"/>
                <w:sz w:val="18"/>
                <w:szCs w:val="18"/>
              </w:rPr>
              <w:t>2,21</w:t>
            </w:r>
          </w:p>
        </w:tc>
      </w:tr>
      <w:tr w:rsidR="00411F53" w:rsidRPr="00123846" w14:paraId="213BAF5C" w14:textId="77777777" w:rsidTr="00AF58DF">
        <w:trPr>
          <w:trHeight w:val="60"/>
        </w:trPr>
        <w:tc>
          <w:tcPr>
            <w:tcW w:w="756" w:type="pct"/>
            <w:tcBorders>
              <w:top w:val="nil"/>
              <w:left w:val="single" w:sz="4" w:space="0" w:color="000000"/>
              <w:bottom w:val="single" w:sz="4" w:space="0" w:color="000000"/>
              <w:right w:val="single" w:sz="4" w:space="0" w:color="000000"/>
            </w:tcBorders>
            <w:shd w:val="clear" w:color="auto" w:fill="auto"/>
            <w:noWrap/>
            <w:vAlign w:val="center"/>
            <w:hideMark/>
          </w:tcPr>
          <w:p w14:paraId="7C1FE5C9" w14:textId="77777777" w:rsidR="00411F53" w:rsidRPr="00123846" w:rsidRDefault="00411F53" w:rsidP="00AF58DF">
            <w:pPr>
              <w:rPr>
                <w:rFonts w:eastAsia="Times New Roman" w:cs="Calibri"/>
                <w:color w:val="000000"/>
                <w:sz w:val="18"/>
                <w:szCs w:val="18"/>
              </w:rPr>
            </w:pPr>
            <w:r w:rsidRPr="00123846">
              <w:rPr>
                <w:rFonts w:eastAsia="Times New Roman" w:cs="Calibri"/>
                <w:color w:val="000000"/>
                <w:sz w:val="18"/>
                <w:szCs w:val="18"/>
              </w:rPr>
              <w:t>M1</w:t>
            </w:r>
          </w:p>
        </w:tc>
        <w:tc>
          <w:tcPr>
            <w:tcW w:w="813" w:type="pct"/>
            <w:vMerge w:val="restart"/>
            <w:tcBorders>
              <w:top w:val="nil"/>
              <w:left w:val="nil"/>
              <w:right w:val="single" w:sz="4" w:space="0" w:color="000000"/>
            </w:tcBorders>
            <w:shd w:val="clear" w:color="auto" w:fill="auto"/>
            <w:vAlign w:val="center"/>
            <w:hideMark/>
          </w:tcPr>
          <w:p w14:paraId="6EBF5B15" w14:textId="77777777" w:rsidR="00411F53" w:rsidRPr="00123846" w:rsidRDefault="00411F53" w:rsidP="00AF58DF">
            <w:pPr>
              <w:rPr>
                <w:rFonts w:eastAsia="Times New Roman" w:cs="Calibri"/>
                <w:color w:val="000000"/>
                <w:sz w:val="18"/>
                <w:szCs w:val="18"/>
              </w:rPr>
            </w:pPr>
            <w:r w:rsidRPr="00123846">
              <w:rPr>
                <w:rFonts w:eastAsia="Times New Roman" w:cs="Calibri"/>
                <w:color w:val="000000"/>
                <w:sz w:val="18"/>
                <w:szCs w:val="18"/>
              </w:rPr>
              <w:t>O1 - Spesa pubblica totale</w:t>
            </w:r>
          </w:p>
        </w:tc>
        <w:tc>
          <w:tcPr>
            <w:tcW w:w="730" w:type="pct"/>
            <w:tcBorders>
              <w:top w:val="nil"/>
              <w:left w:val="nil"/>
              <w:bottom w:val="single" w:sz="4" w:space="0" w:color="000000"/>
              <w:right w:val="single" w:sz="4" w:space="0" w:color="000000"/>
            </w:tcBorders>
            <w:shd w:val="clear" w:color="auto" w:fill="auto"/>
            <w:vAlign w:val="center"/>
            <w:hideMark/>
          </w:tcPr>
          <w:p w14:paraId="3E1639A1"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6.526.068,06</w:t>
            </w:r>
          </w:p>
        </w:tc>
        <w:tc>
          <w:tcPr>
            <w:tcW w:w="649" w:type="pct"/>
            <w:tcBorders>
              <w:top w:val="nil"/>
              <w:left w:val="nil"/>
              <w:bottom w:val="single" w:sz="4" w:space="0" w:color="000000"/>
              <w:right w:val="single" w:sz="4" w:space="0" w:color="000000"/>
            </w:tcBorders>
            <w:shd w:val="clear" w:color="auto" w:fill="auto"/>
            <w:vAlign w:val="center"/>
            <w:hideMark/>
          </w:tcPr>
          <w:p w14:paraId="75AD98D9" w14:textId="77777777" w:rsidR="00411F53" w:rsidRPr="00123846" w:rsidRDefault="00411F53" w:rsidP="00AF58DF">
            <w:pPr>
              <w:jc w:val="center"/>
              <w:rPr>
                <w:rFonts w:eastAsia="Times New Roman" w:cs="Calibri"/>
                <w:color w:val="000000"/>
                <w:sz w:val="18"/>
                <w:szCs w:val="18"/>
              </w:rPr>
            </w:pPr>
            <w:r w:rsidRPr="00123846">
              <w:rPr>
                <w:rFonts w:eastAsia="Times New Roman" w:cs="Calibri"/>
                <w:color w:val="000000"/>
                <w:sz w:val="18"/>
                <w:szCs w:val="18"/>
              </w:rPr>
              <w:t>95,27</w:t>
            </w:r>
          </w:p>
        </w:tc>
        <w:tc>
          <w:tcPr>
            <w:tcW w:w="629" w:type="pct"/>
            <w:tcBorders>
              <w:top w:val="nil"/>
              <w:left w:val="nil"/>
              <w:bottom w:val="single" w:sz="4" w:space="0" w:color="000000"/>
              <w:right w:val="single" w:sz="4" w:space="0" w:color="000000"/>
            </w:tcBorders>
            <w:shd w:val="clear" w:color="auto" w:fill="auto"/>
            <w:vAlign w:val="center"/>
            <w:hideMark/>
          </w:tcPr>
          <w:p w14:paraId="1FCDA1FD"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1.921.475,88</w:t>
            </w:r>
          </w:p>
        </w:tc>
        <w:tc>
          <w:tcPr>
            <w:tcW w:w="649" w:type="pct"/>
            <w:tcBorders>
              <w:top w:val="nil"/>
              <w:left w:val="nil"/>
              <w:bottom w:val="single" w:sz="4" w:space="0" w:color="000000"/>
              <w:right w:val="single" w:sz="4" w:space="0" w:color="000000"/>
            </w:tcBorders>
            <w:shd w:val="clear" w:color="auto" w:fill="auto"/>
            <w:vAlign w:val="center"/>
            <w:hideMark/>
          </w:tcPr>
          <w:p w14:paraId="2ECC22C7" w14:textId="77777777" w:rsidR="00411F53" w:rsidRPr="00825203" w:rsidRDefault="00411F53" w:rsidP="00AF58DF">
            <w:pPr>
              <w:jc w:val="center"/>
              <w:rPr>
                <w:rFonts w:eastAsia="Times New Roman" w:cs="Calibri"/>
                <w:color w:val="000000"/>
                <w:sz w:val="18"/>
                <w:szCs w:val="18"/>
              </w:rPr>
            </w:pPr>
            <w:r w:rsidRPr="00825203">
              <w:rPr>
                <w:rFonts w:eastAsia="Times New Roman" w:cs="Calibri"/>
                <w:color w:val="000000"/>
                <w:sz w:val="18"/>
                <w:szCs w:val="18"/>
              </w:rPr>
              <w:t>28,05</w:t>
            </w:r>
          </w:p>
        </w:tc>
        <w:tc>
          <w:tcPr>
            <w:tcW w:w="774" w:type="pct"/>
            <w:tcBorders>
              <w:top w:val="nil"/>
              <w:left w:val="nil"/>
              <w:bottom w:val="single" w:sz="4" w:space="0" w:color="000000"/>
              <w:right w:val="single" w:sz="4" w:space="0" w:color="000000"/>
            </w:tcBorders>
            <w:shd w:val="clear" w:color="auto" w:fill="auto"/>
            <w:noWrap/>
            <w:vAlign w:val="center"/>
            <w:hideMark/>
          </w:tcPr>
          <w:p w14:paraId="685F0B26" w14:textId="77777777" w:rsidR="00411F53" w:rsidRPr="00825203" w:rsidRDefault="00411F53" w:rsidP="00AF58DF">
            <w:pPr>
              <w:jc w:val="right"/>
              <w:rPr>
                <w:rFonts w:eastAsia="Times New Roman" w:cs="Calibri"/>
                <w:color w:val="000000"/>
                <w:sz w:val="18"/>
                <w:szCs w:val="18"/>
              </w:rPr>
            </w:pPr>
            <w:r w:rsidRPr="00825203">
              <w:rPr>
                <w:rFonts w:eastAsia="Times New Roman" w:cs="Calibri"/>
                <w:color w:val="000000"/>
                <w:sz w:val="18"/>
                <w:szCs w:val="18"/>
              </w:rPr>
              <w:t>6.850.000,00</w:t>
            </w:r>
          </w:p>
        </w:tc>
      </w:tr>
      <w:tr w:rsidR="00411F53" w:rsidRPr="00123846" w14:paraId="61A50721" w14:textId="77777777" w:rsidTr="00AF58DF">
        <w:trPr>
          <w:trHeight w:val="60"/>
        </w:trPr>
        <w:tc>
          <w:tcPr>
            <w:tcW w:w="756" w:type="pct"/>
            <w:tcBorders>
              <w:top w:val="nil"/>
              <w:left w:val="single" w:sz="4" w:space="0" w:color="000000"/>
              <w:bottom w:val="single" w:sz="4" w:space="0" w:color="000000"/>
              <w:right w:val="single" w:sz="4" w:space="0" w:color="000000"/>
            </w:tcBorders>
            <w:shd w:val="clear" w:color="auto" w:fill="auto"/>
            <w:noWrap/>
            <w:vAlign w:val="center"/>
            <w:hideMark/>
          </w:tcPr>
          <w:p w14:paraId="09C32E3F" w14:textId="77777777" w:rsidR="00411F53" w:rsidRPr="00123846" w:rsidRDefault="00411F53" w:rsidP="00AF58DF">
            <w:pPr>
              <w:rPr>
                <w:rFonts w:eastAsia="Times New Roman" w:cs="Calibri"/>
                <w:color w:val="000000"/>
                <w:sz w:val="18"/>
                <w:szCs w:val="18"/>
              </w:rPr>
            </w:pPr>
            <w:r w:rsidRPr="00123846">
              <w:rPr>
                <w:rFonts w:eastAsia="Times New Roman" w:cs="Calibri"/>
                <w:color w:val="000000"/>
                <w:sz w:val="18"/>
                <w:szCs w:val="18"/>
              </w:rPr>
              <w:t>M2</w:t>
            </w:r>
          </w:p>
        </w:tc>
        <w:tc>
          <w:tcPr>
            <w:tcW w:w="813" w:type="pct"/>
            <w:vMerge/>
            <w:tcBorders>
              <w:left w:val="nil"/>
              <w:right w:val="single" w:sz="4" w:space="0" w:color="000000"/>
            </w:tcBorders>
            <w:shd w:val="clear" w:color="auto" w:fill="auto"/>
            <w:vAlign w:val="center"/>
            <w:hideMark/>
          </w:tcPr>
          <w:p w14:paraId="1FD1E7DA" w14:textId="77777777" w:rsidR="00411F53" w:rsidRPr="00123846" w:rsidRDefault="00411F53" w:rsidP="00AF58DF">
            <w:pPr>
              <w:rPr>
                <w:rFonts w:eastAsia="Times New Roman" w:cs="Calibri"/>
                <w:color w:val="000000"/>
                <w:sz w:val="18"/>
                <w:szCs w:val="18"/>
              </w:rPr>
            </w:pPr>
          </w:p>
        </w:tc>
        <w:tc>
          <w:tcPr>
            <w:tcW w:w="730" w:type="pct"/>
            <w:tcBorders>
              <w:top w:val="nil"/>
              <w:left w:val="nil"/>
              <w:bottom w:val="single" w:sz="4" w:space="0" w:color="000000"/>
              <w:right w:val="single" w:sz="4" w:space="0" w:color="000000"/>
            </w:tcBorders>
            <w:shd w:val="clear" w:color="auto" w:fill="auto"/>
            <w:vAlign w:val="center"/>
            <w:hideMark/>
          </w:tcPr>
          <w:p w14:paraId="52B85C2D"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1.554.262,40</w:t>
            </w:r>
          </w:p>
        </w:tc>
        <w:tc>
          <w:tcPr>
            <w:tcW w:w="649" w:type="pct"/>
            <w:tcBorders>
              <w:top w:val="nil"/>
              <w:left w:val="nil"/>
              <w:bottom w:val="single" w:sz="4" w:space="0" w:color="000000"/>
              <w:right w:val="single" w:sz="4" w:space="0" w:color="000000"/>
            </w:tcBorders>
            <w:shd w:val="clear" w:color="auto" w:fill="auto"/>
            <w:vAlign w:val="center"/>
            <w:hideMark/>
          </w:tcPr>
          <w:p w14:paraId="05B51D37" w14:textId="77777777" w:rsidR="00411F53" w:rsidRPr="00123846" w:rsidRDefault="00411F53" w:rsidP="00AF58DF">
            <w:pPr>
              <w:jc w:val="center"/>
              <w:rPr>
                <w:rFonts w:eastAsia="Times New Roman" w:cs="Calibri"/>
                <w:color w:val="000000"/>
                <w:sz w:val="18"/>
                <w:szCs w:val="18"/>
              </w:rPr>
            </w:pPr>
            <w:r w:rsidRPr="00123846">
              <w:rPr>
                <w:rFonts w:eastAsia="Times New Roman" w:cs="Calibri"/>
                <w:color w:val="000000"/>
                <w:sz w:val="18"/>
                <w:szCs w:val="18"/>
              </w:rPr>
              <w:t>28,26</w:t>
            </w:r>
          </w:p>
        </w:tc>
        <w:tc>
          <w:tcPr>
            <w:tcW w:w="629" w:type="pct"/>
            <w:tcBorders>
              <w:top w:val="nil"/>
              <w:left w:val="nil"/>
              <w:bottom w:val="single" w:sz="4" w:space="0" w:color="000000"/>
              <w:right w:val="single" w:sz="4" w:space="0" w:color="000000"/>
            </w:tcBorders>
            <w:shd w:val="clear" w:color="auto" w:fill="auto"/>
            <w:noWrap/>
            <w:vAlign w:val="center"/>
            <w:hideMark/>
          </w:tcPr>
          <w:p w14:paraId="102E8BEB"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 </w:t>
            </w:r>
          </w:p>
        </w:tc>
        <w:tc>
          <w:tcPr>
            <w:tcW w:w="649" w:type="pct"/>
            <w:tcBorders>
              <w:top w:val="nil"/>
              <w:left w:val="nil"/>
              <w:bottom w:val="single" w:sz="4" w:space="0" w:color="000000"/>
              <w:right w:val="single" w:sz="4" w:space="0" w:color="000000"/>
            </w:tcBorders>
            <w:shd w:val="clear" w:color="auto" w:fill="auto"/>
            <w:noWrap/>
            <w:vAlign w:val="center"/>
            <w:hideMark/>
          </w:tcPr>
          <w:p w14:paraId="64BA6E0A" w14:textId="77777777" w:rsidR="00411F53" w:rsidRPr="00825203" w:rsidRDefault="00411F53" w:rsidP="00AF58DF">
            <w:pPr>
              <w:jc w:val="center"/>
              <w:rPr>
                <w:rFonts w:eastAsia="Times New Roman" w:cs="Calibri"/>
                <w:color w:val="000000"/>
                <w:sz w:val="18"/>
                <w:szCs w:val="18"/>
              </w:rPr>
            </w:pPr>
          </w:p>
        </w:tc>
        <w:tc>
          <w:tcPr>
            <w:tcW w:w="774" w:type="pct"/>
            <w:tcBorders>
              <w:top w:val="nil"/>
              <w:left w:val="nil"/>
              <w:bottom w:val="single" w:sz="4" w:space="0" w:color="000000"/>
              <w:right w:val="single" w:sz="4" w:space="0" w:color="000000"/>
            </w:tcBorders>
            <w:shd w:val="clear" w:color="auto" w:fill="auto"/>
            <w:vAlign w:val="center"/>
            <w:hideMark/>
          </w:tcPr>
          <w:p w14:paraId="5F1C7443" w14:textId="77777777" w:rsidR="00411F53" w:rsidRPr="00825203" w:rsidRDefault="00411F53" w:rsidP="00AF58DF">
            <w:pPr>
              <w:jc w:val="right"/>
              <w:rPr>
                <w:rFonts w:eastAsia="Times New Roman" w:cs="Calibri"/>
                <w:color w:val="000000"/>
                <w:sz w:val="18"/>
                <w:szCs w:val="18"/>
              </w:rPr>
            </w:pPr>
            <w:r w:rsidRPr="00825203">
              <w:rPr>
                <w:rFonts w:eastAsia="Times New Roman" w:cs="Calibri"/>
                <w:color w:val="000000"/>
                <w:sz w:val="18"/>
                <w:szCs w:val="18"/>
              </w:rPr>
              <w:t>5.500.000,00</w:t>
            </w:r>
          </w:p>
        </w:tc>
      </w:tr>
      <w:tr w:rsidR="00411F53" w:rsidRPr="00123846" w14:paraId="2AA52856" w14:textId="77777777" w:rsidTr="00AF58DF">
        <w:trPr>
          <w:trHeight w:val="60"/>
        </w:trPr>
        <w:tc>
          <w:tcPr>
            <w:tcW w:w="756" w:type="pct"/>
            <w:tcBorders>
              <w:top w:val="nil"/>
              <w:left w:val="single" w:sz="4" w:space="0" w:color="000000"/>
              <w:bottom w:val="single" w:sz="4" w:space="0" w:color="000000"/>
              <w:right w:val="single" w:sz="4" w:space="0" w:color="000000"/>
            </w:tcBorders>
            <w:shd w:val="clear" w:color="auto" w:fill="auto"/>
            <w:noWrap/>
            <w:vAlign w:val="center"/>
            <w:hideMark/>
          </w:tcPr>
          <w:p w14:paraId="130F6032" w14:textId="77777777" w:rsidR="00411F53" w:rsidRPr="00123846" w:rsidRDefault="00411F53" w:rsidP="00AF58DF">
            <w:pPr>
              <w:rPr>
                <w:rFonts w:eastAsia="Times New Roman" w:cs="Calibri"/>
                <w:color w:val="000000"/>
                <w:sz w:val="18"/>
                <w:szCs w:val="18"/>
              </w:rPr>
            </w:pPr>
            <w:r w:rsidRPr="00123846">
              <w:rPr>
                <w:rFonts w:eastAsia="Times New Roman" w:cs="Calibri"/>
                <w:color w:val="000000"/>
                <w:sz w:val="18"/>
                <w:szCs w:val="18"/>
              </w:rPr>
              <w:t>M4</w:t>
            </w:r>
          </w:p>
        </w:tc>
        <w:tc>
          <w:tcPr>
            <w:tcW w:w="813" w:type="pct"/>
            <w:vMerge/>
            <w:tcBorders>
              <w:left w:val="nil"/>
              <w:right w:val="single" w:sz="4" w:space="0" w:color="000000"/>
            </w:tcBorders>
            <w:shd w:val="clear" w:color="auto" w:fill="auto"/>
            <w:vAlign w:val="center"/>
            <w:hideMark/>
          </w:tcPr>
          <w:p w14:paraId="4FEA2485" w14:textId="77777777" w:rsidR="00411F53" w:rsidRPr="00123846" w:rsidRDefault="00411F53" w:rsidP="00AF58DF">
            <w:pPr>
              <w:rPr>
                <w:rFonts w:eastAsia="Times New Roman" w:cs="Calibri"/>
                <w:color w:val="000000"/>
                <w:sz w:val="18"/>
                <w:szCs w:val="18"/>
              </w:rPr>
            </w:pPr>
          </w:p>
        </w:tc>
        <w:tc>
          <w:tcPr>
            <w:tcW w:w="730" w:type="pct"/>
            <w:tcBorders>
              <w:top w:val="nil"/>
              <w:left w:val="nil"/>
              <w:bottom w:val="single" w:sz="4" w:space="0" w:color="000000"/>
              <w:right w:val="single" w:sz="4" w:space="0" w:color="000000"/>
            </w:tcBorders>
            <w:shd w:val="clear" w:color="auto" w:fill="auto"/>
            <w:vAlign w:val="center"/>
            <w:hideMark/>
          </w:tcPr>
          <w:p w14:paraId="6487F1A8"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345.817.451,44</w:t>
            </w:r>
          </w:p>
        </w:tc>
        <w:tc>
          <w:tcPr>
            <w:tcW w:w="649" w:type="pct"/>
            <w:tcBorders>
              <w:top w:val="nil"/>
              <w:left w:val="nil"/>
              <w:bottom w:val="single" w:sz="4" w:space="0" w:color="000000"/>
              <w:right w:val="single" w:sz="4" w:space="0" w:color="000000"/>
            </w:tcBorders>
            <w:shd w:val="clear" w:color="auto" w:fill="auto"/>
            <w:vAlign w:val="center"/>
            <w:hideMark/>
          </w:tcPr>
          <w:p w14:paraId="4E4EB716" w14:textId="77777777" w:rsidR="00411F53" w:rsidRPr="00123846" w:rsidRDefault="00411F53" w:rsidP="00AF58DF">
            <w:pPr>
              <w:jc w:val="center"/>
              <w:rPr>
                <w:rFonts w:eastAsia="Times New Roman" w:cs="Calibri"/>
                <w:color w:val="000000"/>
                <w:sz w:val="18"/>
                <w:szCs w:val="18"/>
              </w:rPr>
            </w:pPr>
            <w:r w:rsidRPr="00123846">
              <w:rPr>
                <w:rFonts w:eastAsia="Times New Roman" w:cs="Calibri"/>
                <w:color w:val="000000"/>
                <w:sz w:val="18"/>
                <w:szCs w:val="18"/>
              </w:rPr>
              <w:t>110,13</w:t>
            </w:r>
          </w:p>
        </w:tc>
        <w:tc>
          <w:tcPr>
            <w:tcW w:w="629" w:type="pct"/>
            <w:tcBorders>
              <w:top w:val="nil"/>
              <w:left w:val="nil"/>
              <w:bottom w:val="single" w:sz="4" w:space="0" w:color="000000"/>
              <w:right w:val="single" w:sz="4" w:space="0" w:color="000000"/>
            </w:tcBorders>
            <w:shd w:val="clear" w:color="auto" w:fill="auto"/>
            <w:vAlign w:val="center"/>
            <w:hideMark/>
          </w:tcPr>
          <w:p w14:paraId="3CD2A6E7"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135.321.706,13</w:t>
            </w:r>
          </w:p>
        </w:tc>
        <w:tc>
          <w:tcPr>
            <w:tcW w:w="649" w:type="pct"/>
            <w:tcBorders>
              <w:top w:val="nil"/>
              <w:left w:val="nil"/>
              <w:bottom w:val="single" w:sz="4" w:space="0" w:color="000000"/>
              <w:right w:val="single" w:sz="4" w:space="0" w:color="000000"/>
            </w:tcBorders>
            <w:shd w:val="clear" w:color="auto" w:fill="auto"/>
            <w:vAlign w:val="center"/>
            <w:hideMark/>
          </w:tcPr>
          <w:p w14:paraId="7859B292" w14:textId="77777777" w:rsidR="00411F53" w:rsidRPr="00825203" w:rsidRDefault="00411F53" w:rsidP="00AF58DF">
            <w:pPr>
              <w:jc w:val="center"/>
              <w:rPr>
                <w:rFonts w:eastAsia="Times New Roman" w:cs="Calibri"/>
                <w:color w:val="000000"/>
                <w:sz w:val="18"/>
                <w:szCs w:val="18"/>
              </w:rPr>
            </w:pPr>
            <w:r w:rsidRPr="00825203">
              <w:rPr>
                <w:rFonts w:eastAsia="Times New Roman" w:cs="Calibri"/>
                <w:color w:val="000000"/>
                <w:sz w:val="18"/>
                <w:szCs w:val="18"/>
              </w:rPr>
              <w:t>43,1</w:t>
            </w:r>
          </w:p>
        </w:tc>
        <w:tc>
          <w:tcPr>
            <w:tcW w:w="774" w:type="pct"/>
            <w:tcBorders>
              <w:top w:val="nil"/>
              <w:left w:val="nil"/>
              <w:bottom w:val="single" w:sz="4" w:space="0" w:color="000000"/>
              <w:right w:val="single" w:sz="4" w:space="0" w:color="000000"/>
            </w:tcBorders>
            <w:shd w:val="clear" w:color="auto" w:fill="auto"/>
            <w:noWrap/>
            <w:vAlign w:val="center"/>
            <w:hideMark/>
          </w:tcPr>
          <w:p w14:paraId="24249642" w14:textId="77777777" w:rsidR="00411F53" w:rsidRPr="00825203" w:rsidRDefault="004E6566" w:rsidP="00825203">
            <w:pPr>
              <w:rPr>
                <w:rFonts w:eastAsia="Times New Roman"/>
                <w:sz w:val="18"/>
                <w:szCs w:val="18"/>
              </w:rPr>
            </w:pPr>
            <w:r w:rsidRPr="00825203">
              <w:rPr>
                <w:rFonts w:eastAsia="Times New Roman"/>
                <w:sz w:val="18"/>
                <w:szCs w:val="18"/>
              </w:rPr>
              <w:t>314.000.000,00</w:t>
            </w:r>
          </w:p>
        </w:tc>
      </w:tr>
      <w:tr w:rsidR="00411F53" w:rsidRPr="00123846" w14:paraId="452E53DD" w14:textId="77777777" w:rsidTr="00AF58DF">
        <w:trPr>
          <w:trHeight w:val="60"/>
        </w:trPr>
        <w:tc>
          <w:tcPr>
            <w:tcW w:w="756" w:type="pct"/>
            <w:tcBorders>
              <w:top w:val="nil"/>
              <w:left w:val="single" w:sz="4" w:space="0" w:color="000000"/>
              <w:bottom w:val="single" w:sz="4" w:space="0" w:color="000000"/>
              <w:right w:val="single" w:sz="4" w:space="0" w:color="000000"/>
            </w:tcBorders>
            <w:shd w:val="clear" w:color="auto" w:fill="auto"/>
            <w:noWrap/>
            <w:vAlign w:val="center"/>
            <w:hideMark/>
          </w:tcPr>
          <w:p w14:paraId="1D09343A" w14:textId="77777777" w:rsidR="00411F53" w:rsidRPr="00123846" w:rsidRDefault="00411F53" w:rsidP="00AF58DF">
            <w:pPr>
              <w:rPr>
                <w:rFonts w:eastAsia="Times New Roman" w:cs="Calibri"/>
                <w:color w:val="000000"/>
                <w:sz w:val="18"/>
                <w:szCs w:val="18"/>
              </w:rPr>
            </w:pPr>
            <w:r w:rsidRPr="00123846">
              <w:rPr>
                <w:rFonts w:eastAsia="Times New Roman" w:cs="Calibri"/>
                <w:color w:val="000000"/>
                <w:sz w:val="18"/>
                <w:szCs w:val="18"/>
              </w:rPr>
              <w:t>M6</w:t>
            </w:r>
          </w:p>
        </w:tc>
        <w:tc>
          <w:tcPr>
            <w:tcW w:w="813" w:type="pct"/>
            <w:vMerge/>
            <w:tcBorders>
              <w:left w:val="nil"/>
              <w:right w:val="single" w:sz="4" w:space="0" w:color="000000"/>
            </w:tcBorders>
            <w:shd w:val="clear" w:color="auto" w:fill="auto"/>
            <w:vAlign w:val="center"/>
            <w:hideMark/>
          </w:tcPr>
          <w:p w14:paraId="05254567" w14:textId="77777777" w:rsidR="00411F53" w:rsidRPr="00123846" w:rsidRDefault="00411F53" w:rsidP="00AF58DF">
            <w:pPr>
              <w:rPr>
                <w:rFonts w:eastAsia="Times New Roman" w:cs="Calibri"/>
                <w:color w:val="000000"/>
                <w:sz w:val="18"/>
                <w:szCs w:val="18"/>
              </w:rPr>
            </w:pPr>
          </w:p>
        </w:tc>
        <w:tc>
          <w:tcPr>
            <w:tcW w:w="730" w:type="pct"/>
            <w:tcBorders>
              <w:top w:val="nil"/>
              <w:left w:val="nil"/>
              <w:bottom w:val="single" w:sz="4" w:space="0" w:color="000000"/>
              <w:right w:val="single" w:sz="4" w:space="0" w:color="000000"/>
            </w:tcBorders>
            <w:shd w:val="clear" w:color="auto" w:fill="auto"/>
            <w:vAlign w:val="center"/>
            <w:hideMark/>
          </w:tcPr>
          <w:p w14:paraId="01E439F8"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22.192.789,26</w:t>
            </w:r>
          </w:p>
        </w:tc>
        <w:tc>
          <w:tcPr>
            <w:tcW w:w="649" w:type="pct"/>
            <w:tcBorders>
              <w:top w:val="nil"/>
              <w:left w:val="nil"/>
              <w:bottom w:val="single" w:sz="4" w:space="0" w:color="000000"/>
              <w:right w:val="single" w:sz="4" w:space="0" w:color="000000"/>
            </w:tcBorders>
            <w:shd w:val="clear" w:color="auto" w:fill="auto"/>
            <w:vAlign w:val="center"/>
            <w:hideMark/>
          </w:tcPr>
          <w:p w14:paraId="2B907F64" w14:textId="77777777" w:rsidR="00411F53" w:rsidRPr="00123846" w:rsidRDefault="00411F53" w:rsidP="00AF58DF">
            <w:pPr>
              <w:jc w:val="center"/>
              <w:rPr>
                <w:rFonts w:eastAsia="Times New Roman" w:cs="Calibri"/>
                <w:color w:val="000000"/>
                <w:sz w:val="18"/>
                <w:szCs w:val="18"/>
              </w:rPr>
            </w:pPr>
            <w:r w:rsidRPr="00123846">
              <w:rPr>
                <w:rFonts w:eastAsia="Times New Roman" w:cs="Calibri"/>
                <w:color w:val="000000"/>
                <w:sz w:val="18"/>
                <w:szCs w:val="18"/>
              </w:rPr>
              <w:t>105,68</w:t>
            </w:r>
          </w:p>
        </w:tc>
        <w:tc>
          <w:tcPr>
            <w:tcW w:w="629" w:type="pct"/>
            <w:tcBorders>
              <w:top w:val="nil"/>
              <w:left w:val="nil"/>
              <w:bottom w:val="single" w:sz="4" w:space="0" w:color="000000"/>
              <w:right w:val="single" w:sz="4" w:space="0" w:color="000000"/>
            </w:tcBorders>
            <w:shd w:val="clear" w:color="auto" w:fill="auto"/>
            <w:vAlign w:val="center"/>
            <w:hideMark/>
          </w:tcPr>
          <w:p w14:paraId="6173DDD2"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8.644.359,86</w:t>
            </w:r>
          </w:p>
        </w:tc>
        <w:tc>
          <w:tcPr>
            <w:tcW w:w="649" w:type="pct"/>
            <w:tcBorders>
              <w:top w:val="nil"/>
              <w:left w:val="nil"/>
              <w:bottom w:val="single" w:sz="4" w:space="0" w:color="000000"/>
              <w:right w:val="single" w:sz="4" w:space="0" w:color="000000"/>
            </w:tcBorders>
            <w:shd w:val="clear" w:color="auto" w:fill="auto"/>
            <w:vAlign w:val="center"/>
            <w:hideMark/>
          </w:tcPr>
          <w:p w14:paraId="35119E80" w14:textId="77777777" w:rsidR="00411F53" w:rsidRPr="00825203" w:rsidRDefault="00411F53" w:rsidP="00AF58DF">
            <w:pPr>
              <w:jc w:val="center"/>
              <w:rPr>
                <w:rFonts w:eastAsia="Times New Roman" w:cs="Calibri"/>
                <w:color w:val="000000"/>
                <w:sz w:val="18"/>
                <w:szCs w:val="18"/>
              </w:rPr>
            </w:pPr>
            <w:r w:rsidRPr="00825203">
              <w:rPr>
                <w:rFonts w:eastAsia="Times New Roman" w:cs="Calibri"/>
                <w:color w:val="000000"/>
                <w:sz w:val="18"/>
                <w:szCs w:val="18"/>
              </w:rPr>
              <w:t>41,16</w:t>
            </w:r>
          </w:p>
        </w:tc>
        <w:tc>
          <w:tcPr>
            <w:tcW w:w="774" w:type="pct"/>
            <w:tcBorders>
              <w:top w:val="nil"/>
              <w:left w:val="nil"/>
              <w:bottom w:val="single" w:sz="4" w:space="0" w:color="000000"/>
              <w:right w:val="single" w:sz="4" w:space="0" w:color="000000"/>
            </w:tcBorders>
            <w:shd w:val="clear" w:color="auto" w:fill="auto"/>
            <w:noWrap/>
            <w:vAlign w:val="center"/>
            <w:hideMark/>
          </w:tcPr>
          <w:p w14:paraId="7FFA6CD6" w14:textId="77777777" w:rsidR="00411F53" w:rsidRPr="00825203" w:rsidRDefault="00411F53" w:rsidP="00AF58DF">
            <w:pPr>
              <w:jc w:val="right"/>
              <w:rPr>
                <w:rFonts w:eastAsia="Times New Roman" w:cs="Calibri"/>
                <w:color w:val="000000"/>
                <w:sz w:val="18"/>
                <w:szCs w:val="18"/>
              </w:rPr>
            </w:pPr>
            <w:r w:rsidRPr="00825203">
              <w:rPr>
                <w:rFonts w:eastAsia="Times New Roman" w:cs="Calibri"/>
                <w:color w:val="000000"/>
                <w:sz w:val="18"/>
                <w:szCs w:val="18"/>
              </w:rPr>
              <w:t>21.000.000,00</w:t>
            </w:r>
          </w:p>
        </w:tc>
      </w:tr>
      <w:tr w:rsidR="00411F53" w:rsidRPr="00123846" w14:paraId="03DA3D93" w14:textId="77777777" w:rsidTr="00AF58DF">
        <w:trPr>
          <w:trHeight w:val="60"/>
        </w:trPr>
        <w:tc>
          <w:tcPr>
            <w:tcW w:w="756" w:type="pct"/>
            <w:tcBorders>
              <w:top w:val="nil"/>
              <w:left w:val="single" w:sz="4" w:space="0" w:color="000000"/>
              <w:bottom w:val="single" w:sz="4" w:space="0" w:color="000000"/>
              <w:right w:val="single" w:sz="4" w:space="0" w:color="000000"/>
            </w:tcBorders>
            <w:shd w:val="clear" w:color="auto" w:fill="auto"/>
            <w:noWrap/>
            <w:vAlign w:val="center"/>
            <w:hideMark/>
          </w:tcPr>
          <w:p w14:paraId="1D542485" w14:textId="77777777" w:rsidR="00411F53" w:rsidRPr="00123846" w:rsidRDefault="00411F53" w:rsidP="00AF58DF">
            <w:pPr>
              <w:rPr>
                <w:rFonts w:eastAsia="Times New Roman" w:cs="Calibri"/>
                <w:color w:val="000000"/>
                <w:sz w:val="18"/>
                <w:szCs w:val="18"/>
              </w:rPr>
            </w:pPr>
            <w:r w:rsidRPr="00123846">
              <w:rPr>
                <w:rFonts w:eastAsia="Times New Roman" w:cs="Calibri"/>
                <w:color w:val="000000"/>
                <w:sz w:val="18"/>
                <w:szCs w:val="18"/>
              </w:rPr>
              <w:t>M8</w:t>
            </w:r>
          </w:p>
        </w:tc>
        <w:tc>
          <w:tcPr>
            <w:tcW w:w="813" w:type="pct"/>
            <w:vMerge/>
            <w:tcBorders>
              <w:left w:val="nil"/>
              <w:right w:val="single" w:sz="4" w:space="0" w:color="000000"/>
            </w:tcBorders>
            <w:shd w:val="clear" w:color="auto" w:fill="auto"/>
            <w:vAlign w:val="center"/>
            <w:hideMark/>
          </w:tcPr>
          <w:p w14:paraId="4009D6FC" w14:textId="77777777" w:rsidR="00411F53" w:rsidRPr="00123846" w:rsidRDefault="00411F53" w:rsidP="00AF58DF">
            <w:pPr>
              <w:rPr>
                <w:rFonts w:eastAsia="Times New Roman" w:cs="Calibri"/>
                <w:color w:val="000000"/>
                <w:sz w:val="18"/>
                <w:szCs w:val="18"/>
              </w:rPr>
            </w:pPr>
          </w:p>
        </w:tc>
        <w:tc>
          <w:tcPr>
            <w:tcW w:w="730" w:type="pct"/>
            <w:tcBorders>
              <w:top w:val="nil"/>
              <w:left w:val="nil"/>
              <w:bottom w:val="single" w:sz="4" w:space="0" w:color="000000"/>
              <w:right w:val="single" w:sz="4" w:space="0" w:color="000000"/>
            </w:tcBorders>
            <w:shd w:val="clear" w:color="auto" w:fill="auto"/>
            <w:vAlign w:val="center"/>
            <w:hideMark/>
          </w:tcPr>
          <w:p w14:paraId="54896520"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7.446.216,89</w:t>
            </w:r>
          </w:p>
        </w:tc>
        <w:tc>
          <w:tcPr>
            <w:tcW w:w="649" w:type="pct"/>
            <w:tcBorders>
              <w:top w:val="nil"/>
              <w:left w:val="nil"/>
              <w:bottom w:val="single" w:sz="4" w:space="0" w:color="000000"/>
              <w:right w:val="single" w:sz="4" w:space="0" w:color="000000"/>
            </w:tcBorders>
            <w:shd w:val="clear" w:color="auto" w:fill="auto"/>
            <w:vAlign w:val="center"/>
            <w:hideMark/>
          </w:tcPr>
          <w:p w14:paraId="35F965D3" w14:textId="77777777" w:rsidR="00411F53" w:rsidRPr="00123846" w:rsidRDefault="00411F53" w:rsidP="00AF58DF">
            <w:pPr>
              <w:jc w:val="center"/>
              <w:rPr>
                <w:rFonts w:eastAsia="Times New Roman" w:cs="Calibri"/>
                <w:color w:val="000000"/>
                <w:sz w:val="18"/>
                <w:szCs w:val="18"/>
              </w:rPr>
            </w:pPr>
            <w:r w:rsidRPr="00123846">
              <w:rPr>
                <w:rFonts w:eastAsia="Times New Roman" w:cs="Calibri"/>
                <w:color w:val="000000"/>
                <w:sz w:val="18"/>
                <w:szCs w:val="18"/>
              </w:rPr>
              <w:t>106,37</w:t>
            </w:r>
          </w:p>
        </w:tc>
        <w:tc>
          <w:tcPr>
            <w:tcW w:w="629" w:type="pct"/>
            <w:tcBorders>
              <w:top w:val="nil"/>
              <w:left w:val="nil"/>
              <w:bottom w:val="single" w:sz="4" w:space="0" w:color="000000"/>
              <w:right w:val="single" w:sz="4" w:space="0" w:color="000000"/>
            </w:tcBorders>
            <w:shd w:val="clear" w:color="auto" w:fill="auto"/>
            <w:vAlign w:val="center"/>
            <w:hideMark/>
          </w:tcPr>
          <w:p w14:paraId="3BC42A64"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1.772.202,89</w:t>
            </w:r>
          </w:p>
        </w:tc>
        <w:tc>
          <w:tcPr>
            <w:tcW w:w="649" w:type="pct"/>
            <w:tcBorders>
              <w:top w:val="nil"/>
              <w:left w:val="nil"/>
              <w:bottom w:val="single" w:sz="4" w:space="0" w:color="000000"/>
              <w:right w:val="single" w:sz="4" w:space="0" w:color="000000"/>
            </w:tcBorders>
            <w:shd w:val="clear" w:color="auto" w:fill="auto"/>
            <w:vAlign w:val="center"/>
            <w:hideMark/>
          </w:tcPr>
          <w:p w14:paraId="6F9B16E4" w14:textId="77777777" w:rsidR="00411F53" w:rsidRPr="00123846" w:rsidRDefault="00411F53" w:rsidP="00AF58DF">
            <w:pPr>
              <w:jc w:val="center"/>
              <w:rPr>
                <w:rFonts w:eastAsia="Times New Roman" w:cs="Calibri"/>
                <w:color w:val="000000"/>
                <w:sz w:val="18"/>
                <w:szCs w:val="18"/>
              </w:rPr>
            </w:pPr>
            <w:r w:rsidRPr="00123846">
              <w:rPr>
                <w:rFonts w:eastAsia="Times New Roman" w:cs="Calibri"/>
                <w:color w:val="000000"/>
                <w:sz w:val="18"/>
                <w:szCs w:val="18"/>
              </w:rPr>
              <w:t>25,32</w:t>
            </w:r>
          </w:p>
        </w:tc>
        <w:tc>
          <w:tcPr>
            <w:tcW w:w="774" w:type="pct"/>
            <w:tcBorders>
              <w:top w:val="nil"/>
              <w:left w:val="nil"/>
              <w:bottom w:val="single" w:sz="4" w:space="0" w:color="000000"/>
              <w:right w:val="single" w:sz="4" w:space="0" w:color="000000"/>
            </w:tcBorders>
            <w:shd w:val="clear" w:color="auto" w:fill="auto"/>
            <w:noWrap/>
            <w:vAlign w:val="center"/>
            <w:hideMark/>
          </w:tcPr>
          <w:p w14:paraId="2BCA1D7E"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7.000.000,00</w:t>
            </w:r>
          </w:p>
        </w:tc>
      </w:tr>
      <w:tr w:rsidR="00411F53" w:rsidRPr="00123846" w14:paraId="6FAD0250" w14:textId="77777777" w:rsidTr="00AF58DF">
        <w:trPr>
          <w:trHeight w:val="60"/>
        </w:trPr>
        <w:tc>
          <w:tcPr>
            <w:tcW w:w="756" w:type="pct"/>
            <w:tcBorders>
              <w:top w:val="nil"/>
              <w:left w:val="single" w:sz="4" w:space="0" w:color="000000"/>
              <w:bottom w:val="single" w:sz="4" w:space="0" w:color="000000"/>
              <w:right w:val="single" w:sz="4" w:space="0" w:color="000000"/>
            </w:tcBorders>
            <w:shd w:val="clear" w:color="auto" w:fill="auto"/>
            <w:noWrap/>
            <w:vAlign w:val="center"/>
            <w:hideMark/>
          </w:tcPr>
          <w:p w14:paraId="6678D8DD" w14:textId="77777777" w:rsidR="00411F53" w:rsidRPr="00123846" w:rsidRDefault="00411F53" w:rsidP="00AF58DF">
            <w:pPr>
              <w:rPr>
                <w:rFonts w:eastAsia="Times New Roman" w:cs="Calibri"/>
                <w:color w:val="000000"/>
                <w:sz w:val="18"/>
                <w:szCs w:val="18"/>
              </w:rPr>
            </w:pPr>
            <w:r w:rsidRPr="00123846">
              <w:rPr>
                <w:rFonts w:eastAsia="Times New Roman" w:cs="Calibri"/>
                <w:color w:val="000000"/>
                <w:sz w:val="18"/>
                <w:szCs w:val="18"/>
              </w:rPr>
              <w:t>M16</w:t>
            </w:r>
          </w:p>
        </w:tc>
        <w:tc>
          <w:tcPr>
            <w:tcW w:w="813" w:type="pct"/>
            <w:vMerge/>
            <w:tcBorders>
              <w:left w:val="nil"/>
              <w:right w:val="single" w:sz="4" w:space="0" w:color="000000"/>
            </w:tcBorders>
            <w:shd w:val="clear" w:color="auto" w:fill="auto"/>
            <w:vAlign w:val="center"/>
            <w:hideMark/>
          </w:tcPr>
          <w:p w14:paraId="4524736C" w14:textId="77777777" w:rsidR="00411F53" w:rsidRPr="00123846" w:rsidRDefault="00411F53" w:rsidP="00AF58DF">
            <w:pPr>
              <w:rPr>
                <w:rFonts w:eastAsia="Times New Roman" w:cs="Calibri"/>
                <w:color w:val="000000"/>
                <w:sz w:val="18"/>
                <w:szCs w:val="18"/>
              </w:rPr>
            </w:pPr>
          </w:p>
        </w:tc>
        <w:tc>
          <w:tcPr>
            <w:tcW w:w="730" w:type="pct"/>
            <w:tcBorders>
              <w:top w:val="nil"/>
              <w:left w:val="nil"/>
              <w:bottom w:val="single" w:sz="4" w:space="0" w:color="000000"/>
              <w:right w:val="single" w:sz="4" w:space="0" w:color="000000"/>
            </w:tcBorders>
            <w:shd w:val="clear" w:color="auto" w:fill="auto"/>
            <w:vAlign w:val="center"/>
            <w:hideMark/>
          </w:tcPr>
          <w:p w14:paraId="226CC79C"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18.499.274,18</w:t>
            </w:r>
          </w:p>
        </w:tc>
        <w:tc>
          <w:tcPr>
            <w:tcW w:w="649" w:type="pct"/>
            <w:tcBorders>
              <w:top w:val="nil"/>
              <w:left w:val="nil"/>
              <w:bottom w:val="single" w:sz="4" w:space="0" w:color="000000"/>
              <w:right w:val="single" w:sz="4" w:space="0" w:color="000000"/>
            </w:tcBorders>
            <w:shd w:val="clear" w:color="auto" w:fill="auto"/>
            <w:vAlign w:val="center"/>
            <w:hideMark/>
          </w:tcPr>
          <w:p w14:paraId="42326930" w14:textId="77777777" w:rsidR="00411F53" w:rsidRPr="00123846" w:rsidRDefault="00411F53" w:rsidP="00AF58DF">
            <w:pPr>
              <w:jc w:val="center"/>
              <w:rPr>
                <w:rFonts w:eastAsia="Times New Roman" w:cs="Calibri"/>
                <w:color w:val="000000"/>
                <w:sz w:val="18"/>
                <w:szCs w:val="18"/>
              </w:rPr>
            </w:pPr>
            <w:r w:rsidRPr="00123846">
              <w:rPr>
                <w:rFonts w:eastAsia="Times New Roman" w:cs="Calibri"/>
                <w:color w:val="000000"/>
                <w:sz w:val="18"/>
                <w:szCs w:val="18"/>
              </w:rPr>
              <w:t>106,32</w:t>
            </w:r>
          </w:p>
        </w:tc>
        <w:tc>
          <w:tcPr>
            <w:tcW w:w="629" w:type="pct"/>
            <w:tcBorders>
              <w:top w:val="nil"/>
              <w:left w:val="nil"/>
              <w:bottom w:val="single" w:sz="4" w:space="0" w:color="000000"/>
              <w:right w:val="single" w:sz="4" w:space="0" w:color="000000"/>
            </w:tcBorders>
            <w:shd w:val="clear" w:color="auto" w:fill="auto"/>
            <w:vAlign w:val="center"/>
            <w:hideMark/>
          </w:tcPr>
          <w:p w14:paraId="22FA3526"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3.182.091,71</w:t>
            </w:r>
          </w:p>
        </w:tc>
        <w:tc>
          <w:tcPr>
            <w:tcW w:w="649" w:type="pct"/>
            <w:tcBorders>
              <w:top w:val="nil"/>
              <w:left w:val="nil"/>
              <w:bottom w:val="single" w:sz="4" w:space="0" w:color="000000"/>
              <w:right w:val="single" w:sz="4" w:space="0" w:color="000000"/>
            </w:tcBorders>
            <w:shd w:val="clear" w:color="auto" w:fill="auto"/>
            <w:vAlign w:val="center"/>
            <w:hideMark/>
          </w:tcPr>
          <w:p w14:paraId="73D5BD0E" w14:textId="77777777" w:rsidR="00411F53" w:rsidRPr="00123846" w:rsidRDefault="00411F53" w:rsidP="00AF58DF">
            <w:pPr>
              <w:jc w:val="center"/>
              <w:rPr>
                <w:rFonts w:eastAsia="Times New Roman" w:cs="Calibri"/>
                <w:color w:val="000000"/>
                <w:sz w:val="18"/>
                <w:szCs w:val="18"/>
              </w:rPr>
            </w:pPr>
            <w:r w:rsidRPr="00123846">
              <w:rPr>
                <w:rFonts w:eastAsia="Times New Roman" w:cs="Calibri"/>
                <w:color w:val="000000"/>
                <w:sz w:val="18"/>
                <w:szCs w:val="18"/>
              </w:rPr>
              <w:t>18,29</w:t>
            </w:r>
          </w:p>
        </w:tc>
        <w:tc>
          <w:tcPr>
            <w:tcW w:w="774" w:type="pct"/>
            <w:tcBorders>
              <w:top w:val="nil"/>
              <w:left w:val="nil"/>
              <w:bottom w:val="single" w:sz="4" w:space="0" w:color="000000"/>
              <w:right w:val="single" w:sz="4" w:space="0" w:color="000000"/>
            </w:tcBorders>
            <w:shd w:val="clear" w:color="auto" w:fill="auto"/>
            <w:noWrap/>
            <w:vAlign w:val="center"/>
            <w:hideMark/>
          </w:tcPr>
          <w:p w14:paraId="69C2C283"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17.400.000,00</w:t>
            </w:r>
          </w:p>
        </w:tc>
      </w:tr>
      <w:tr w:rsidR="00411F53" w:rsidRPr="00123846" w14:paraId="12B7D424" w14:textId="77777777" w:rsidTr="00AF58DF">
        <w:trPr>
          <w:trHeight w:val="60"/>
        </w:trPr>
        <w:tc>
          <w:tcPr>
            <w:tcW w:w="756" w:type="pct"/>
            <w:tcBorders>
              <w:top w:val="nil"/>
              <w:left w:val="single" w:sz="4" w:space="0" w:color="000000"/>
              <w:bottom w:val="single" w:sz="4" w:space="0" w:color="000000"/>
              <w:right w:val="single" w:sz="4" w:space="0" w:color="000000"/>
            </w:tcBorders>
            <w:shd w:val="clear" w:color="auto" w:fill="auto"/>
            <w:noWrap/>
            <w:vAlign w:val="center"/>
            <w:hideMark/>
          </w:tcPr>
          <w:p w14:paraId="5B3EB863" w14:textId="77777777" w:rsidR="00411F53" w:rsidRPr="00123846" w:rsidRDefault="00411F53" w:rsidP="00AF58DF">
            <w:pPr>
              <w:rPr>
                <w:rFonts w:eastAsia="Times New Roman" w:cs="Calibri"/>
                <w:color w:val="000000"/>
                <w:sz w:val="18"/>
                <w:szCs w:val="18"/>
              </w:rPr>
            </w:pPr>
            <w:r w:rsidRPr="00123846">
              <w:rPr>
                <w:rFonts w:eastAsia="Times New Roman" w:cs="Calibri"/>
                <w:color w:val="000000"/>
                <w:sz w:val="18"/>
                <w:szCs w:val="18"/>
              </w:rPr>
              <w:t>M21</w:t>
            </w:r>
          </w:p>
        </w:tc>
        <w:tc>
          <w:tcPr>
            <w:tcW w:w="813" w:type="pct"/>
            <w:vMerge/>
            <w:tcBorders>
              <w:left w:val="nil"/>
              <w:bottom w:val="single" w:sz="4" w:space="0" w:color="000000"/>
              <w:right w:val="single" w:sz="4" w:space="0" w:color="000000"/>
            </w:tcBorders>
            <w:shd w:val="clear" w:color="auto" w:fill="auto"/>
            <w:vAlign w:val="center"/>
            <w:hideMark/>
          </w:tcPr>
          <w:p w14:paraId="10349B97" w14:textId="77777777" w:rsidR="00411F53" w:rsidRPr="00123846" w:rsidRDefault="00411F53" w:rsidP="00AF58DF">
            <w:pPr>
              <w:rPr>
                <w:rFonts w:eastAsia="Times New Roman" w:cs="Calibri"/>
                <w:color w:val="000000"/>
                <w:sz w:val="18"/>
                <w:szCs w:val="18"/>
              </w:rPr>
            </w:pPr>
          </w:p>
        </w:tc>
        <w:tc>
          <w:tcPr>
            <w:tcW w:w="730" w:type="pct"/>
            <w:tcBorders>
              <w:top w:val="nil"/>
              <w:left w:val="nil"/>
              <w:bottom w:val="single" w:sz="4" w:space="0" w:color="000000"/>
              <w:right w:val="single" w:sz="4" w:space="0" w:color="000000"/>
            </w:tcBorders>
            <w:shd w:val="clear" w:color="auto" w:fill="auto"/>
            <w:vAlign w:val="center"/>
            <w:hideMark/>
          </w:tcPr>
          <w:p w14:paraId="4D41995E"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19.919.986,32</w:t>
            </w:r>
          </w:p>
        </w:tc>
        <w:tc>
          <w:tcPr>
            <w:tcW w:w="649" w:type="pct"/>
            <w:tcBorders>
              <w:top w:val="nil"/>
              <w:left w:val="nil"/>
              <w:bottom w:val="single" w:sz="4" w:space="0" w:color="000000"/>
              <w:right w:val="single" w:sz="4" w:space="0" w:color="000000"/>
            </w:tcBorders>
            <w:shd w:val="clear" w:color="auto" w:fill="auto"/>
            <w:vAlign w:val="center"/>
            <w:hideMark/>
          </w:tcPr>
          <w:p w14:paraId="68A576C0" w14:textId="77777777" w:rsidR="00411F53" w:rsidRPr="00123846" w:rsidRDefault="00411F53" w:rsidP="00AF58DF">
            <w:pPr>
              <w:jc w:val="center"/>
              <w:rPr>
                <w:rFonts w:eastAsia="Times New Roman" w:cs="Calibri"/>
                <w:color w:val="000000"/>
                <w:sz w:val="18"/>
                <w:szCs w:val="18"/>
              </w:rPr>
            </w:pPr>
            <w:r w:rsidRPr="00123846">
              <w:rPr>
                <w:rFonts w:eastAsia="Times New Roman" w:cs="Calibri"/>
                <w:color w:val="000000"/>
                <w:sz w:val="18"/>
                <w:szCs w:val="18"/>
              </w:rPr>
              <w:t>100</w:t>
            </w:r>
          </w:p>
        </w:tc>
        <w:tc>
          <w:tcPr>
            <w:tcW w:w="629" w:type="pct"/>
            <w:tcBorders>
              <w:top w:val="nil"/>
              <w:left w:val="nil"/>
              <w:bottom w:val="single" w:sz="4" w:space="0" w:color="000000"/>
              <w:right w:val="single" w:sz="4" w:space="0" w:color="000000"/>
            </w:tcBorders>
            <w:shd w:val="clear" w:color="auto" w:fill="F8943F" w:themeFill="accent6"/>
            <w:vAlign w:val="center"/>
            <w:hideMark/>
          </w:tcPr>
          <w:p w14:paraId="2EC98828"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19.153.838,84</w:t>
            </w:r>
          </w:p>
        </w:tc>
        <w:tc>
          <w:tcPr>
            <w:tcW w:w="649" w:type="pct"/>
            <w:tcBorders>
              <w:top w:val="nil"/>
              <w:left w:val="nil"/>
              <w:bottom w:val="single" w:sz="4" w:space="0" w:color="000000"/>
              <w:right w:val="single" w:sz="4" w:space="0" w:color="000000"/>
            </w:tcBorders>
            <w:shd w:val="clear" w:color="auto" w:fill="F8943F" w:themeFill="accent6"/>
            <w:vAlign w:val="center"/>
            <w:hideMark/>
          </w:tcPr>
          <w:p w14:paraId="0479294C" w14:textId="77777777" w:rsidR="00411F53" w:rsidRPr="00123846" w:rsidRDefault="00411F53" w:rsidP="00AF58DF">
            <w:pPr>
              <w:jc w:val="center"/>
              <w:rPr>
                <w:rFonts w:eastAsia="Times New Roman" w:cs="Calibri"/>
                <w:color w:val="000000"/>
                <w:sz w:val="18"/>
                <w:szCs w:val="18"/>
              </w:rPr>
            </w:pPr>
            <w:r w:rsidRPr="00123846">
              <w:rPr>
                <w:rFonts w:eastAsia="Times New Roman" w:cs="Calibri"/>
                <w:color w:val="000000"/>
                <w:sz w:val="18"/>
                <w:szCs w:val="18"/>
              </w:rPr>
              <w:t>96,15</w:t>
            </w:r>
          </w:p>
        </w:tc>
        <w:tc>
          <w:tcPr>
            <w:tcW w:w="774" w:type="pct"/>
            <w:tcBorders>
              <w:top w:val="nil"/>
              <w:left w:val="nil"/>
              <w:bottom w:val="single" w:sz="4" w:space="0" w:color="000000"/>
              <w:right w:val="single" w:sz="4" w:space="0" w:color="000000"/>
            </w:tcBorders>
            <w:shd w:val="clear" w:color="auto" w:fill="F8943F" w:themeFill="accent6"/>
            <w:noWrap/>
            <w:vAlign w:val="center"/>
            <w:hideMark/>
          </w:tcPr>
          <w:p w14:paraId="3731F604"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19.920.000,00</w:t>
            </w:r>
          </w:p>
        </w:tc>
      </w:tr>
      <w:tr w:rsidR="00411F53" w:rsidRPr="00123846" w14:paraId="4219C8E9" w14:textId="77777777" w:rsidTr="00AF58DF">
        <w:trPr>
          <w:trHeight w:val="280"/>
        </w:trPr>
        <w:tc>
          <w:tcPr>
            <w:tcW w:w="756" w:type="pct"/>
            <w:tcBorders>
              <w:top w:val="nil"/>
              <w:left w:val="single" w:sz="4" w:space="0" w:color="000000"/>
              <w:bottom w:val="single" w:sz="4" w:space="0" w:color="000000"/>
              <w:right w:val="single" w:sz="4" w:space="0" w:color="000000"/>
            </w:tcBorders>
            <w:shd w:val="clear" w:color="auto" w:fill="auto"/>
            <w:noWrap/>
            <w:vAlign w:val="center"/>
            <w:hideMark/>
          </w:tcPr>
          <w:p w14:paraId="31523701" w14:textId="77777777" w:rsidR="00411F53" w:rsidRPr="00123846" w:rsidRDefault="00411F53" w:rsidP="00AF58DF">
            <w:pPr>
              <w:rPr>
                <w:rFonts w:eastAsia="Times New Roman" w:cs="Calibri"/>
                <w:b/>
                <w:i/>
                <w:color w:val="000000"/>
                <w:sz w:val="18"/>
                <w:szCs w:val="18"/>
              </w:rPr>
            </w:pPr>
            <w:r w:rsidRPr="00123846">
              <w:rPr>
                <w:rFonts w:eastAsia="Times New Roman" w:cs="Calibri"/>
                <w:b/>
                <w:i/>
                <w:color w:val="000000"/>
                <w:sz w:val="18"/>
                <w:szCs w:val="18"/>
              </w:rPr>
              <w:t>TOTALE</w:t>
            </w:r>
          </w:p>
        </w:tc>
        <w:tc>
          <w:tcPr>
            <w:tcW w:w="813" w:type="pct"/>
            <w:tcBorders>
              <w:top w:val="nil"/>
              <w:left w:val="nil"/>
              <w:bottom w:val="single" w:sz="4" w:space="0" w:color="000000"/>
              <w:right w:val="single" w:sz="4" w:space="0" w:color="000000"/>
            </w:tcBorders>
            <w:shd w:val="clear" w:color="auto" w:fill="auto"/>
            <w:vAlign w:val="center"/>
            <w:hideMark/>
          </w:tcPr>
          <w:p w14:paraId="3A14F79B" w14:textId="77777777" w:rsidR="00411F53" w:rsidRPr="00123846" w:rsidRDefault="00411F53" w:rsidP="00AF58DF">
            <w:pPr>
              <w:rPr>
                <w:rFonts w:eastAsia="Times New Roman" w:cs="Calibri"/>
                <w:b/>
                <w:i/>
                <w:color w:val="000000"/>
                <w:sz w:val="18"/>
                <w:szCs w:val="18"/>
              </w:rPr>
            </w:pPr>
            <w:r w:rsidRPr="00123846">
              <w:rPr>
                <w:rFonts w:eastAsia="Times New Roman" w:cs="Calibri"/>
                <w:b/>
                <w:i/>
                <w:color w:val="000000"/>
                <w:sz w:val="18"/>
                <w:szCs w:val="18"/>
              </w:rPr>
              <w:t>O1 - Spesa pubblica totale</w:t>
            </w:r>
          </w:p>
        </w:tc>
        <w:tc>
          <w:tcPr>
            <w:tcW w:w="730" w:type="pct"/>
            <w:tcBorders>
              <w:top w:val="nil"/>
              <w:left w:val="nil"/>
              <w:bottom w:val="single" w:sz="4" w:space="0" w:color="000000"/>
              <w:right w:val="single" w:sz="4" w:space="0" w:color="000000"/>
            </w:tcBorders>
            <w:shd w:val="clear" w:color="auto" w:fill="auto"/>
            <w:vAlign w:val="center"/>
            <w:hideMark/>
          </w:tcPr>
          <w:p w14:paraId="516BD1C5" w14:textId="77777777" w:rsidR="00411F53" w:rsidRPr="00123846" w:rsidRDefault="00411F53" w:rsidP="00AF58DF">
            <w:pPr>
              <w:jc w:val="right"/>
              <w:rPr>
                <w:rFonts w:eastAsia="Times New Roman" w:cs="Calibri"/>
                <w:b/>
                <w:i/>
                <w:color w:val="000000"/>
                <w:sz w:val="18"/>
                <w:szCs w:val="18"/>
              </w:rPr>
            </w:pPr>
            <w:r w:rsidRPr="00123846">
              <w:rPr>
                <w:rFonts w:eastAsia="Times New Roman" w:cs="Calibri"/>
                <w:b/>
                <w:i/>
                <w:color w:val="000000"/>
                <w:sz w:val="18"/>
                <w:szCs w:val="18"/>
              </w:rPr>
              <w:t>421.956.048,55</w:t>
            </w:r>
          </w:p>
        </w:tc>
        <w:tc>
          <w:tcPr>
            <w:tcW w:w="649" w:type="pct"/>
            <w:tcBorders>
              <w:top w:val="nil"/>
              <w:left w:val="nil"/>
              <w:bottom w:val="single" w:sz="4" w:space="0" w:color="000000"/>
              <w:right w:val="single" w:sz="4" w:space="0" w:color="000000"/>
            </w:tcBorders>
            <w:shd w:val="clear" w:color="auto" w:fill="auto"/>
            <w:vAlign w:val="center"/>
            <w:hideMark/>
          </w:tcPr>
          <w:p w14:paraId="305B51F4" w14:textId="77777777" w:rsidR="00411F53" w:rsidRPr="00123846" w:rsidRDefault="00411F53" w:rsidP="00AF58DF">
            <w:pPr>
              <w:jc w:val="center"/>
              <w:rPr>
                <w:rFonts w:eastAsia="Times New Roman" w:cs="Calibri"/>
                <w:b/>
                <w:i/>
                <w:color w:val="000000"/>
                <w:sz w:val="18"/>
                <w:szCs w:val="18"/>
              </w:rPr>
            </w:pPr>
            <w:r w:rsidRPr="00123846">
              <w:rPr>
                <w:rFonts w:eastAsia="Times New Roman" w:cs="Calibri"/>
                <w:b/>
                <w:i/>
                <w:color w:val="000000"/>
                <w:sz w:val="18"/>
                <w:szCs w:val="18"/>
              </w:rPr>
              <w:t>107,73</w:t>
            </w:r>
          </w:p>
        </w:tc>
        <w:tc>
          <w:tcPr>
            <w:tcW w:w="629" w:type="pct"/>
            <w:tcBorders>
              <w:top w:val="nil"/>
              <w:left w:val="nil"/>
              <w:bottom w:val="single" w:sz="4" w:space="0" w:color="000000"/>
              <w:right w:val="single" w:sz="4" w:space="0" w:color="000000"/>
            </w:tcBorders>
            <w:shd w:val="clear" w:color="auto" w:fill="auto"/>
            <w:vAlign w:val="center"/>
            <w:hideMark/>
          </w:tcPr>
          <w:p w14:paraId="3A63B9E2" w14:textId="77777777" w:rsidR="00411F53" w:rsidRPr="00123846" w:rsidRDefault="00411F53" w:rsidP="00AF58DF">
            <w:pPr>
              <w:jc w:val="right"/>
              <w:rPr>
                <w:rFonts w:eastAsia="Times New Roman" w:cs="Calibri"/>
                <w:b/>
                <w:i/>
                <w:color w:val="000000"/>
                <w:sz w:val="18"/>
                <w:szCs w:val="18"/>
              </w:rPr>
            </w:pPr>
            <w:r w:rsidRPr="00123846">
              <w:rPr>
                <w:rFonts w:eastAsia="Times New Roman" w:cs="Calibri"/>
                <w:b/>
                <w:i/>
                <w:color w:val="000000"/>
                <w:sz w:val="18"/>
                <w:szCs w:val="18"/>
              </w:rPr>
              <w:t>169.995.675,31</w:t>
            </w:r>
          </w:p>
        </w:tc>
        <w:tc>
          <w:tcPr>
            <w:tcW w:w="649" w:type="pct"/>
            <w:tcBorders>
              <w:top w:val="nil"/>
              <w:left w:val="nil"/>
              <w:bottom w:val="single" w:sz="4" w:space="0" w:color="000000"/>
              <w:right w:val="single" w:sz="4" w:space="0" w:color="000000"/>
            </w:tcBorders>
            <w:shd w:val="clear" w:color="auto" w:fill="auto"/>
            <w:vAlign w:val="center"/>
            <w:hideMark/>
          </w:tcPr>
          <w:p w14:paraId="1EDEEE71" w14:textId="77777777" w:rsidR="00411F53" w:rsidRPr="00123846" w:rsidRDefault="00411F53" w:rsidP="00AF58DF">
            <w:pPr>
              <w:jc w:val="center"/>
              <w:rPr>
                <w:rFonts w:eastAsia="Times New Roman" w:cs="Calibri"/>
                <w:b/>
                <w:i/>
                <w:color w:val="000000"/>
                <w:sz w:val="18"/>
                <w:szCs w:val="18"/>
              </w:rPr>
            </w:pPr>
            <w:r w:rsidRPr="00123846">
              <w:rPr>
                <w:rFonts w:eastAsia="Times New Roman" w:cs="Calibri"/>
                <w:b/>
                <w:i/>
                <w:color w:val="000000"/>
                <w:sz w:val="18"/>
                <w:szCs w:val="18"/>
              </w:rPr>
              <w:t>43,4</w:t>
            </w:r>
          </w:p>
        </w:tc>
        <w:tc>
          <w:tcPr>
            <w:tcW w:w="774" w:type="pct"/>
            <w:tcBorders>
              <w:top w:val="nil"/>
              <w:left w:val="nil"/>
              <w:bottom w:val="single" w:sz="4" w:space="0" w:color="000000"/>
              <w:right w:val="single" w:sz="4" w:space="0" w:color="000000"/>
            </w:tcBorders>
            <w:shd w:val="clear" w:color="auto" w:fill="auto"/>
            <w:vAlign w:val="center"/>
            <w:hideMark/>
          </w:tcPr>
          <w:p w14:paraId="696E28A2" w14:textId="77777777" w:rsidR="00411F53" w:rsidRPr="00123846" w:rsidRDefault="00411F53" w:rsidP="00AF58DF">
            <w:pPr>
              <w:jc w:val="right"/>
              <w:rPr>
                <w:rFonts w:eastAsia="Times New Roman" w:cs="Calibri"/>
                <w:b/>
                <w:i/>
                <w:color w:val="000000"/>
                <w:sz w:val="18"/>
                <w:szCs w:val="18"/>
              </w:rPr>
            </w:pPr>
            <w:r w:rsidRPr="00123846">
              <w:rPr>
                <w:rFonts w:eastAsia="Times New Roman" w:cs="Calibri"/>
                <w:b/>
                <w:i/>
                <w:color w:val="000000"/>
                <w:sz w:val="18"/>
                <w:szCs w:val="18"/>
              </w:rPr>
              <w:t>391.670.000,00</w:t>
            </w:r>
          </w:p>
        </w:tc>
      </w:tr>
      <w:tr w:rsidR="00411F53" w:rsidRPr="00123846" w14:paraId="6F7C73B6" w14:textId="77777777" w:rsidTr="00AF58DF">
        <w:trPr>
          <w:trHeight w:val="60"/>
        </w:trPr>
        <w:tc>
          <w:tcPr>
            <w:tcW w:w="756" w:type="pct"/>
            <w:tcBorders>
              <w:top w:val="nil"/>
              <w:left w:val="single" w:sz="4" w:space="0" w:color="000000"/>
              <w:bottom w:val="single" w:sz="4" w:space="0" w:color="000000"/>
              <w:right w:val="single" w:sz="4" w:space="0" w:color="000000"/>
            </w:tcBorders>
            <w:shd w:val="clear" w:color="auto" w:fill="auto"/>
            <w:vAlign w:val="center"/>
            <w:hideMark/>
          </w:tcPr>
          <w:p w14:paraId="723D685C" w14:textId="77777777" w:rsidR="00411F53" w:rsidRPr="00123846" w:rsidRDefault="00411F53" w:rsidP="00AF58DF">
            <w:pPr>
              <w:rPr>
                <w:rFonts w:eastAsia="Times New Roman" w:cs="Calibri"/>
                <w:color w:val="000000"/>
                <w:sz w:val="18"/>
                <w:szCs w:val="18"/>
              </w:rPr>
            </w:pPr>
            <w:r w:rsidRPr="00123846">
              <w:rPr>
                <w:rFonts w:eastAsia="Times New Roman" w:cs="Calibri"/>
                <w:color w:val="000000"/>
                <w:sz w:val="18"/>
                <w:szCs w:val="18"/>
              </w:rPr>
              <w:t>2B) Favorire l'ingresso di agricoltori adeguatamente qualificati nel settore agricolo e, in particolare, il ricambio generazionale</w:t>
            </w:r>
          </w:p>
        </w:tc>
        <w:tc>
          <w:tcPr>
            <w:tcW w:w="813" w:type="pct"/>
            <w:tcBorders>
              <w:top w:val="nil"/>
              <w:left w:val="nil"/>
              <w:bottom w:val="single" w:sz="4" w:space="0" w:color="000000"/>
              <w:right w:val="single" w:sz="4" w:space="0" w:color="000000"/>
            </w:tcBorders>
            <w:shd w:val="clear" w:color="auto" w:fill="auto"/>
            <w:vAlign w:val="center"/>
            <w:hideMark/>
          </w:tcPr>
          <w:p w14:paraId="38D989D5" w14:textId="77777777" w:rsidR="00411F53" w:rsidRPr="00123846" w:rsidRDefault="00411F53" w:rsidP="00AF58DF">
            <w:pPr>
              <w:rPr>
                <w:rFonts w:eastAsia="Times New Roman" w:cs="Calibri"/>
                <w:color w:val="000000"/>
                <w:sz w:val="18"/>
                <w:szCs w:val="18"/>
              </w:rPr>
            </w:pPr>
            <w:r w:rsidRPr="00123846">
              <w:rPr>
                <w:rFonts w:eastAsia="Times New Roman" w:cs="Calibri"/>
                <w:color w:val="000000"/>
                <w:sz w:val="18"/>
                <w:szCs w:val="18"/>
              </w:rPr>
              <w:t>T5: percentuale di aziende agricole che attuano un piano di sviluppo/investimenti per i giovani agricoltori con il sostegno del PSR</w:t>
            </w:r>
          </w:p>
        </w:tc>
        <w:tc>
          <w:tcPr>
            <w:tcW w:w="730" w:type="pct"/>
            <w:tcBorders>
              <w:top w:val="nil"/>
              <w:left w:val="nil"/>
              <w:bottom w:val="single" w:sz="4" w:space="0" w:color="000000"/>
              <w:right w:val="single" w:sz="4" w:space="0" w:color="000000"/>
            </w:tcBorders>
            <w:shd w:val="clear" w:color="auto" w:fill="auto"/>
            <w:vAlign w:val="center"/>
            <w:hideMark/>
          </w:tcPr>
          <w:p w14:paraId="0C898653" w14:textId="77777777" w:rsidR="00411F53" w:rsidRPr="00123846" w:rsidRDefault="00411F53" w:rsidP="00AF58DF">
            <w:pPr>
              <w:jc w:val="center"/>
              <w:rPr>
                <w:rFonts w:eastAsia="Times New Roman" w:cs="Calibri"/>
                <w:color w:val="000000"/>
                <w:sz w:val="18"/>
                <w:szCs w:val="18"/>
              </w:rPr>
            </w:pPr>
            <w:r w:rsidRPr="00123846">
              <w:rPr>
                <w:rFonts w:eastAsia="Times New Roman" w:cs="Calibri"/>
                <w:color w:val="000000"/>
                <w:sz w:val="18"/>
                <w:szCs w:val="18"/>
              </w:rPr>
              <w:t>2,22</w:t>
            </w:r>
          </w:p>
        </w:tc>
        <w:tc>
          <w:tcPr>
            <w:tcW w:w="649" w:type="pct"/>
            <w:tcBorders>
              <w:top w:val="nil"/>
              <w:left w:val="nil"/>
              <w:bottom w:val="single" w:sz="4" w:space="0" w:color="000000"/>
              <w:right w:val="single" w:sz="4" w:space="0" w:color="000000"/>
            </w:tcBorders>
            <w:shd w:val="clear" w:color="auto" w:fill="auto"/>
            <w:vAlign w:val="center"/>
            <w:hideMark/>
          </w:tcPr>
          <w:p w14:paraId="12F2DEBE" w14:textId="77777777" w:rsidR="00411F53" w:rsidRPr="00123846" w:rsidRDefault="00411F53" w:rsidP="00AF58DF">
            <w:pPr>
              <w:jc w:val="center"/>
              <w:rPr>
                <w:rFonts w:eastAsia="Times New Roman" w:cs="Calibri"/>
                <w:color w:val="000000"/>
                <w:sz w:val="18"/>
                <w:szCs w:val="18"/>
              </w:rPr>
            </w:pPr>
            <w:r w:rsidRPr="00123846">
              <w:rPr>
                <w:rFonts w:eastAsia="Times New Roman" w:cs="Calibri"/>
                <w:color w:val="000000"/>
                <w:sz w:val="18"/>
                <w:szCs w:val="18"/>
              </w:rPr>
              <w:t>104,43</w:t>
            </w:r>
          </w:p>
        </w:tc>
        <w:tc>
          <w:tcPr>
            <w:tcW w:w="629" w:type="pct"/>
            <w:tcBorders>
              <w:top w:val="nil"/>
              <w:left w:val="nil"/>
              <w:bottom w:val="single" w:sz="4" w:space="0" w:color="000000"/>
              <w:right w:val="single" w:sz="4" w:space="0" w:color="000000"/>
            </w:tcBorders>
            <w:shd w:val="clear" w:color="auto" w:fill="auto"/>
            <w:vAlign w:val="center"/>
            <w:hideMark/>
          </w:tcPr>
          <w:p w14:paraId="0A57E888" w14:textId="77777777" w:rsidR="00411F53" w:rsidRPr="00123846" w:rsidRDefault="00411F53" w:rsidP="00AF58DF">
            <w:pPr>
              <w:jc w:val="center"/>
              <w:rPr>
                <w:rFonts w:eastAsia="Times New Roman" w:cs="Calibri"/>
                <w:color w:val="000000"/>
                <w:sz w:val="18"/>
                <w:szCs w:val="18"/>
              </w:rPr>
            </w:pPr>
            <w:r w:rsidRPr="00661EED">
              <w:rPr>
                <w:rFonts w:eastAsia="Times New Roman" w:cs="Calibri"/>
                <w:color w:val="000000"/>
                <w:sz w:val="18"/>
                <w:szCs w:val="18"/>
              </w:rPr>
              <w:t>1,84</w:t>
            </w:r>
          </w:p>
        </w:tc>
        <w:tc>
          <w:tcPr>
            <w:tcW w:w="649" w:type="pct"/>
            <w:tcBorders>
              <w:top w:val="nil"/>
              <w:left w:val="nil"/>
              <w:bottom w:val="single" w:sz="4" w:space="0" w:color="000000"/>
              <w:right w:val="single" w:sz="4" w:space="0" w:color="000000"/>
            </w:tcBorders>
            <w:shd w:val="clear" w:color="auto" w:fill="auto"/>
            <w:vAlign w:val="center"/>
            <w:hideMark/>
          </w:tcPr>
          <w:p w14:paraId="69806426" w14:textId="77777777" w:rsidR="00411F53" w:rsidRPr="00123846" w:rsidRDefault="00411F53" w:rsidP="00AF58DF">
            <w:pPr>
              <w:jc w:val="center"/>
              <w:rPr>
                <w:rFonts w:eastAsia="Times New Roman" w:cs="Calibri"/>
                <w:color w:val="000000"/>
                <w:sz w:val="18"/>
                <w:szCs w:val="18"/>
              </w:rPr>
            </w:pPr>
            <w:r w:rsidRPr="00123846">
              <w:rPr>
                <w:rFonts w:eastAsia="Times New Roman" w:cs="Calibri"/>
                <w:color w:val="000000"/>
                <w:sz w:val="18"/>
                <w:szCs w:val="18"/>
              </w:rPr>
              <w:t>86,55</w:t>
            </w:r>
          </w:p>
        </w:tc>
        <w:tc>
          <w:tcPr>
            <w:tcW w:w="774" w:type="pct"/>
            <w:tcBorders>
              <w:top w:val="nil"/>
              <w:left w:val="nil"/>
              <w:bottom w:val="single" w:sz="4" w:space="0" w:color="000000"/>
              <w:right w:val="single" w:sz="4" w:space="0" w:color="000000"/>
            </w:tcBorders>
            <w:shd w:val="clear" w:color="auto" w:fill="auto"/>
            <w:vAlign w:val="center"/>
            <w:hideMark/>
          </w:tcPr>
          <w:p w14:paraId="7D8EEF3A" w14:textId="77777777" w:rsidR="00411F53" w:rsidRPr="00123846" w:rsidRDefault="00411F53" w:rsidP="00AF58DF">
            <w:pPr>
              <w:jc w:val="center"/>
              <w:rPr>
                <w:rFonts w:eastAsia="Times New Roman" w:cs="Calibri"/>
                <w:color w:val="000000"/>
                <w:sz w:val="18"/>
                <w:szCs w:val="18"/>
              </w:rPr>
            </w:pPr>
            <w:r w:rsidRPr="00123846">
              <w:rPr>
                <w:rFonts w:eastAsia="Times New Roman" w:cs="Calibri"/>
                <w:color w:val="000000"/>
                <w:sz w:val="18"/>
                <w:szCs w:val="18"/>
              </w:rPr>
              <w:t>2,13</w:t>
            </w:r>
          </w:p>
        </w:tc>
      </w:tr>
      <w:tr w:rsidR="00411F53" w:rsidRPr="00123846" w14:paraId="1A4CBD22" w14:textId="77777777" w:rsidTr="00AF58DF">
        <w:trPr>
          <w:trHeight w:val="60"/>
        </w:trPr>
        <w:tc>
          <w:tcPr>
            <w:tcW w:w="756" w:type="pct"/>
            <w:tcBorders>
              <w:top w:val="nil"/>
              <w:left w:val="single" w:sz="4" w:space="0" w:color="000000"/>
              <w:bottom w:val="single" w:sz="4" w:space="0" w:color="000000"/>
              <w:right w:val="single" w:sz="4" w:space="0" w:color="000000"/>
            </w:tcBorders>
            <w:shd w:val="clear" w:color="auto" w:fill="auto"/>
            <w:noWrap/>
            <w:vAlign w:val="center"/>
            <w:hideMark/>
          </w:tcPr>
          <w:p w14:paraId="146FFFD6" w14:textId="77777777" w:rsidR="00411F53" w:rsidRPr="00123846" w:rsidRDefault="00411F53" w:rsidP="00AF58DF">
            <w:pPr>
              <w:rPr>
                <w:rFonts w:eastAsia="Times New Roman" w:cs="Calibri"/>
                <w:color w:val="000000"/>
                <w:sz w:val="18"/>
                <w:szCs w:val="18"/>
              </w:rPr>
            </w:pPr>
            <w:r w:rsidRPr="00123846">
              <w:rPr>
                <w:rFonts w:eastAsia="Times New Roman" w:cs="Calibri"/>
                <w:color w:val="000000"/>
                <w:sz w:val="18"/>
                <w:szCs w:val="18"/>
              </w:rPr>
              <w:t>M1</w:t>
            </w:r>
          </w:p>
        </w:tc>
        <w:tc>
          <w:tcPr>
            <w:tcW w:w="813" w:type="pct"/>
            <w:vMerge w:val="restart"/>
            <w:tcBorders>
              <w:top w:val="nil"/>
              <w:left w:val="nil"/>
              <w:right w:val="single" w:sz="4" w:space="0" w:color="000000"/>
            </w:tcBorders>
            <w:shd w:val="clear" w:color="auto" w:fill="auto"/>
            <w:vAlign w:val="center"/>
            <w:hideMark/>
          </w:tcPr>
          <w:p w14:paraId="27B66BD1" w14:textId="77777777" w:rsidR="00411F53" w:rsidRPr="00123846" w:rsidRDefault="00411F53" w:rsidP="00AF58DF">
            <w:pPr>
              <w:rPr>
                <w:rFonts w:eastAsia="Times New Roman" w:cs="Calibri"/>
                <w:color w:val="000000"/>
                <w:sz w:val="18"/>
                <w:szCs w:val="18"/>
              </w:rPr>
            </w:pPr>
            <w:r w:rsidRPr="00123846">
              <w:rPr>
                <w:rFonts w:eastAsia="Times New Roman" w:cs="Calibri"/>
                <w:color w:val="000000"/>
                <w:sz w:val="18"/>
                <w:szCs w:val="18"/>
              </w:rPr>
              <w:t>O1 - Spesa pubblica totale</w:t>
            </w:r>
          </w:p>
        </w:tc>
        <w:tc>
          <w:tcPr>
            <w:tcW w:w="730" w:type="pct"/>
            <w:tcBorders>
              <w:top w:val="nil"/>
              <w:left w:val="nil"/>
              <w:bottom w:val="single" w:sz="4" w:space="0" w:color="000000"/>
              <w:right w:val="single" w:sz="4" w:space="0" w:color="000000"/>
            </w:tcBorders>
            <w:shd w:val="clear" w:color="auto" w:fill="auto"/>
            <w:noWrap/>
            <w:vAlign w:val="center"/>
            <w:hideMark/>
          </w:tcPr>
          <w:p w14:paraId="1C52F7CF"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0</w:t>
            </w:r>
          </w:p>
        </w:tc>
        <w:tc>
          <w:tcPr>
            <w:tcW w:w="649" w:type="pct"/>
            <w:tcBorders>
              <w:top w:val="nil"/>
              <w:left w:val="nil"/>
              <w:bottom w:val="single" w:sz="4" w:space="0" w:color="000000"/>
              <w:right w:val="single" w:sz="4" w:space="0" w:color="000000"/>
            </w:tcBorders>
            <w:shd w:val="clear" w:color="auto" w:fill="auto"/>
            <w:noWrap/>
            <w:vAlign w:val="center"/>
            <w:hideMark/>
          </w:tcPr>
          <w:p w14:paraId="35F99398"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0</w:t>
            </w:r>
          </w:p>
        </w:tc>
        <w:tc>
          <w:tcPr>
            <w:tcW w:w="629" w:type="pct"/>
            <w:tcBorders>
              <w:top w:val="nil"/>
              <w:left w:val="nil"/>
              <w:bottom w:val="single" w:sz="4" w:space="0" w:color="000000"/>
              <w:right w:val="single" w:sz="4" w:space="0" w:color="000000"/>
            </w:tcBorders>
            <w:shd w:val="clear" w:color="auto" w:fill="auto"/>
            <w:noWrap/>
            <w:vAlign w:val="center"/>
            <w:hideMark/>
          </w:tcPr>
          <w:p w14:paraId="42A00E6D"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 </w:t>
            </w:r>
          </w:p>
        </w:tc>
        <w:tc>
          <w:tcPr>
            <w:tcW w:w="649" w:type="pct"/>
            <w:tcBorders>
              <w:top w:val="nil"/>
              <w:left w:val="nil"/>
              <w:bottom w:val="single" w:sz="4" w:space="0" w:color="000000"/>
              <w:right w:val="single" w:sz="4" w:space="0" w:color="000000"/>
            </w:tcBorders>
            <w:shd w:val="clear" w:color="auto" w:fill="auto"/>
            <w:noWrap/>
            <w:vAlign w:val="center"/>
            <w:hideMark/>
          </w:tcPr>
          <w:p w14:paraId="11564E22"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 </w:t>
            </w:r>
          </w:p>
        </w:tc>
        <w:tc>
          <w:tcPr>
            <w:tcW w:w="774" w:type="pct"/>
            <w:tcBorders>
              <w:top w:val="nil"/>
              <w:left w:val="nil"/>
              <w:bottom w:val="single" w:sz="4" w:space="0" w:color="000000"/>
              <w:right w:val="single" w:sz="4" w:space="0" w:color="000000"/>
            </w:tcBorders>
            <w:shd w:val="clear" w:color="auto" w:fill="auto"/>
            <w:noWrap/>
            <w:vAlign w:val="center"/>
            <w:hideMark/>
          </w:tcPr>
          <w:p w14:paraId="37001C5C"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200.000,00</w:t>
            </w:r>
          </w:p>
        </w:tc>
      </w:tr>
      <w:tr w:rsidR="00411F53" w:rsidRPr="00123846" w14:paraId="6AB36A7C" w14:textId="77777777" w:rsidTr="00AF58DF">
        <w:trPr>
          <w:trHeight w:val="60"/>
        </w:trPr>
        <w:tc>
          <w:tcPr>
            <w:tcW w:w="756" w:type="pct"/>
            <w:tcBorders>
              <w:top w:val="nil"/>
              <w:left w:val="single" w:sz="4" w:space="0" w:color="000000"/>
              <w:bottom w:val="single" w:sz="4" w:space="0" w:color="000000"/>
              <w:right w:val="single" w:sz="4" w:space="0" w:color="000000"/>
            </w:tcBorders>
            <w:shd w:val="clear" w:color="auto" w:fill="auto"/>
            <w:noWrap/>
            <w:vAlign w:val="center"/>
            <w:hideMark/>
          </w:tcPr>
          <w:p w14:paraId="0D006E50" w14:textId="77777777" w:rsidR="00411F53" w:rsidRPr="00123846" w:rsidRDefault="00411F53" w:rsidP="00AF58DF">
            <w:pPr>
              <w:rPr>
                <w:rFonts w:eastAsia="Times New Roman" w:cs="Calibri"/>
                <w:color w:val="000000"/>
                <w:sz w:val="18"/>
                <w:szCs w:val="18"/>
              </w:rPr>
            </w:pPr>
            <w:r w:rsidRPr="00123846">
              <w:rPr>
                <w:rFonts w:eastAsia="Times New Roman" w:cs="Calibri"/>
                <w:color w:val="000000"/>
                <w:sz w:val="18"/>
                <w:szCs w:val="18"/>
              </w:rPr>
              <w:t>M2</w:t>
            </w:r>
          </w:p>
        </w:tc>
        <w:tc>
          <w:tcPr>
            <w:tcW w:w="813" w:type="pct"/>
            <w:vMerge/>
            <w:tcBorders>
              <w:left w:val="nil"/>
              <w:right w:val="single" w:sz="4" w:space="0" w:color="000000"/>
            </w:tcBorders>
            <w:shd w:val="clear" w:color="auto" w:fill="auto"/>
            <w:vAlign w:val="center"/>
            <w:hideMark/>
          </w:tcPr>
          <w:p w14:paraId="6494A5F0" w14:textId="77777777" w:rsidR="00411F53" w:rsidRPr="00123846" w:rsidRDefault="00411F53" w:rsidP="00AF58DF">
            <w:pPr>
              <w:rPr>
                <w:rFonts w:eastAsia="Times New Roman" w:cs="Calibri"/>
                <w:color w:val="000000"/>
                <w:sz w:val="18"/>
                <w:szCs w:val="18"/>
              </w:rPr>
            </w:pPr>
          </w:p>
        </w:tc>
        <w:tc>
          <w:tcPr>
            <w:tcW w:w="730" w:type="pct"/>
            <w:tcBorders>
              <w:top w:val="nil"/>
              <w:left w:val="nil"/>
              <w:bottom w:val="single" w:sz="4" w:space="0" w:color="000000"/>
              <w:right w:val="single" w:sz="4" w:space="0" w:color="000000"/>
            </w:tcBorders>
            <w:shd w:val="clear" w:color="auto" w:fill="auto"/>
            <w:noWrap/>
            <w:vAlign w:val="center"/>
            <w:hideMark/>
          </w:tcPr>
          <w:p w14:paraId="35AECED7"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0</w:t>
            </w:r>
          </w:p>
        </w:tc>
        <w:tc>
          <w:tcPr>
            <w:tcW w:w="649" w:type="pct"/>
            <w:tcBorders>
              <w:top w:val="nil"/>
              <w:left w:val="nil"/>
              <w:bottom w:val="single" w:sz="4" w:space="0" w:color="000000"/>
              <w:right w:val="single" w:sz="4" w:space="0" w:color="000000"/>
            </w:tcBorders>
            <w:shd w:val="clear" w:color="auto" w:fill="auto"/>
            <w:noWrap/>
            <w:vAlign w:val="center"/>
            <w:hideMark/>
          </w:tcPr>
          <w:p w14:paraId="0E41E21A"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0</w:t>
            </w:r>
          </w:p>
        </w:tc>
        <w:tc>
          <w:tcPr>
            <w:tcW w:w="629" w:type="pct"/>
            <w:tcBorders>
              <w:top w:val="nil"/>
              <w:left w:val="nil"/>
              <w:bottom w:val="single" w:sz="4" w:space="0" w:color="000000"/>
              <w:right w:val="single" w:sz="4" w:space="0" w:color="000000"/>
            </w:tcBorders>
            <w:shd w:val="clear" w:color="auto" w:fill="auto"/>
            <w:noWrap/>
            <w:vAlign w:val="center"/>
            <w:hideMark/>
          </w:tcPr>
          <w:p w14:paraId="108BCAAD"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 </w:t>
            </w:r>
          </w:p>
        </w:tc>
        <w:tc>
          <w:tcPr>
            <w:tcW w:w="649" w:type="pct"/>
            <w:tcBorders>
              <w:top w:val="nil"/>
              <w:left w:val="nil"/>
              <w:bottom w:val="single" w:sz="4" w:space="0" w:color="000000"/>
              <w:right w:val="single" w:sz="4" w:space="0" w:color="000000"/>
            </w:tcBorders>
            <w:shd w:val="clear" w:color="auto" w:fill="auto"/>
            <w:noWrap/>
            <w:vAlign w:val="center"/>
            <w:hideMark/>
          </w:tcPr>
          <w:p w14:paraId="5DEB1069"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 </w:t>
            </w:r>
          </w:p>
        </w:tc>
        <w:tc>
          <w:tcPr>
            <w:tcW w:w="774" w:type="pct"/>
            <w:tcBorders>
              <w:top w:val="nil"/>
              <w:left w:val="nil"/>
              <w:bottom w:val="single" w:sz="4" w:space="0" w:color="000000"/>
              <w:right w:val="single" w:sz="4" w:space="0" w:color="000000"/>
            </w:tcBorders>
            <w:shd w:val="clear" w:color="auto" w:fill="auto"/>
            <w:noWrap/>
            <w:vAlign w:val="center"/>
            <w:hideMark/>
          </w:tcPr>
          <w:p w14:paraId="1DE16383"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350.000,00</w:t>
            </w:r>
          </w:p>
        </w:tc>
      </w:tr>
      <w:tr w:rsidR="00411F53" w:rsidRPr="00123846" w14:paraId="38D430EE" w14:textId="77777777" w:rsidTr="00AF58DF">
        <w:trPr>
          <w:trHeight w:val="60"/>
        </w:trPr>
        <w:tc>
          <w:tcPr>
            <w:tcW w:w="756" w:type="pct"/>
            <w:tcBorders>
              <w:top w:val="nil"/>
              <w:left w:val="single" w:sz="4" w:space="0" w:color="000000"/>
              <w:bottom w:val="single" w:sz="4" w:space="0" w:color="000000"/>
              <w:right w:val="single" w:sz="4" w:space="0" w:color="000000"/>
            </w:tcBorders>
            <w:shd w:val="clear" w:color="auto" w:fill="auto"/>
            <w:noWrap/>
            <w:vAlign w:val="center"/>
            <w:hideMark/>
          </w:tcPr>
          <w:p w14:paraId="00090558" w14:textId="77777777" w:rsidR="00411F53" w:rsidRPr="00123846" w:rsidRDefault="00411F53" w:rsidP="00AF58DF">
            <w:pPr>
              <w:rPr>
                <w:rFonts w:eastAsia="Times New Roman" w:cs="Calibri"/>
                <w:color w:val="000000"/>
                <w:sz w:val="18"/>
                <w:szCs w:val="18"/>
              </w:rPr>
            </w:pPr>
            <w:r w:rsidRPr="00123846">
              <w:rPr>
                <w:rFonts w:eastAsia="Times New Roman" w:cs="Calibri"/>
                <w:color w:val="000000"/>
                <w:sz w:val="18"/>
                <w:szCs w:val="18"/>
              </w:rPr>
              <w:t>M6</w:t>
            </w:r>
          </w:p>
        </w:tc>
        <w:tc>
          <w:tcPr>
            <w:tcW w:w="813" w:type="pct"/>
            <w:vMerge/>
            <w:tcBorders>
              <w:left w:val="nil"/>
              <w:bottom w:val="single" w:sz="4" w:space="0" w:color="000000"/>
              <w:right w:val="single" w:sz="4" w:space="0" w:color="000000"/>
            </w:tcBorders>
            <w:shd w:val="clear" w:color="auto" w:fill="auto"/>
            <w:vAlign w:val="center"/>
            <w:hideMark/>
          </w:tcPr>
          <w:p w14:paraId="751EC2D4" w14:textId="77777777" w:rsidR="00411F53" w:rsidRPr="00123846" w:rsidRDefault="00411F53" w:rsidP="00AF58DF">
            <w:pPr>
              <w:rPr>
                <w:rFonts w:eastAsia="Times New Roman" w:cs="Calibri"/>
                <w:color w:val="000000"/>
                <w:sz w:val="18"/>
                <w:szCs w:val="18"/>
              </w:rPr>
            </w:pPr>
          </w:p>
        </w:tc>
        <w:tc>
          <w:tcPr>
            <w:tcW w:w="730" w:type="pct"/>
            <w:tcBorders>
              <w:top w:val="nil"/>
              <w:left w:val="nil"/>
              <w:bottom w:val="single" w:sz="4" w:space="0" w:color="000000"/>
              <w:right w:val="single" w:sz="4" w:space="0" w:color="000000"/>
            </w:tcBorders>
            <w:shd w:val="clear" w:color="auto" w:fill="auto"/>
            <w:vAlign w:val="center"/>
            <w:hideMark/>
          </w:tcPr>
          <w:p w14:paraId="38253242"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30.820.000,00</w:t>
            </w:r>
          </w:p>
        </w:tc>
        <w:tc>
          <w:tcPr>
            <w:tcW w:w="649" w:type="pct"/>
            <w:tcBorders>
              <w:top w:val="nil"/>
              <w:left w:val="nil"/>
              <w:bottom w:val="single" w:sz="4" w:space="0" w:color="000000"/>
              <w:right w:val="single" w:sz="4" w:space="0" w:color="000000"/>
            </w:tcBorders>
            <w:shd w:val="clear" w:color="auto" w:fill="auto"/>
            <w:noWrap/>
            <w:vAlign w:val="center"/>
            <w:hideMark/>
          </w:tcPr>
          <w:p w14:paraId="0605DD2E"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96,31</w:t>
            </w:r>
          </w:p>
        </w:tc>
        <w:tc>
          <w:tcPr>
            <w:tcW w:w="629" w:type="pct"/>
            <w:tcBorders>
              <w:top w:val="nil"/>
              <w:left w:val="nil"/>
              <w:bottom w:val="single" w:sz="4" w:space="0" w:color="000000"/>
              <w:right w:val="single" w:sz="4" w:space="0" w:color="000000"/>
            </w:tcBorders>
            <w:shd w:val="clear" w:color="auto" w:fill="auto"/>
            <w:vAlign w:val="center"/>
            <w:hideMark/>
          </w:tcPr>
          <w:p w14:paraId="2A02E0F7"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21.315.295,56</w:t>
            </w:r>
          </w:p>
        </w:tc>
        <w:tc>
          <w:tcPr>
            <w:tcW w:w="649" w:type="pct"/>
            <w:tcBorders>
              <w:top w:val="nil"/>
              <w:left w:val="nil"/>
              <w:bottom w:val="single" w:sz="4" w:space="0" w:color="000000"/>
              <w:right w:val="single" w:sz="4" w:space="0" w:color="000000"/>
            </w:tcBorders>
            <w:shd w:val="clear" w:color="auto" w:fill="auto"/>
            <w:vAlign w:val="center"/>
            <w:hideMark/>
          </w:tcPr>
          <w:p w14:paraId="4B7D207F"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66,61</w:t>
            </w:r>
          </w:p>
        </w:tc>
        <w:tc>
          <w:tcPr>
            <w:tcW w:w="774" w:type="pct"/>
            <w:tcBorders>
              <w:top w:val="nil"/>
              <w:left w:val="nil"/>
              <w:bottom w:val="single" w:sz="4" w:space="0" w:color="000000"/>
              <w:right w:val="single" w:sz="4" w:space="0" w:color="000000"/>
            </w:tcBorders>
            <w:shd w:val="clear" w:color="auto" w:fill="auto"/>
            <w:noWrap/>
            <w:vAlign w:val="center"/>
            <w:hideMark/>
          </w:tcPr>
          <w:p w14:paraId="1A548DE4" w14:textId="77777777" w:rsidR="00411F53" w:rsidRPr="00123846" w:rsidRDefault="00411F53" w:rsidP="00AF58DF">
            <w:pPr>
              <w:jc w:val="right"/>
              <w:rPr>
                <w:rFonts w:eastAsia="Times New Roman" w:cs="Calibri"/>
                <w:color w:val="000000"/>
                <w:sz w:val="18"/>
                <w:szCs w:val="18"/>
              </w:rPr>
            </w:pPr>
            <w:r w:rsidRPr="00123846">
              <w:rPr>
                <w:rFonts w:eastAsia="Times New Roman" w:cs="Calibri"/>
                <w:color w:val="000000"/>
                <w:sz w:val="18"/>
                <w:szCs w:val="18"/>
              </w:rPr>
              <w:t>32.000.000,00</w:t>
            </w:r>
          </w:p>
        </w:tc>
      </w:tr>
      <w:tr w:rsidR="00411F53" w:rsidRPr="00123846" w14:paraId="37503B56" w14:textId="77777777" w:rsidTr="00AF58DF">
        <w:trPr>
          <w:trHeight w:val="280"/>
        </w:trPr>
        <w:tc>
          <w:tcPr>
            <w:tcW w:w="756" w:type="pct"/>
            <w:tcBorders>
              <w:top w:val="nil"/>
              <w:left w:val="single" w:sz="4" w:space="0" w:color="000000"/>
              <w:bottom w:val="single" w:sz="4" w:space="0" w:color="000000"/>
              <w:right w:val="single" w:sz="4" w:space="0" w:color="000000"/>
            </w:tcBorders>
            <w:shd w:val="clear" w:color="auto" w:fill="auto"/>
            <w:noWrap/>
            <w:vAlign w:val="center"/>
            <w:hideMark/>
          </w:tcPr>
          <w:p w14:paraId="3F65F0C7" w14:textId="77777777" w:rsidR="00411F53" w:rsidRPr="00123846" w:rsidRDefault="00411F53" w:rsidP="00AF58DF">
            <w:pPr>
              <w:rPr>
                <w:rFonts w:eastAsia="Times New Roman" w:cs="Calibri"/>
                <w:b/>
                <w:i/>
                <w:color w:val="000000"/>
                <w:sz w:val="18"/>
                <w:szCs w:val="18"/>
              </w:rPr>
            </w:pPr>
            <w:r w:rsidRPr="00123846">
              <w:rPr>
                <w:rFonts w:eastAsia="Times New Roman" w:cs="Calibri"/>
                <w:b/>
                <w:i/>
                <w:color w:val="000000"/>
                <w:sz w:val="18"/>
                <w:szCs w:val="18"/>
              </w:rPr>
              <w:t>TOTALE</w:t>
            </w:r>
          </w:p>
        </w:tc>
        <w:tc>
          <w:tcPr>
            <w:tcW w:w="813" w:type="pct"/>
            <w:tcBorders>
              <w:top w:val="nil"/>
              <w:left w:val="nil"/>
              <w:bottom w:val="single" w:sz="4" w:space="0" w:color="000000"/>
              <w:right w:val="single" w:sz="4" w:space="0" w:color="000000"/>
            </w:tcBorders>
            <w:shd w:val="clear" w:color="auto" w:fill="auto"/>
            <w:vAlign w:val="center"/>
            <w:hideMark/>
          </w:tcPr>
          <w:p w14:paraId="44D2E5B9" w14:textId="77777777" w:rsidR="00411F53" w:rsidRPr="00123846" w:rsidRDefault="00411F53" w:rsidP="00AF58DF">
            <w:pPr>
              <w:rPr>
                <w:rFonts w:eastAsia="Times New Roman" w:cs="Calibri"/>
                <w:b/>
                <w:i/>
                <w:color w:val="000000"/>
                <w:sz w:val="18"/>
                <w:szCs w:val="18"/>
              </w:rPr>
            </w:pPr>
            <w:r w:rsidRPr="00123846">
              <w:rPr>
                <w:rFonts w:eastAsia="Times New Roman" w:cs="Calibri"/>
                <w:b/>
                <w:i/>
                <w:color w:val="000000"/>
                <w:sz w:val="18"/>
                <w:szCs w:val="18"/>
              </w:rPr>
              <w:t>O1 - Spesa pubblica totale</w:t>
            </w:r>
          </w:p>
        </w:tc>
        <w:tc>
          <w:tcPr>
            <w:tcW w:w="730" w:type="pct"/>
            <w:tcBorders>
              <w:top w:val="nil"/>
              <w:left w:val="nil"/>
              <w:bottom w:val="single" w:sz="4" w:space="0" w:color="000000"/>
              <w:right w:val="single" w:sz="4" w:space="0" w:color="000000"/>
            </w:tcBorders>
            <w:shd w:val="clear" w:color="auto" w:fill="auto"/>
            <w:vAlign w:val="center"/>
            <w:hideMark/>
          </w:tcPr>
          <w:p w14:paraId="69C3C578" w14:textId="77777777" w:rsidR="00411F53" w:rsidRPr="00123846" w:rsidRDefault="00411F53" w:rsidP="00AF58DF">
            <w:pPr>
              <w:jc w:val="right"/>
              <w:rPr>
                <w:rFonts w:eastAsia="Times New Roman" w:cs="Calibri"/>
                <w:b/>
                <w:i/>
                <w:color w:val="000000"/>
                <w:sz w:val="18"/>
                <w:szCs w:val="18"/>
              </w:rPr>
            </w:pPr>
            <w:r w:rsidRPr="00123846">
              <w:rPr>
                <w:rFonts w:eastAsia="Times New Roman" w:cs="Calibri"/>
                <w:b/>
                <w:i/>
                <w:color w:val="000000"/>
                <w:sz w:val="18"/>
                <w:szCs w:val="18"/>
              </w:rPr>
              <w:t>30.820.000,00</w:t>
            </w:r>
          </w:p>
        </w:tc>
        <w:tc>
          <w:tcPr>
            <w:tcW w:w="649" w:type="pct"/>
            <w:tcBorders>
              <w:top w:val="nil"/>
              <w:left w:val="nil"/>
              <w:bottom w:val="single" w:sz="4" w:space="0" w:color="000000"/>
              <w:right w:val="single" w:sz="4" w:space="0" w:color="000000"/>
            </w:tcBorders>
            <w:shd w:val="clear" w:color="auto" w:fill="auto"/>
            <w:noWrap/>
            <w:vAlign w:val="center"/>
            <w:hideMark/>
          </w:tcPr>
          <w:p w14:paraId="167B6F94" w14:textId="77777777" w:rsidR="00411F53" w:rsidRPr="00123846" w:rsidRDefault="00411F53" w:rsidP="00AF58DF">
            <w:pPr>
              <w:jc w:val="right"/>
              <w:rPr>
                <w:rFonts w:eastAsia="Times New Roman" w:cs="Calibri"/>
                <w:b/>
                <w:i/>
                <w:color w:val="000000"/>
                <w:sz w:val="18"/>
                <w:szCs w:val="18"/>
              </w:rPr>
            </w:pPr>
            <w:r w:rsidRPr="00123846">
              <w:rPr>
                <w:rFonts w:eastAsia="Times New Roman" w:cs="Calibri"/>
                <w:b/>
                <w:i/>
                <w:color w:val="000000"/>
                <w:sz w:val="18"/>
                <w:szCs w:val="18"/>
              </w:rPr>
              <w:t>94,69</w:t>
            </w:r>
          </w:p>
        </w:tc>
        <w:tc>
          <w:tcPr>
            <w:tcW w:w="629" w:type="pct"/>
            <w:tcBorders>
              <w:top w:val="nil"/>
              <w:left w:val="nil"/>
              <w:bottom w:val="single" w:sz="4" w:space="0" w:color="000000"/>
              <w:right w:val="single" w:sz="4" w:space="0" w:color="000000"/>
            </w:tcBorders>
            <w:shd w:val="clear" w:color="auto" w:fill="auto"/>
            <w:vAlign w:val="center"/>
            <w:hideMark/>
          </w:tcPr>
          <w:p w14:paraId="18743239" w14:textId="77777777" w:rsidR="00411F53" w:rsidRPr="00123846" w:rsidRDefault="00411F53" w:rsidP="00AF58DF">
            <w:pPr>
              <w:jc w:val="right"/>
              <w:rPr>
                <w:rFonts w:eastAsia="Times New Roman" w:cs="Calibri"/>
                <w:b/>
                <w:i/>
                <w:color w:val="000000"/>
                <w:sz w:val="18"/>
                <w:szCs w:val="18"/>
              </w:rPr>
            </w:pPr>
            <w:r w:rsidRPr="00123846">
              <w:rPr>
                <w:rFonts w:eastAsia="Times New Roman" w:cs="Calibri"/>
                <w:b/>
                <w:i/>
                <w:color w:val="000000"/>
                <w:sz w:val="18"/>
                <w:szCs w:val="18"/>
              </w:rPr>
              <w:t>21.315.295,56</w:t>
            </w:r>
          </w:p>
        </w:tc>
        <w:tc>
          <w:tcPr>
            <w:tcW w:w="649" w:type="pct"/>
            <w:tcBorders>
              <w:top w:val="nil"/>
              <w:left w:val="nil"/>
              <w:bottom w:val="single" w:sz="4" w:space="0" w:color="000000"/>
              <w:right w:val="single" w:sz="4" w:space="0" w:color="000000"/>
            </w:tcBorders>
            <w:shd w:val="clear" w:color="auto" w:fill="auto"/>
            <w:noWrap/>
            <w:vAlign w:val="center"/>
            <w:hideMark/>
          </w:tcPr>
          <w:p w14:paraId="3CB763B0" w14:textId="77777777" w:rsidR="00411F53" w:rsidRPr="00123846" w:rsidRDefault="00411F53" w:rsidP="00AF58DF">
            <w:pPr>
              <w:jc w:val="right"/>
              <w:rPr>
                <w:rFonts w:eastAsia="Times New Roman" w:cs="Calibri"/>
                <w:b/>
                <w:i/>
                <w:color w:val="000000"/>
                <w:sz w:val="18"/>
                <w:szCs w:val="18"/>
              </w:rPr>
            </w:pPr>
            <w:r w:rsidRPr="00123846">
              <w:rPr>
                <w:rFonts w:eastAsia="Times New Roman" w:cs="Calibri"/>
                <w:b/>
                <w:i/>
                <w:color w:val="000000"/>
                <w:sz w:val="18"/>
                <w:szCs w:val="18"/>
              </w:rPr>
              <w:t>65,48</w:t>
            </w:r>
          </w:p>
        </w:tc>
        <w:tc>
          <w:tcPr>
            <w:tcW w:w="774" w:type="pct"/>
            <w:tcBorders>
              <w:top w:val="nil"/>
              <w:left w:val="nil"/>
              <w:bottom w:val="single" w:sz="4" w:space="0" w:color="000000"/>
              <w:right w:val="single" w:sz="4" w:space="0" w:color="000000"/>
            </w:tcBorders>
            <w:shd w:val="clear" w:color="auto" w:fill="auto"/>
            <w:vAlign w:val="center"/>
            <w:hideMark/>
          </w:tcPr>
          <w:p w14:paraId="62782C81" w14:textId="77777777" w:rsidR="00411F53" w:rsidRPr="00123846" w:rsidRDefault="00411F53" w:rsidP="00AF58DF">
            <w:pPr>
              <w:jc w:val="right"/>
              <w:rPr>
                <w:rFonts w:eastAsia="Times New Roman" w:cs="Calibri"/>
                <w:b/>
                <w:i/>
                <w:color w:val="000000"/>
                <w:sz w:val="18"/>
                <w:szCs w:val="18"/>
              </w:rPr>
            </w:pPr>
            <w:r w:rsidRPr="00123846">
              <w:rPr>
                <w:rFonts w:eastAsia="Times New Roman" w:cs="Calibri"/>
                <w:b/>
                <w:i/>
                <w:color w:val="000000"/>
                <w:sz w:val="18"/>
                <w:szCs w:val="18"/>
              </w:rPr>
              <w:t>32.550.000,00</w:t>
            </w:r>
          </w:p>
        </w:tc>
      </w:tr>
    </w:tbl>
    <w:p w14:paraId="1C01305B" w14:textId="77777777" w:rsidR="00411F53" w:rsidRPr="00164FC9" w:rsidRDefault="00411F53" w:rsidP="00411F53">
      <w:pPr>
        <w:widowControl w:val="0"/>
        <w:autoSpaceDE w:val="0"/>
        <w:autoSpaceDN w:val="0"/>
        <w:adjustRightInd w:val="0"/>
        <w:rPr>
          <w:b/>
          <w:bCs/>
          <w:i/>
          <w:sz w:val="18"/>
          <w:szCs w:val="18"/>
        </w:rPr>
      </w:pPr>
      <w:r w:rsidRPr="00164FC9">
        <w:rPr>
          <w:b/>
          <w:bCs/>
          <w:i/>
          <w:sz w:val="18"/>
          <w:szCs w:val="18"/>
        </w:rPr>
        <w:t>Fonte RAA 2020</w:t>
      </w:r>
    </w:p>
    <w:p w14:paraId="74A8CBED" w14:textId="77777777" w:rsidR="00411F53" w:rsidRDefault="00411F53" w:rsidP="00411F53">
      <w:pPr>
        <w:widowControl w:val="0"/>
        <w:autoSpaceDE w:val="0"/>
        <w:autoSpaceDN w:val="0"/>
        <w:adjustRightInd w:val="0"/>
        <w:rPr>
          <w:b/>
          <w:bCs/>
          <w:i/>
          <w:szCs w:val="22"/>
        </w:rPr>
      </w:pPr>
    </w:p>
    <w:p w14:paraId="0AA43E22" w14:textId="77777777" w:rsidR="00411F53" w:rsidRDefault="00411F53" w:rsidP="00411F53">
      <w:r w:rsidRPr="00456825">
        <w:rPr>
          <w:bCs/>
          <w:szCs w:val="22"/>
        </w:rPr>
        <w:t xml:space="preserve">Per quanto riguarda nello specifico le 2 diverse FA ed i relativi indicatori di output legati alle Misure </w:t>
      </w:r>
      <w:r>
        <w:rPr>
          <w:bCs/>
          <w:szCs w:val="22"/>
        </w:rPr>
        <w:t>(in particolare l’</w:t>
      </w:r>
      <w:r w:rsidR="00B104C3">
        <w:rPr>
          <w:bCs/>
          <w:szCs w:val="22"/>
        </w:rPr>
        <w:t xml:space="preserve">indicatore di output </w:t>
      </w:r>
      <w:r>
        <w:rPr>
          <w:bCs/>
          <w:szCs w:val="22"/>
        </w:rPr>
        <w:t>O1), si può osservare come la FA 2B sia anche in questo caso più performante presentando valori superiori complessivamente al 65%.</w:t>
      </w:r>
    </w:p>
    <w:p w14:paraId="59F05BB7" w14:textId="77777777" w:rsidR="004E338B" w:rsidRDefault="004E338B" w:rsidP="00A65EDF"/>
    <w:p w14:paraId="74FB729D" w14:textId="77777777" w:rsidR="000C5F21" w:rsidRDefault="000C5F21" w:rsidP="000C5F21">
      <w:pPr>
        <w:widowControl w:val="0"/>
        <w:autoSpaceDE w:val="0"/>
        <w:autoSpaceDN w:val="0"/>
        <w:adjustRightInd w:val="0"/>
        <w:rPr>
          <w:rFonts w:eastAsia="Times New Roman"/>
          <w:bCs/>
          <w:color w:val="000000"/>
          <w:szCs w:val="22"/>
        </w:rPr>
      </w:pPr>
      <w:r w:rsidRPr="00164FC9">
        <w:rPr>
          <w:rFonts w:eastAsia="Times New Roman"/>
          <w:bCs/>
          <w:color w:val="000000"/>
          <w:szCs w:val="22"/>
        </w:rPr>
        <w:t xml:space="preserve">In merito all’avanzamento </w:t>
      </w:r>
      <w:r>
        <w:rPr>
          <w:rFonts w:eastAsia="Times New Roman"/>
          <w:bCs/>
          <w:color w:val="000000"/>
          <w:szCs w:val="22"/>
        </w:rPr>
        <w:t>della Priorità 3</w:t>
      </w:r>
      <w:r w:rsidRPr="00456825">
        <w:rPr>
          <w:rFonts w:eastAsia="Times New Roman"/>
          <w:bCs/>
          <w:color w:val="000000"/>
          <w:szCs w:val="22"/>
        </w:rPr>
        <w:t xml:space="preserve"> </w:t>
      </w:r>
      <w:r>
        <w:rPr>
          <w:rFonts w:eastAsia="Times New Roman"/>
          <w:bCs/>
          <w:color w:val="000000"/>
          <w:szCs w:val="22"/>
        </w:rPr>
        <w:t>P</w:t>
      </w:r>
      <w:r w:rsidRPr="00456825">
        <w:rPr>
          <w:rFonts w:eastAsia="Times New Roman"/>
          <w:bCs/>
          <w:i/>
          <w:color w:val="000000"/>
          <w:szCs w:val="22"/>
        </w:rPr>
        <w:t>romuovere l'organizzazione della filiera agroalimentare, compresa la trasformazione e la commercializzazione dei prodotti agricoli, il benessere degli animali e la gestione dei rischi nel settore agricolo</w:t>
      </w:r>
      <w:r>
        <w:rPr>
          <w:rFonts w:eastAsia="Times New Roman"/>
          <w:bCs/>
          <w:color w:val="000000"/>
          <w:szCs w:val="22"/>
        </w:rPr>
        <w:t>, il Programma sembra mostrare un buon risultato in merito all’indicatore target della FA 3A che presenta un valore superiore al 70%, mentre migliorabili appaiono i risultati legati all’O1: in questo caso da segnalare tuttavia le buone performance delle Misure 3 e 5.</w:t>
      </w:r>
    </w:p>
    <w:p w14:paraId="6D68E9E4" w14:textId="77777777" w:rsidR="005F0C4A" w:rsidRDefault="005F0C4A" w:rsidP="000C5F21">
      <w:pPr>
        <w:widowControl w:val="0"/>
        <w:autoSpaceDE w:val="0"/>
        <w:autoSpaceDN w:val="0"/>
        <w:adjustRightInd w:val="0"/>
        <w:rPr>
          <w:rFonts w:eastAsia="Times New Roman"/>
          <w:bCs/>
          <w:color w:val="000000"/>
          <w:szCs w:val="22"/>
        </w:rPr>
      </w:pPr>
    </w:p>
    <w:p w14:paraId="6CE1CF94" w14:textId="77777777" w:rsidR="005F0C4A" w:rsidRDefault="005F0C4A" w:rsidP="000C5F21">
      <w:pPr>
        <w:widowControl w:val="0"/>
        <w:autoSpaceDE w:val="0"/>
        <w:autoSpaceDN w:val="0"/>
        <w:adjustRightInd w:val="0"/>
        <w:rPr>
          <w:rFonts w:eastAsia="Times New Roman"/>
          <w:bCs/>
          <w:color w:val="000000"/>
          <w:szCs w:val="22"/>
        </w:rPr>
      </w:pPr>
    </w:p>
    <w:p w14:paraId="2DE5556E" w14:textId="77777777" w:rsidR="005F0C4A" w:rsidRDefault="005F0C4A" w:rsidP="000C5F21">
      <w:pPr>
        <w:widowControl w:val="0"/>
        <w:autoSpaceDE w:val="0"/>
        <w:autoSpaceDN w:val="0"/>
        <w:adjustRightInd w:val="0"/>
        <w:rPr>
          <w:rFonts w:eastAsia="Times New Roman"/>
          <w:bCs/>
          <w:color w:val="000000"/>
          <w:szCs w:val="22"/>
        </w:rPr>
      </w:pPr>
    </w:p>
    <w:p w14:paraId="520B2FC2" w14:textId="77777777" w:rsidR="005F0C4A" w:rsidRPr="00456825" w:rsidRDefault="005F0C4A" w:rsidP="000C5F21">
      <w:pPr>
        <w:widowControl w:val="0"/>
        <w:autoSpaceDE w:val="0"/>
        <w:autoSpaceDN w:val="0"/>
        <w:adjustRightInd w:val="0"/>
        <w:rPr>
          <w:rFonts w:eastAsia="Times New Roman"/>
          <w:bCs/>
          <w:color w:val="000000"/>
          <w:szCs w:val="22"/>
        </w:rPr>
      </w:pPr>
    </w:p>
    <w:p w14:paraId="1233F44E" w14:textId="77777777" w:rsidR="000C5F21" w:rsidRDefault="000C5F21" w:rsidP="000C5F21">
      <w:pPr>
        <w:widowControl w:val="0"/>
        <w:autoSpaceDE w:val="0"/>
        <w:autoSpaceDN w:val="0"/>
        <w:adjustRightInd w:val="0"/>
        <w:rPr>
          <w:b/>
          <w:bCs/>
          <w:i/>
          <w:sz w:val="18"/>
          <w:szCs w:val="18"/>
        </w:rPr>
      </w:pPr>
    </w:p>
    <w:p w14:paraId="6E300B1B" w14:textId="77777777" w:rsidR="000C5F21" w:rsidRPr="00BC0A97" w:rsidRDefault="00BC0A97" w:rsidP="00BC0A97">
      <w:pPr>
        <w:pStyle w:val="Didascalia"/>
      </w:pPr>
      <w:bookmarkStart w:id="33" w:name="_Toc91081436"/>
      <w:r>
        <w:t xml:space="preserve">Tabella </w:t>
      </w:r>
      <w:r w:rsidR="004E6566">
        <w:fldChar w:fldCharType="begin"/>
      </w:r>
      <w:r>
        <w:instrText xml:space="preserve"> SEQ Tabella \* ARABIC </w:instrText>
      </w:r>
      <w:r w:rsidR="004E6566">
        <w:fldChar w:fldCharType="separate"/>
      </w:r>
      <w:r w:rsidR="00E53D6C">
        <w:rPr>
          <w:noProof/>
        </w:rPr>
        <w:t>10</w:t>
      </w:r>
      <w:r w:rsidR="004E6566">
        <w:fldChar w:fldCharType="end"/>
      </w:r>
      <w:r>
        <w:t xml:space="preserve">. </w:t>
      </w:r>
      <w:r w:rsidRPr="004F545A">
        <w:t xml:space="preserve">Indicatori target relativi alla Priorità </w:t>
      </w:r>
      <w:r>
        <w:t>3</w:t>
      </w:r>
      <w:r w:rsidRPr="004F545A">
        <w:t xml:space="preserve"> del PSR FEASR</w:t>
      </w:r>
      <w:bookmarkEnd w:id="33"/>
    </w:p>
    <w:tbl>
      <w:tblPr>
        <w:tblW w:w="5000" w:type="pct"/>
        <w:tblLayout w:type="fixed"/>
        <w:tblCellMar>
          <w:left w:w="70" w:type="dxa"/>
          <w:right w:w="70" w:type="dxa"/>
        </w:tblCellMar>
        <w:tblLook w:val="04A0" w:firstRow="1" w:lastRow="0" w:firstColumn="1" w:lastColumn="0" w:noHBand="0" w:noVBand="1"/>
      </w:tblPr>
      <w:tblGrid>
        <w:gridCol w:w="1696"/>
        <w:gridCol w:w="1700"/>
        <w:gridCol w:w="1275"/>
        <w:gridCol w:w="994"/>
        <w:gridCol w:w="1417"/>
        <w:gridCol w:w="1279"/>
        <w:gridCol w:w="1267"/>
      </w:tblGrid>
      <w:tr w:rsidR="000C5F21" w:rsidRPr="003A138C" w14:paraId="4E482DCD" w14:textId="77777777" w:rsidTr="00006E39">
        <w:trPr>
          <w:trHeight w:val="60"/>
        </w:trPr>
        <w:tc>
          <w:tcPr>
            <w:tcW w:w="881" w:type="pct"/>
            <w:tcBorders>
              <w:top w:val="single" w:sz="4" w:space="0" w:color="000000"/>
              <w:left w:val="single" w:sz="4" w:space="0" w:color="000000"/>
              <w:bottom w:val="single" w:sz="4" w:space="0" w:color="000000"/>
              <w:right w:val="single" w:sz="4" w:space="0" w:color="000000"/>
            </w:tcBorders>
            <w:shd w:val="clear" w:color="auto" w:fill="669748" w:themeFill="accent2" w:themeFillShade="BF"/>
            <w:vAlign w:val="center"/>
            <w:hideMark/>
          </w:tcPr>
          <w:p w14:paraId="4427028B" w14:textId="77777777" w:rsidR="000C5F21" w:rsidRPr="003A138C" w:rsidRDefault="000C5F21" w:rsidP="00AF58DF">
            <w:pPr>
              <w:jc w:val="center"/>
              <w:rPr>
                <w:rFonts w:eastAsia="Times New Roman" w:cs="Calibri"/>
                <w:b/>
                <w:bCs/>
                <w:color w:val="FFFFFF" w:themeColor="background1"/>
                <w:sz w:val="18"/>
                <w:szCs w:val="18"/>
              </w:rPr>
            </w:pPr>
            <w:r w:rsidRPr="003A138C">
              <w:rPr>
                <w:rFonts w:eastAsia="Times New Roman" w:cs="Calibri"/>
                <w:b/>
                <w:bCs/>
                <w:color w:val="FFFFFF" w:themeColor="background1"/>
                <w:sz w:val="18"/>
                <w:szCs w:val="18"/>
              </w:rPr>
              <w:t>Focus Area/Misura</w:t>
            </w:r>
          </w:p>
        </w:tc>
        <w:tc>
          <w:tcPr>
            <w:tcW w:w="883" w:type="pct"/>
            <w:tcBorders>
              <w:top w:val="single" w:sz="4" w:space="0" w:color="000000"/>
              <w:left w:val="single" w:sz="4" w:space="0" w:color="000000"/>
              <w:bottom w:val="single" w:sz="4" w:space="0" w:color="000000"/>
              <w:right w:val="single" w:sz="4" w:space="0" w:color="000000"/>
            </w:tcBorders>
            <w:shd w:val="clear" w:color="auto" w:fill="669748" w:themeFill="accent2" w:themeFillShade="BF"/>
            <w:vAlign w:val="center"/>
          </w:tcPr>
          <w:p w14:paraId="27997287" w14:textId="77777777" w:rsidR="000C5F21" w:rsidRPr="003A138C" w:rsidRDefault="000C5F21" w:rsidP="00AF58DF">
            <w:pPr>
              <w:jc w:val="center"/>
              <w:rPr>
                <w:rFonts w:eastAsia="Times New Roman" w:cs="Calibri"/>
                <w:b/>
                <w:bCs/>
                <w:color w:val="FFFFFF" w:themeColor="background1"/>
                <w:sz w:val="18"/>
                <w:szCs w:val="18"/>
              </w:rPr>
            </w:pPr>
            <w:r w:rsidRPr="003A138C">
              <w:rPr>
                <w:rFonts w:eastAsia="Times New Roman" w:cs="Calibri"/>
                <w:b/>
                <w:bCs/>
                <w:color w:val="FFFFFF" w:themeColor="background1"/>
                <w:sz w:val="18"/>
                <w:szCs w:val="18"/>
              </w:rPr>
              <w:t>Indicatori</w:t>
            </w:r>
          </w:p>
        </w:tc>
        <w:tc>
          <w:tcPr>
            <w:tcW w:w="662"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44CB6B53" w14:textId="77777777" w:rsidR="000C5F21" w:rsidRPr="003A138C" w:rsidRDefault="000C5F21" w:rsidP="00AF58DF">
            <w:pPr>
              <w:jc w:val="center"/>
              <w:rPr>
                <w:rFonts w:eastAsia="Times New Roman" w:cs="Calibri"/>
                <w:b/>
                <w:bCs/>
                <w:color w:val="FFFFFF" w:themeColor="background1"/>
                <w:sz w:val="18"/>
                <w:szCs w:val="18"/>
              </w:rPr>
            </w:pPr>
            <w:r w:rsidRPr="003A138C">
              <w:rPr>
                <w:rFonts w:eastAsia="Times New Roman" w:cs="Calibri"/>
                <w:b/>
                <w:bCs/>
                <w:color w:val="FFFFFF" w:themeColor="background1"/>
                <w:sz w:val="18"/>
                <w:szCs w:val="18"/>
              </w:rPr>
              <w:t>In base all'approvato</w:t>
            </w:r>
          </w:p>
        </w:tc>
        <w:tc>
          <w:tcPr>
            <w:tcW w:w="516"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4AE13787" w14:textId="77777777" w:rsidR="000C5F21" w:rsidRPr="003A138C" w:rsidRDefault="000C5F21" w:rsidP="00AF58DF">
            <w:pPr>
              <w:jc w:val="center"/>
              <w:rPr>
                <w:rFonts w:eastAsia="Times New Roman" w:cs="Calibri"/>
                <w:b/>
                <w:bCs/>
                <w:color w:val="FFFFFF" w:themeColor="background1"/>
                <w:sz w:val="18"/>
                <w:szCs w:val="18"/>
              </w:rPr>
            </w:pPr>
            <w:r w:rsidRPr="003A138C">
              <w:rPr>
                <w:rFonts w:eastAsia="Times New Roman" w:cs="Calibri"/>
                <w:b/>
                <w:bCs/>
                <w:color w:val="FFFFFF" w:themeColor="background1"/>
                <w:sz w:val="18"/>
                <w:szCs w:val="18"/>
              </w:rPr>
              <w:t>Utilizzazione (%)</w:t>
            </w:r>
          </w:p>
        </w:tc>
        <w:tc>
          <w:tcPr>
            <w:tcW w:w="736"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3D1C10DB" w14:textId="77777777" w:rsidR="000C5F21" w:rsidRPr="003A138C" w:rsidRDefault="000C5F21" w:rsidP="00AF58DF">
            <w:pPr>
              <w:jc w:val="center"/>
              <w:rPr>
                <w:rFonts w:eastAsia="Times New Roman" w:cs="Calibri"/>
                <w:b/>
                <w:bCs/>
                <w:color w:val="FFFFFF" w:themeColor="background1"/>
                <w:sz w:val="18"/>
                <w:szCs w:val="18"/>
              </w:rPr>
            </w:pPr>
            <w:r w:rsidRPr="003A138C">
              <w:rPr>
                <w:rFonts w:eastAsia="Times New Roman" w:cs="Calibri"/>
                <w:b/>
                <w:bCs/>
                <w:color w:val="FFFFFF" w:themeColor="background1"/>
                <w:sz w:val="18"/>
                <w:szCs w:val="18"/>
              </w:rPr>
              <w:t>Realizzato</w:t>
            </w:r>
          </w:p>
        </w:tc>
        <w:tc>
          <w:tcPr>
            <w:tcW w:w="664"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78BF8117" w14:textId="77777777" w:rsidR="000C5F21" w:rsidRPr="003A138C" w:rsidRDefault="000C5F21" w:rsidP="00AF58DF">
            <w:pPr>
              <w:jc w:val="center"/>
              <w:rPr>
                <w:rFonts w:eastAsia="Times New Roman" w:cs="Calibri"/>
                <w:b/>
                <w:bCs/>
                <w:color w:val="FFFFFF" w:themeColor="background1"/>
                <w:sz w:val="18"/>
                <w:szCs w:val="18"/>
              </w:rPr>
            </w:pPr>
            <w:r w:rsidRPr="003A138C">
              <w:rPr>
                <w:rFonts w:eastAsia="Times New Roman" w:cs="Calibri"/>
                <w:b/>
                <w:bCs/>
                <w:color w:val="FFFFFF" w:themeColor="background1"/>
                <w:sz w:val="18"/>
                <w:szCs w:val="18"/>
              </w:rPr>
              <w:t>Utilizzazione %</w:t>
            </w:r>
          </w:p>
        </w:tc>
        <w:tc>
          <w:tcPr>
            <w:tcW w:w="658"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65C83FE5" w14:textId="77777777" w:rsidR="000C5F21" w:rsidRPr="003A138C" w:rsidRDefault="000C5F21" w:rsidP="00AF58DF">
            <w:pPr>
              <w:jc w:val="center"/>
              <w:rPr>
                <w:rFonts w:eastAsia="Times New Roman" w:cs="Calibri"/>
                <w:b/>
                <w:bCs/>
                <w:color w:val="FFFFFF" w:themeColor="background1"/>
                <w:sz w:val="18"/>
                <w:szCs w:val="18"/>
              </w:rPr>
            </w:pPr>
            <w:r w:rsidRPr="003A138C">
              <w:rPr>
                <w:rFonts w:eastAsia="Times New Roman" w:cs="Calibri"/>
                <w:b/>
                <w:bCs/>
                <w:color w:val="FFFFFF" w:themeColor="background1"/>
                <w:sz w:val="18"/>
                <w:szCs w:val="18"/>
              </w:rPr>
              <w:t>Target Finale 2023</w:t>
            </w:r>
          </w:p>
        </w:tc>
      </w:tr>
      <w:tr w:rsidR="000C5F21" w:rsidRPr="003A138C" w14:paraId="27D6F1BD" w14:textId="77777777" w:rsidTr="00006E39">
        <w:trPr>
          <w:trHeight w:val="3030"/>
        </w:trPr>
        <w:tc>
          <w:tcPr>
            <w:tcW w:w="881" w:type="pct"/>
            <w:tcBorders>
              <w:top w:val="nil"/>
              <w:left w:val="single" w:sz="4" w:space="0" w:color="000000"/>
              <w:bottom w:val="single" w:sz="4" w:space="0" w:color="000000"/>
              <w:right w:val="single" w:sz="4" w:space="0" w:color="000000"/>
            </w:tcBorders>
            <w:shd w:val="clear" w:color="auto" w:fill="auto"/>
            <w:noWrap/>
            <w:vAlign w:val="center"/>
            <w:hideMark/>
          </w:tcPr>
          <w:p w14:paraId="4211E3BE" w14:textId="77777777" w:rsidR="000C5F21" w:rsidRPr="003A138C" w:rsidRDefault="000C5F21" w:rsidP="00AF58DF">
            <w:pPr>
              <w:rPr>
                <w:rFonts w:eastAsia="Times New Roman" w:cs="Calibri"/>
                <w:color w:val="000000"/>
                <w:sz w:val="18"/>
                <w:szCs w:val="18"/>
              </w:rPr>
            </w:pPr>
            <w:r w:rsidRPr="003A138C">
              <w:rPr>
                <w:rFonts w:eastAsia="Times New Roman" w:cs="Calibri"/>
                <w:color w:val="000000"/>
                <w:sz w:val="18"/>
                <w:szCs w:val="18"/>
              </w:rPr>
              <w:t>3A) Migliorare la competitività dei produttori primari integrandoli meglio nella filiera agroalimentare attraverso i regimi di qualità, la creazione di un valore aggiunto per i prodotti agricoli, la promozione dei prodotti nei mercati locali, le filiere corte, le associazioni e organizzazioni di produttori e le organizzazioni interprofessionali</w:t>
            </w:r>
          </w:p>
        </w:tc>
        <w:tc>
          <w:tcPr>
            <w:tcW w:w="883" w:type="pct"/>
            <w:tcBorders>
              <w:top w:val="nil"/>
              <w:left w:val="nil"/>
              <w:bottom w:val="single" w:sz="4" w:space="0" w:color="000000"/>
              <w:right w:val="single" w:sz="4" w:space="0" w:color="000000"/>
            </w:tcBorders>
            <w:shd w:val="clear" w:color="auto" w:fill="auto"/>
            <w:vAlign w:val="center"/>
            <w:hideMark/>
          </w:tcPr>
          <w:p w14:paraId="435ADACC" w14:textId="77777777" w:rsidR="000C5F21" w:rsidRPr="003A138C" w:rsidRDefault="000C5F21" w:rsidP="00AF58DF">
            <w:pPr>
              <w:rPr>
                <w:rFonts w:eastAsia="Times New Roman" w:cs="Calibri"/>
                <w:color w:val="000000"/>
                <w:sz w:val="18"/>
                <w:szCs w:val="18"/>
              </w:rPr>
            </w:pPr>
            <w:r w:rsidRPr="003A138C">
              <w:rPr>
                <w:rFonts w:eastAsia="Times New Roman" w:cs="Calibri"/>
                <w:color w:val="000000"/>
                <w:sz w:val="18"/>
                <w:szCs w:val="18"/>
              </w:rPr>
              <w:t>T6: percentuale di aziende agricole che ricevono un sostegno per la partecipazione a regimi di qualità, mercati locali e filiere corte, nonché ad associazioni/organizzazioni di produttori</w:t>
            </w:r>
          </w:p>
        </w:tc>
        <w:tc>
          <w:tcPr>
            <w:tcW w:w="662" w:type="pct"/>
            <w:tcBorders>
              <w:top w:val="nil"/>
              <w:left w:val="nil"/>
              <w:bottom w:val="single" w:sz="4" w:space="0" w:color="000000"/>
              <w:right w:val="single" w:sz="4" w:space="0" w:color="000000"/>
            </w:tcBorders>
            <w:shd w:val="clear" w:color="auto" w:fill="auto"/>
            <w:noWrap/>
            <w:vAlign w:val="center"/>
            <w:hideMark/>
          </w:tcPr>
          <w:p w14:paraId="0F8897BC" w14:textId="77777777"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1,18</w:t>
            </w:r>
          </w:p>
        </w:tc>
        <w:tc>
          <w:tcPr>
            <w:tcW w:w="516" w:type="pct"/>
            <w:tcBorders>
              <w:top w:val="nil"/>
              <w:left w:val="nil"/>
              <w:bottom w:val="single" w:sz="4" w:space="0" w:color="000000"/>
              <w:right w:val="single" w:sz="4" w:space="0" w:color="000000"/>
            </w:tcBorders>
            <w:shd w:val="clear" w:color="auto" w:fill="auto"/>
            <w:noWrap/>
            <w:vAlign w:val="center"/>
            <w:hideMark/>
          </w:tcPr>
          <w:p w14:paraId="0631AFB0" w14:textId="77777777"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173,27</w:t>
            </w:r>
          </w:p>
        </w:tc>
        <w:tc>
          <w:tcPr>
            <w:tcW w:w="736" w:type="pct"/>
            <w:tcBorders>
              <w:top w:val="nil"/>
              <w:left w:val="nil"/>
              <w:bottom w:val="single" w:sz="4" w:space="0" w:color="000000"/>
              <w:right w:val="single" w:sz="4" w:space="0" w:color="000000"/>
            </w:tcBorders>
            <w:shd w:val="clear" w:color="auto" w:fill="auto"/>
            <w:noWrap/>
            <w:vAlign w:val="center"/>
            <w:hideMark/>
          </w:tcPr>
          <w:p w14:paraId="3B2DA2BE" w14:textId="77777777"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0,48</w:t>
            </w:r>
          </w:p>
        </w:tc>
        <w:tc>
          <w:tcPr>
            <w:tcW w:w="664" w:type="pct"/>
            <w:tcBorders>
              <w:top w:val="nil"/>
              <w:left w:val="nil"/>
              <w:bottom w:val="single" w:sz="4" w:space="0" w:color="000000"/>
              <w:right w:val="single" w:sz="4" w:space="0" w:color="000000"/>
            </w:tcBorders>
            <w:shd w:val="clear" w:color="auto" w:fill="auto"/>
            <w:noWrap/>
            <w:vAlign w:val="center"/>
            <w:hideMark/>
          </w:tcPr>
          <w:p w14:paraId="60C92884" w14:textId="43E97DE6"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70,</w:t>
            </w:r>
            <w:r w:rsidR="00661EED">
              <w:rPr>
                <w:rFonts w:eastAsia="Times New Roman" w:cs="Calibri"/>
                <w:color w:val="000000"/>
                <w:sz w:val="18"/>
                <w:szCs w:val="18"/>
              </w:rPr>
              <w:t>59</w:t>
            </w:r>
          </w:p>
        </w:tc>
        <w:tc>
          <w:tcPr>
            <w:tcW w:w="658" w:type="pct"/>
            <w:tcBorders>
              <w:top w:val="nil"/>
              <w:left w:val="nil"/>
              <w:bottom w:val="single" w:sz="4" w:space="0" w:color="000000"/>
              <w:right w:val="single" w:sz="4" w:space="0" w:color="000000"/>
            </w:tcBorders>
            <w:shd w:val="clear" w:color="auto" w:fill="auto"/>
            <w:noWrap/>
            <w:vAlign w:val="center"/>
            <w:hideMark/>
          </w:tcPr>
          <w:p w14:paraId="20243376" w14:textId="77777777"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0,68</w:t>
            </w:r>
          </w:p>
        </w:tc>
      </w:tr>
      <w:tr w:rsidR="000C5F21" w:rsidRPr="003A138C" w14:paraId="09B89109" w14:textId="77777777" w:rsidTr="00006E39">
        <w:trPr>
          <w:trHeight w:val="60"/>
        </w:trPr>
        <w:tc>
          <w:tcPr>
            <w:tcW w:w="881" w:type="pct"/>
            <w:tcBorders>
              <w:top w:val="nil"/>
              <w:left w:val="single" w:sz="4" w:space="0" w:color="000000"/>
              <w:bottom w:val="single" w:sz="4" w:space="0" w:color="000000"/>
              <w:right w:val="single" w:sz="4" w:space="0" w:color="000000"/>
            </w:tcBorders>
            <w:shd w:val="clear" w:color="auto" w:fill="auto"/>
            <w:noWrap/>
            <w:vAlign w:val="center"/>
            <w:hideMark/>
          </w:tcPr>
          <w:p w14:paraId="7C049827" w14:textId="77777777" w:rsidR="000C5F21" w:rsidRPr="003A138C" w:rsidRDefault="000C5F21" w:rsidP="00AF58DF">
            <w:pPr>
              <w:rPr>
                <w:rFonts w:eastAsia="Times New Roman" w:cs="Calibri"/>
                <w:color w:val="000000"/>
                <w:sz w:val="18"/>
                <w:szCs w:val="18"/>
              </w:rPr>
            </w:pPr>
            <w:r w:rsidRPr="003A138C">
              <w:rPr>
                <w:rFonts w:eastAsia="Times New Roman" w:cs="Calibri"/>
                <w:color w:val="000000"/>
                <w:sz w:val="18"/>
                <w:szCs w:val="18"/>
              </w:rPr>
              <w:t>M1</w:t>
            </w:r>
          </w:p>
        </w:tc>
        <w:tc>
          <w:tcPr>
            <w:tcW w:w="883" w:type="pct"/>
            <w:vMerge w:val="restart"/>
            <w:tcBorders>
              <w:top w:val="nil"/>
              <w:left w:val="nil"/>
              <w:right w:val="single" w:sz="4" w:space="0" w:color="000000"/>
            </w:tcBorders>
            <w:shd w:val="clear" w:color="auto" w:fill="auto"/>
            <w:vAlign w:val="center"/>
            <w:hideMark/>
          </w:tcPr>
          <w:p w14:paraId="574E0EB9" w14:textId="77777777" w:rsidR="000C5F21" w:rsidRPr="003A138C" w:rsidRDefault="000C5F21" w:rsidP="00AF58DF">
            <w:pPr>
              <w:rPr>
                <w:rFonts w:eastAsia="Times New Roman" w:cs="Calibri"/>
                <w:color w:val="000000"/>
                <w:sz w:val="18"/>
                <w:szCs w:val="18"/>
              </w:rPr>
            </w:pPr>
            <w:r w:rsidRPr="003A138C">
              <w:rPr>
                <w:rFonts w:eastAsia="Times New Roman" w:cs="Calibri"/>
                <w:color w:val="000000"/>
                <w:sz w:val="18"/>
                <w:szCs w:val="18"/>
              </w:rPr>
              <w:t>O1 - Spesa pubblica totale</w:t>
            </w:r>
          </w:p>
        </w:tc>
        <w:tc>
          <w:tcPr>
            <w:tcW w:w="662" w:type="pct"/>
            <w:tcBorders>
              <w:top w:val="nil"/>
              <w:left w:val="nil"/>
              <w:bottom w:val="single" w:sz="4" w:space="0" w:color="000000"/>
              <w:right w:val="single" w:sz="4" w:space="0" w:color="000000"/>
            </w:tcBorders>
            <w:shd w:val="clear" w:color="auto" w:fill="auto"/>
            <w:vAlign w:val="center"/>
            <w:hideMark/>
          </w:tcPr>
          <w:p w14:paraId="6897A11A" w14:textId="77777777"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274.461,23</w:t>
            </w:r>
          </w:p>
        </w:tc>
        <w:tc>
          <w:tcPr>
            <w:tcW w:w="516" w:type="pct"/>
            <w:tcBorders>
              <w:top w:val="nil"/>
              <w:left w:val="nil"/>
              <w:bottom w:val="single" w:sz="4" w:space="0" w:color="000000"/>
              <w:right w:val="single" w:sz="4" w:space="0" w:color="000000"/>
            </w:tcBorders>
            <w:shd w:val="clear" w:color="auto" w:fill="auto"/>
            <w:vAlign w:val="center"/>
            <w:hideMark/>
          </w:tcPr>
          <w:p w14:paraId="1C0C50BE" w14:textId="77777777"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21,11</w:t>
            </w:r>
          </w:p>
        </w:tc>
        <w:tc>
          <w:tcPr>
            <w:tcW w:w="736" w:type="pct"/>
            <w:tcBorders>
              <w:top w:val="nil"/>
              <w:left w:val="nil"/>
              <w:bottom w:val="single" w:sz="4" w:space="0" w:color="000000"/>
              <w:right w:val="single" w:sz="4" w:space="0" w:color="000000"/>
            </w:tcBorders>
            <w:shd w:val="clear" w:color="auto" w:fill="auto"/>
            <w:vAlign w:val="center"/>
            <w:hideMark/>
          </w:tcPr>
          <w:p w14:paraId="1F824AE3" w14:textId="77777777"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59.984,52</w:t>
            </w:r>
          </w:p>
        </w:tc>
        <w:tc>
          <w:tcPr>
            <w:tcW w:w="664" w:type="pct"/>
            <w:tcBorders>
              <w:top w:val="nil"/>
              <w:left w:val="nil"/>
              <w:bottom w:val="single" w:sz="4" w:space="0" w:color="000000"/>
              <w:right w:val="single" w:sz="4" w:space="0" w:color="000000"/>
            </w:tcBorders>
            <w:shd w:val="clear" w:color="auto" w:fill="auto"/>
            <w:vAlign w:val="center"/>
            <w:hideMark/>
          </w:tcPr>
          <w:p w14:paraId="647FB357" w14:textId="77777777"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4,61</w:t>
            </w:r>
          </w:p>
        </w:tc>
        <w:tc>
          <w:tcPr>
            <w:tcW w:w="658" w:type="pct"/>
            <w:tcBorders>
              <w:top w:val="nil"/>
              <w:left w:val="nil"/>
              <w:bottom w:val="single" w:sz="4" w:space="0" w:color="000000"/>
              <w:right w:val="single" w:sz="4" w:space="0" w:color="000000"/>
            </w:tcBorders>
            <w:shd w:val="clear" w:color="auto" w:fill="auto"/>
            <w:noWrap/>
            <w:vAlign w:val="center"/>
            <w:hideMark/>
          </w:tcPr>
          <w:p w14:paraId="120FF862" w14:textId="77777777"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1.300.000,00</w:t>
            </w:r>
          </w:p>
        </w:tc>
      </w:tr>
      <w:tr w:rsidR="000C5F21" w:rsidRPr="003A138C" w14:paraId="4B35CE82" w14:textId="77777777" w:rsidTr="00006E39">
        <w:trPr>
          <w:trHeight w:val="60"/>
        </w:trPr>
        <w:tc>
          <w:tcPr>
            <w:tcW w:w="881" w:type="pct"/>
            <w:tcBorders>
              <w:top w:val="nil"/>
              <w:left w:val="single" w:sz="4" w:space="0" w:color="000000"/>
              <w:bottom w:val="single" w:sz="4" w:space="0" w:color="000000"/>
              <w:right w:val="single" w:sz="4" w:space="0" w:color="000000"/>
            </w:tcBorders>
            <w:shd w:val="clear" w:color="auto" w:fill="auto"/>
            <w:noWrap/>
            <w:vAlign w:val="center"/>
            <w:hideMark/>
          </w:tcPr>
          <w:p w14:paraId="08A0BA0C" w14:textId="77777777" w:rsidR="000C5F21" w:rsidRPr="003A138C" w:rsidRDefault="000C5F21" w:rsidP="00AF58DF">
            <w:pPr>
              <w:rPr>
                <w:rFonts w:eastAsia="Times New Roman" w:cs="Calibri"/>
                <w:color w:val="000000"/>
                <w:sz w:val="18"/>
                <w:szCs w:val="18"/>
              </w:rPr>
            </w:pPr>
            <w:r w:rsidRPr="003A138C">
              <w:rPr>
                <w:rFonts w:eastAsia="Times New Roman" w:cs="Calibri"/>
                <w:color w:val="000000"/>
                <w:sz w:val="18"/>
                <w:szCs w:val="18"/>
              </w:rPr>
              <w:t>M2</w:t>
            </w:r>
          </w:p>
        </w:tc>
        <w:tc>
          <w:tcPr>
            <w:tcW w:w="883" w:type="pct"/>
            <w:vMerge/>
            <w:tcBorders>
              <w:left w:val="nil"/>
              <w:right w:val="single" w:sz="4" w:space="0" w:color="000000"/>
            </w:tcBorders>
            <w:shd w:val="clear" w:color="auto" w:fill="auto"/>
            <w:vAlign w:val="center"/>
            <w:hideMark/>
          </w:tcPr>
          <w:p w14:paraId="190E258B" w14:textId="77777777" w:rsidR="000C5F21" w:rsidRPr="003A138C" w:rsidRDefault="000C5F21" w:rsidP="00AF58DF">
            <w:pPr>
              <w:rPr>
                <w:rFonts w:eastAsia="Times New Roman" w:cs="Calibri"/>
                <w:color w:val="000000"/>
                <w:sz w:val="18"/>
                <w:szCs w:val="18"/>
              </w:rPr>
            </w:pPr>
          </w:p>
        </w:tc>
        <w:tc>
          <w:tcPr>
            <w:tcW w:w="662" w:type="pct"/>
            <w:tcBorders>
              <w:top w:val="nil"/>
              <w:left w:val="nil"/>
              <w:bottom w:val="single" w:sz="4" w:space="0" w:color="000000"/>
              <w:right w:val="single" w:sz="4" w:space="0" w:color="000000"/>
            </w:tcBorders>
            <w:shd w:val="clear" w:color="auto" w:fill="auto"/>
            <w:vAlign w:val="center"/>
            <w:hideMark/>
          </w:tcPr>
          <w:p w14:paraId="4EC30E67" w14:textId="77777777"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366.626,40</w:t>
            </w:r>
          </w:p>
        </w:tc>
        <w:tc>
          <w:tcPr>
            <w:tcW w:w="516" w:type="pct"/>
            <w:tcBorders>
              <w:top w:val="nil"/>
              <w:left w:val="nil"/>
              <w:bottom w:val="single" w:sz="4" w:space="0" w:color="000000"/>
              <w:right w:val="single" w:sz="4" w:space="0" w:color="000000"/>
            </w:tcBorders>
            <w:shd w:val="clear" w:color="auto" w:fill="auto"/>
            <w:noWrap/>
            <w:vAlign w:val="center"/>
            <w:hideMark/>
          </w:tcPr>
          <w:p w14:paraId="2C0C5525" w14:textId="77777777"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61,1</w:t>
            </w:r>
          </w:p>
        </w:tc>
        <w:tc>
          <w:tcPr>
            <w:tcW w:w="736" w:type="pct"/>
            <w:tcBorders>
              <w:top w:val="nil"/>
              <w:left w:val="nil"/>
              <w:bottom w:val="single" w:sz="4" w:space="0" w:color="000000"/>
              <w:right w:val="single" w:sz="4" w:space="0" w:color="000000"/>
            </w:tcBorders>
            <w:shd w:val="clear" w:color="auto" w:fill="auto"/>
            <w:noWrap/>
            <w:vAlign w:val="center"/>
            <w:hideMark/>
          </w:tcPr>
          <w:p w14:paraId="702B2A1B" w14:textId="77777777"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 </w:t>
            </w:r>
          </w:p>
        </w:tc>
        <w:tc>
          <w:tcPr>
            <w:tcW w:w="664" w:type="pct"/>
            <w:tcBorders>
              <w:top w:val="nil"/>
              <w:left w:val="nil"/>
              <w:bottom w:val="single" w:sz="4" w:space="0" w:color="000000"/>
              <w:right w:val="single" w:sz="4" w:space="0" w:color="000000"/>
            </w:tcBorders>
            <w:shd w:val="clear" w:color="auto" w:fill="auto"/>
            <w:noWrap/>
            <w:vAlign w:val="center"/>
            <w:hideMark/>
          </w:tcPr>
          <w:p w14:paraId="42FB3A74" w14:textId="77777777" w:rsidR="000C5F21" w:rsidRPr="003A138C" w:rsidRDefault="000C5F21" w:rsidP="00AF58DF">
            <w:pPr>
              <w:jc w:val="center"/>
              <w:rPr>
                <w:rFonts w:eastAsia="Times New Roman" w:cs="Calibri"/>
                <w:color w:val="000000"/>
                <w:sz w:val="18"/>
                <w:szCs w:val="18"/>
              </w:rPr>
            </w:pPr>
          </w:p>
        </w:tc>
        <w:tc>
          <w:tcPr>
            <w:tcW w:w="658" w:type="pct"/>
            <w:tcBorders>
              <w:top w:val="nil"/>
              <w:left w:val="nil"/>
              <w:bottom w:val="single" w:sz="4" w:space="0" w:color="000000"/>
              <w:right w:val="single" w:sz="4" w:space="0" w:color="000000"/>
            </w:tcBorders>
            <w:shd w:val="clear" w:color="auto" w:fill="auto"/>
            <w:noWrap/>
            <w:vAlign w:val="center"/>
            <w:hideMark/>
          </w:tcPr>
          <w:p w14:paraId="3AFE5CAB" w14:textId="77777777"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600.000,00</w:t>
            </w:r>
          </w:p>
        </w:tc>
      </w:tr>
      <w:tr w:rsidR="000C5F21" w:rsidRPr="003A138C" w14:paraId="2E819DD2" w14:textId="77777777" w:rsidTr="00006E39">
        <w:trPr>
          <w:trHeight w:val="60"/>
        </w:trPr>
        <w:tc>
          <w:tcPr>
            <w:tcW w:w="881" w:type="pct"/>
            <w:tcBorders>
              <w:top w:val="nil"/>
              <w:left w:val="single" w:sz="4" w:space="0" w:color="000000"/>
              <w:bottom w:val="single" w:sz="4" w:space="0" w:color="000000"/>
              <w:right w:val="single" w:sz="4" w:space="0" w:color="000000"/>
            </w:tcBorders>
            <w:shd w:val="clear" w:color="auto" w:fill="auto"/>
            <w:noWrap/>
            <w:vAlign w:val="center"/>
            <w:hideMark/>
          </w:tcPr>
          <w:p w14:paraId="6A402884" w14:textId="77777777" w:rsidR="000C5F21" w:rsidRPr="003A138C" w:rsidRDefault="000C5F21" w:rsidP="00AF58DF">
            <w:pPr>
              <w:rPr>
                <w:rFonts w:eastAsia="Times New Roman" w:cs="Calibri"/>
                <w:color w:val="000000"/>
                <w:sz w:val="18"/>
                <w:szCs w:val="18"/>
              </w:rPr>
            </w:pPr>
            <w:r w:rsidRPr="003A138C">
              <w:rPr>
                <w:rFonts w:eastAsia="Times New Roman" w:cs="Calibri"/>
                <w:color w:val="000000"/>
                <w:sz w:val="18"/>
                <w:szCs w:val="18"/>
              </w:rPr>
              <w:t>M3</w:t>
            </w:r>
          </w:p>
        </w:tc>
        <w:tc>
          <w:tcPr>
            <w:tcW w:w="883" w:type="pct"/>
            <w:vMerge/>
            <w:tcBorders>
              <w:left w:val="nil"/>
              <w:right w:val="single" w:sz="4" w:space="0" w:color="000000"/>
            </w:tcBorders>
            <w:shd w:val="clear" w:color="auto" w:fill="auto"/>
            <w:vAlign w:val="center"/>
            <w:hideMark/>
          </w:tcPr>
          <w:p w14:paraId="3A5F413F" w14:textId="77777777" w:rsidR="000C5F21" w:rsidRPr="003A138C" w:rsidRDefault="000C5F21" w:rsidP="00AF58DF">
            <w:pPr>
              <w:rPr>
                <w:rFonts w:eastAsia="Times New Roman" w:cs="Calibri"/>
                <w:color w:val="000000"/>
                <w:sz w:val="18"/>
                <w:szCs w:val="18"/>
              </w:rPr>
            </w:pPr>
          </w:p>
        </w:tc>
        <w:tc>
          <w:tcPr>
            <w:tcW w:w="662" w:type="pct"/>
            <w:tcBorders>
              <w:top w:val="nil"/>
              <w:left w:val="nil"/>
              <w:bottom w:val="single" w:sz="4" w:space="0" w:color="000000"/>
              <w:right w:val="single" w:sz="4" w:space="0" w:color="000000"/>
            </w:tcBorders>
            <w:shd w:val="clear" w:color="auto" w:fill="auto"/>
            <w:vAlign w:val="center"/>
            <w:hideMark/>
          </w:tcPr>
          <w:p w14:paraId="7356D9F0" w14:textId="77777777"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5.838.941,63</w:t>
            </w:r>
          </w:p>
        </w:tc>
        <w:tc>
          <w:tcPr>
            <w:tcW w:w="516" w:type="pct"/>
            <w:tcBorders>
              <w:top w:val="nil"/>
              <w:left w:val="nil"/>
              <w:bottom w:val="single" w:sz="4" w:space="0" w:color="000000"/>
              <w:right w:val="single" w:sz="4" w:space="0" w:color="000000"/>
            </w:tcBorders>
            <w:shd w:val="clear" w:color="auto" w:fill="auto"/>
            <w:noWrap/>
            <w:vAlign w:val="center"/>
            <w:hideMark/>
          </w:tcPr>
          <w:p w14:paraId="65F3B409" w14:textId="77777777"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101,55</w:t>
            </w:r>
          </w:p>
        </w:tc>
        <w:tc>
          <w:tcPr>
            <w:tcW w:w="736" w:type="pct"/>
            <w:tcBorders>
              <w:top w:val="nil"/>
              <w:left w:val="nil"/>
              <w:bottom w:val="single" w:sz="4" w:space="0" w:color="000000"/>
              <w:right w:val="single" w:sz="4" w:space="0" w:color="000000"/>
            </w:tcBorders>
            <w:shd w:val="clear" w:color="auto" w:fill="auto"/>
            <w:vAlign w:val="center"/>
            <w:hideMark/>
          </w:tcPr>
          <w:p w14:paraId="514EB42E" w14:textId="77777777"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3.221.112,16</w:t>
            </w:r>
          </w:p>
        </w:tc>
        <w:tc>
          <w:tcPr>
            <w:tcW w:w="664" w:type="pct"/>
            <w:tcBorders>
              <w:top w:val="nil"/>
              <w:left w:val="nil"/>
              <w:bottom w:val="single" w:sz="4" w:space="0" w:color="000000"/>
              <w:right w:val="single" w:sz="4" w:space="0" w:color="000000"/>
            </w:tcBorders>
            <w:shd w:val="clear" w:color="auto" w:fill="auto"/>
            <w:noWrap/>
            <w:vAlign w:val="center"/>
            <w:hideMark/>
          </w:tcPr>
          <w:p w14:paraId="53632CAA" w14:textId="77777777"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56,02</w:t>
            </w:r>
          </w:p>
        </w:tc>
        <w:tc>
          <w:tcPr>
            <w:tcW w:w="658" w:type="pct"/>
            <w:tcBorders>
              <w:top w:val="nil"/>
              <w:left w:val="nil"/>
              <w:bottom w:val="single" w:sz="4" w:space="0" w:color="000000"/>
              <w:right w:val="single" w:sz="4" w:space="0" w:color="000000"/>
            </w:tcBorders>
            <w:shd w:val="clear" w:color="auto" w:fill="auto"/>
            <w:noWrap/>
            <w:vAlign w:val="center"/>
            <w:hideMark/>
          </w:tcPr>
          <w:p w14:paraId="1EB55B70" w14:textId="77777777"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5.750.000,00</w:t>
            </w:r>
          </w:p>
        </w:tc>
      </w:tr>
      <w:tr w:rsidR="000C5F21" w:rsidRPr="003A138C" w14:paraId="24E43D93" w14:textId="77777777" w:rsidTr="00006E39">
        <w:trPr>
          <w:trHeight w:val="60"/>
        </w:trPr>
        <w:tc>
          <w:tcPr>
            <w:tcW w:w="881" w:type="pct"/>
            <w:tcBorders>
              <w:top w:val="nil"/>
              <w:left w:val="single" w:sz="4" w:space="0" w:color="000000"/>
              <w:bottom w:val="single" w:sz="4" w:space="0" w:color="000000"/>
              <w:right w:val="single" w:sz="4" w:space="0" w:color="000000"/>
            </w:tcBorders>
            <w:shd w:val="clear" w:color="auto" w:fill="auto"/>
            <w:noWrap/>
            <w:vAlign w:val="center"/>
            <w:hideMark/>
          </w:tcPr>
          <w:p w14:paraId="3D905BBA" w14:textId="77777777" w:rsidR="000C5F21" w:rsidRPr="003A138C" w:rsidRDefault="000C5F21" w:rsidP="00AF58DF">
            <w:pPr>
              <w:rPr>
                <w:rFonts w:eastAsia="Times New Roman" w:cs="Calibri"/>
                <w:color w:val="000000"/>
                <w:sz w:val="18"/>
                <w:szCs w:val="18"/>
              </w:rPr>
            </w:pPr>
            <w:r w:rsidRPr="003A138C">
              <w:rPr>
                <w:rFonts w:eastAsia="Times New Roman" w:cs="Calibri"/>
                <w:color w:val="000000"/>
                <w:sz w:val="18"/>
                <w:szCs w:val="18"/>
              </w:rPr>
              <w:t>M4</w:t>
            </w:r>
          </w:p>
        </w:tc>
        <w:tc>
          <w:tcPr>
            <w:tcW w:w="883" w:type="pct"/>
            <w:vMerge/>
            <w:tcBorders>
              <w:left w:val="nil"/>
              <w:right w:val="single" w:sz="4" w:space="0" w:color="000000"/>
            </w:tcBorders>
            <w:shd w:val="clear" w:color="auto" w:fill="auto"/>
            <w:vAlign w:val="center"/>
            <w:hideMark/>
          </w:tcPr>
          <w:p w14:paraId="661BD1A0" w14:textId="77777777" w:rsidR="000C5F21" w:rsidRPr="003A138C" w:rsidRDefault="000C5F21" w:rsidP="00AF58DF">
            <w:pPr>
              <w:rPr>
                <w:rFonts w:eastAsia="Times New Roman" w:cs="Calibri"/>
                <w:color w:val="000000"/>
                <w:sz w:val="18"/>
                <w:szCs w:val="18"/>
              </w:rPr>
            </w:pPr>
          </w:p>
        </w:tc>
        <w:tc>
          <w:tcPr>
            <w:tcW w:w="662" w:type="pct"/>
            <w:tcBorders>
              <w:top w:val="nil"/>
              <w:left w:val="nil"/>
              <w:bottom w:val="single" w:sz="4" w:space="0" w:color="000000"/>
              <w:right w:val="single" w:sz="4" w:space="0" w:color="000000"/>
            </w:tcBorders>
            <w:shd w:val="clear" w:color="auto" w:fill="auto"/>
            <w:vAlign w:val="center"/>
            <w:hideMark/>
          </w:tcPr>
          <w:p w14:paraId="5445C5E9" w14:textId="77777777"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86.521.831,38</w:t>
            </w:r>
          </w:p>
        </w:tc>
        <w:tc>
          <w:tcPr>
            <w:tcW w:w="516" w:type="pct"/>
            <w:tcBorders>
              <w:top w:val="nil"/>
              <w:left w:val="nil"/>
              <w:bottom w:val="single" w:sz="4" w:space="0" w:color="000000"/>
              <w:right w:val="single" w:sz="4" w:space="0" w:color="000000"/>
            </w:tcBorders>
            <w:shd w:val="clear" w:color="auto" w:fill="auto"/>
            <w:noWrap/>
            <w:vAlign w:val="center"/>
            <w:hideMark/>
          </w:tcPr>
          <w:p w14:paraId="13C64CDF" w14:textId="77777777"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103,62</w:t>
            </w:r>
          </w:p>
        </w:tc>
        <w:tc>
          <w:tcPr>
            <w:tcW w:w="736" w:type="pct"/>
            <w:tcBorders>
              <w:top w:val="nil"/>
              <w:left w:val="nil"/>
              <w:bottom w:val="single" w:sz="4" w:space="0" w:color="000000"/>
              <w:right w:val="single" w:sz="4" w:space="0" w:color="000000"/>
            </w:tcBorders>
            <w:shd w:val="clear" w:color="auto" w:fill="auto"/>
            <w:vAlign w:val="center"/>
            <w:hideMark/>
          </w:tcPr>
          <w:p w14:paraId="397FB698" w14:textId="49F156C2"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25.0</w:t>
            </w:r>
            <w:r w:rsidR="00661EED">
              <w:rPr>
                <w:rFonts w:eastAsia="Times New Roman" w:cs="Calibri"/>
                <w:color w:val="000000"/>
                <w:sz w:val="18"/>
                <w:szCs w:val="18"/>
              </w:rPr>
              <w:t>83</w:t>
            </w:r>
            <w:r w:rsidRPr="003A138C">
              <w:rPr>
                <w:rFonts w:eastAsia="Times New Roman" w:cs="Calibri"/>
                <w:color w:val="000000"/>
                <w:sz w:val="18"/>
                <w:szCs w:val="18"/>
              </w:rPr>
              <w:t>.</w:t>
            </w:r>
            <w:r w:rsidR="00661EED">
              <w:rPr>
                <w:rFonts w:eastAsia="Times New Roman" w:cs="Calibri"/>
                <w:color w:val="000000"/>
                <w:sz w:val="18"/>
                <w:szCs w:val="18"/>
              </w:rPr>
              <w:t>952</w:t>
            </w:r>
            <w:r w:rsidRPr="003A138C">
              <w:rPr>
                <w:rFonts w:eastAsia="Times New Roman" w:cs="Calibri"/>
                <w:color w:val="000000"/>
                <w:sz w:val="18"/>
                <w:szCs w:val="18"/>
              </w:rPr>
              <w:t>,</w:t>
            </w:r>
            <w:r w:rsidR="00661EED">
              <w:rPr>
                <w:rFonts w:eastAsia="Times New Roman" w:cs="Calibri"/>
                <w:color w:val="000000"/>
                <w:sz w:val="18"/>
                <w:szCs w:val="18"/>
              </w:rPr>
              <w:t>00</w:t>
            </w:r>
          </w:p>
        </w:tc>
        <w:tc>
          <w:tcPr>
            <w:tcW w:w="664" w:type="pct"/>
            <w:tcBorders>
              <w:top w:val="nil"/>
              <w:left w:val="nil"/>
              <w:bottom w:val="single" w:sz="4" w:space="0" w:color="000000"/>
              <w:right w:val="single" w:sz="4" w:space="0" w:color="000000"/>
            </w:tcBorders>
            <w:shd w:val="clear" w:color="auto" w:fill="auto"/>
            <w:noWrap/>
            <w:vAlign w:val="center"/>
            <w:hideMark/>
          </w:tcPr>
          <w:p w14:paraId="738CA5CE" w14:textId="19A09CB8" w:rsidR="000C5F21" w:rsidRPr="003A138C" w:rsidRDefault="00661EED" w:rsidP="00AF58DF">
            <w:pPr>
              <w:jc w:val="center"/>
              <w:rPr>
                <w:rFonts w:eastAsia="Times New Roman" w:cs="Calibri"/>
                <w:color w:val="000000"/>
                <w:sz w:val="18"/>
                <w:szCs w:val="18"/>
              </w:rPr>
            </w:pPr>
            <w:r>
              <w:rPr>
                <w:rFonts w:eastAsia="Times New Roman" w:cs="Calibri"/>
                <w:color w:val="000000"/>
                <w:sz w:val="18"/>
                <w:szCs w:val="18"/>
              </w:rPr>
              <w:t>30</w:t>
            </w:r>
            <w:r w:rsidR="000C5F21" w:rsidRPr="003A138C">
              <w:rPr>
                <w:rFonts w:eastAsia="Times New Roman" w:cs="Calibri"/>
                <w:color w:val="000000"/>
                <w:sz w:val="18"/>
                <w:szCs w:val="18"/>
              </w:rPr>
              <w:t>,</w:t>
            </w:r>
            <w:r>
              <w:rPr>
                <w:rFonts w:eastAsia="Times New Roman" w:cs="Calibri"/>
                <w:color w:val="000000"/>
                <w:sz w:val="18"/>
                <w:szCs w:val="18"/>
              </w:rPr>
              <w:t>04</w:t>
            </w:r>
          </w:p>
        </w:tc>
        <w:tc>
          <w:tcPr>
            <w:tcW w:w="658" w:type="pct"/>
            <w:tcBorders>
              <w:top w:val="nil"/>
              <w:left w:val="nil"/>
              <w:bottom w:val="single" w:sz="4" w:space="0" w:color="000000"/>
              <w:right w:val="single" w:sz="4" w:space="0" w:color="000000"/>
            </w:tcBorders>
            <w:shd w:val="clear" w:color="auto" w:fill="auto"/>
            <w:noWrap/>
            <w:vAlign w:val="center"/>
            <w:hideMark/>
          </w:tcPr>
          <w:p w14:paraId="75C1BFB3" w14:textId="77777777"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83.500.000,00</w:t>
            </w:r>
          </w:p>
        </w:tc>
      </w:tr>
      <w:tr w:rsidR="000C5F21" w:rsidRPr="003A138C" w14:paraId="6CADCAE4" w14:textId="77777777" w:rsidTr="00006E39">
        <w:trPr>
          <w:trHeight w:val="60"/>
        </w:trPr>
        <w:tc>
          <w:tcPr>
            <w:tcW w:w="881" w:type="pct"/>
            <w:tcBorders>
              <w:top w:val="nil"/>
              <w:left w:val="single" w:sz="4" w:space="0" w:color="000000"/>
              <w:bottom w:val="single" w:sz="4" w:space="0" w:color="000000"/>
              <w:right w:val="single" w:sz="4" w:space="0" w:color="000000"/>
            </w:tcBorders>
            <w:shd w:val="clear" w:color="auto" w:fill="auto"/>
            <w:noWrap/>
            <w:vAlign w:val="center"/>
            <w:hideMark/>
          </w:tcPr>
          <w:p w14:paraId="631AFA81" w14:textId="77777777" w:rsidR="000C5F21" w:rsidRPr="003A138C" w:rsidRDefault="000C5F21" w:rsidP="00AF58DF">
            <w:pPr>
              <w:rPr>
                <w:rFonts w:eastAsia="Times New Roman" w:cs="Calibri"/>
                <w:color w:val="000000"/>
                <w:sz w:val="18"/>
                <w:szCs w:val="18"/>
              </w:rPr>
            </w:pPr>
            <w:r w:rsidRPr="003A138C">
              <w:rPr>
                <w:rFonts w:eastAsia="Times New Roman" w:cs="Calibri"/>
                <w:color w:val="000000"/>
                <w:sz w:val="18"/>
                <w:szCs w:val="18"/>
              </w:rPr>
              <w:t>M16</w:t>
            </w:r>
          </w:p>
        </w:tc>
        <w:tc>
          <w:tcPr>
            <w:tcW w:w="883" w:type="pct"/>
            <w:vMerge/>
            <w:tcBorders>
              <w:left w:val="nil"/>
              <w:bottom w:val="single" w:sz="4" w:space="0" w:color="000000"/>
              <w:right w:val="single" w:sz="4" w:space="0" w:color="000000"/>
            </w:tcBorders>
            <w:shd w:val="clear" w:color="auto" w:fill="auto"/>
            <w:vAlign w:val="center"/>
            <w:hideMark/>
          </w:tcPr>
          <w:p w14:paraId="1D09195B" w14:textId="77777777" w:rsidR="000C5F21" w:rsidRPr="003A138C" w:rsidRDefault="000C5F21" w:rsidP="00AF58DF">
            <w:pPr>
              <w:rPr>
                <w:rFonts w:eastAsia="Times New Roman" w:cs="Calibri"/>
                <w:color w:val="000000"/>
                <w:sz w:val="18"/>
                <w:szCs w:val="18"/>
              </w:rPr>
            </w:pPr>
          </w:p>
        </w:tc>
        <w:tc>
          <w:tcPr>
            <w:tcW w:w="662" w:type="pct"/>
            <w:tcBorders>
              <w:top w:val="nil"/>
              <w:left w:val="nil"/>
              <w:bottom w:val="single" w:sz="4" w:space="0" w:color="000000"/>
              <w:right w:val="single" w:sz="4" w:space="0" w:color="000000"/>
            </w:tcBorders>
            <w:shd w:val="clear" w:color="auto" w:fill="auto"/>
            <w:vAlign w:val="center"/>
            <w:hideMark/>
          </w:tcPr>
          <w:p w14:paraId="011E8085" w14:textId="77777777"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3.909.229,32</w:t>
            </w:r>
          </w:p>
        </w:tc>
        <w:tc>
          <w:tcPr>
            <w:tcW w:w="516" w:type="pct"/>
            <w:tcBorders>
              <w:top w:val="nil"/>
              <w:left w:val="nil"/>
              <w:bottom w:val="single" w:sz="4" w:space="0" w:color="000000"/>
              <w:right w:val="single" w:sz="4" w:space="0" w:color="000000"/>
            </w:tcBorders>
            <w:shd w:val="clear" w:color="auto" w:fill="auto"/>
            <w:noWrap/>
            <w:vAlign w:val="center"/>
            <w:hideMark/>
          </w:tcPr>
          <w:p w14:paraId="0A35143C" w14:textId="77777777"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130,31</w:t>
            </w:r>
          </w:p>
        </w:tc>
        <w:tc>
          <w:tcPr>
            <w:tcW w:w="736" w:type="pct"/>
            <w:tcBorders>
              <w:top w:val="nil"/>
              <w:left w:val="nil"/>
              <w:bottom w:val="single" w:sz="4" w:space="0" w:color="000000"/>
              <w:right w:val="single" w:sz="4" w:space="0" w:color="000000"/>
            </w:tcBorders>
            <w:shd w:val="clear" w:color="auto" w:fill="auto"/>
            <w:vAlign w:val="center"/>
            <w:hideMark/>
          </w:tcPr>
          <w:p w14:paraId="3155F1D4" w14:textId="77777777"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170.981,97</w:t>
            </w:r>
          </w:p>
        </w:tc>
        <w:tc>
          <w:tcPr>
            <w:tcW w:w="664" w:type="pct"/>
            <w:tcBorders>
              <w:top w:val="nil"/>
              <w:left w:val="nil"/>
              <w:bottom w:val="single" w:sz="4" w:space="0" w:color="000000"/>
              <w:right w:val="single" w:sz="4" w:space="0" w:color="000000"/>
            </w:tcBorders>
            <w:shd w:val="clear" w:color="auto" w:fill="auto"/>
            <w:noWrap/>
            <w:vAlign w:val="center"/>
            <w:hideMark/>
          </w:tcPr>
          <w:p w14:paraId="492B218D" w14:textId="77777777"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5,7</w:t>
            </w:r>
          </w:p>
        </w:tc>
        <w:tc>
          <w:tcPr>
            <w:tcW w:w="658" w:type="pct"/>
            <w:tcBorders>
              <w:top w:val="nil"/>
              <w:left w:val="nil"/>
              <w:bottom w:val="single" w:sz="4" w:space="0" w:color="000000"/>
              <w:right w:val="single" w:sz="4" w:space="0" w:color="000000"/>
            </w:tcBorders>
            <w:shd w:val="clear" w:color="auto" w:fill="auto"/>
            <w:noWrap/>
            <w:vAlign w:val="center"/>
            <w:hideMark/>
          </w:tcPr>
          <w:p w14:paraId="16B30404" w14:textId="77777777"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3.000.000,00</w:t>
            </w:r>
          </w:p>
        </w:tc>
      </w:tr>
      <w:tr w:rsidR="000C5F21" w:rsidRPr="003A138C" w14:paraId="6A300D5E" w14:textId="77777777" w:rsidTr="00006E39">
        <w:trPr>
          <w:trHeight w:val="280"/>
        </w:trPr>
        <w:tc>
          <w:tcPr>
            <w:tcW w:w="881" w:type="pct"/>
            <w:tcBorders>
              <w:top w:val="nil"/>
              <w:left w:val="single" w:sz="4" w:space="0" w:color="000000"/>
              <w:bottom w:val="single" w:sz="4" w:space="0" w:color="000000"/>
              <w:right w:val="single" w:sz="4" w:space="0" w:color="000000"/>
            </w:tcBorders>
            <w:shd w:val="clear" w:color="auto" w:fill="auto"/>
            <w:noWrap/>
            <w:vAlign w:val="center"/>
            <w:hideMark/>
          </w:tcPr>
          <w:p w14:paraId="624D8AEE" w14:textId="77777777" w:rsidR="000C5F21" w:rsidRPr="003A138C" w:rsidRDefault="000C5F21" w:rsidP="00AF58DF">
            <w:pPr>
              <w:rPr>
                <w:rFonts w:eastAsia="Times New Roman" w:cs="Calibri"/>
                <w:b/>
                <w:i/>
                <w:color w:val="000000"/>
                <w:sz w:val="18"/>
                <w:szCs w:val="18"/>
              </w:rPr>
            </w:pPr>
            <w:r w:rsidRPr="003A138C">
              <w:rPr>
                <w:rFonts w:eastAsia="Times New Roman" w:cs="Calibri"/>
                <w:b/>
                <w:i/>
                <w:color w:val="000000"/>
                <w:sz w:val="18"/>
                <w:szCs w:val="18"/>
              </w:rPr>
              <w:t>TOTALE</w:t>
            </w:r>
          </w:p>
        </w:tc>
        <w:tc>
          <w:tcPr>
            <w:tcW w:w="883" w:type="pct"/>
            <w:tcBorders>
              <w:top w:val="nil"/>
              <w:left w:val="nil"/>
              <w:bottom w:val="single" w:sz="4" w:space="0" w:color="000000"/>
              <w:right w:val="single" w:sz="4" w:space="0" w:color="000000"/>
            </w:tcBorders>
            <w:shd w:val="clear" w:color="auto" w:fill="auto"/>
            <w:vAlign w:val="center"/>
            <w:hideMark/>
          </w:tcPr>
          <w:p w14:paraId="53D7C146" w14:textId="77777777" w:rsidR="000C5F21" w:rsidRPr="003A138C" w:rsidRDefault="000C5F21" w:rsidP="00AF58DF">
            <w:pPr>
              <w:rPr>
                <w:rFonts w:eastAsia="Times New Roman" w:cs="Calibri"/>
                <w:b/>
                <w:i/>
                <w:color w:val="000000"/>
                <w:sz w:val="18"/>
                <w:szCs w:val="18"/>
              </w:rPr>
            </w:pPr>
            <w:r w:rsidRPr="003A138C">
              <w:rPr>
                <w:rFonts w:eastAsia="Times New Roman" w:cs="Calibri"/>
                <w:b/>
                <w:i/>
                <w:color w:val="000000"/>
                <w:sz w:val="18"/>
                <w:szCs w:val="18"/>
              </w:rPr>
              <w:t>O1 - Spesa pubblica totale</w:t>
            </w:r>
          </w:p>
        </w:tc>
        <w:tc>
          <w:tcPr>
            <w:tcW w:w="662" w:type="pct"/>
            <w:tcBorders>
              <w:top w:val="nil"/>
              <w:left w:val="nil"/>
              <w:bottom w:val="single" w:sz="4" w:space="0" w:color="000000"/>
              <w:right w:val="single" w:sz="4" w:space="0" w:color="000000"/>
            </w:tcBorders>
            <w:shd w:val="clear" w:color="auto" w:fill="auto"/>
            <w:vAlign w:val="center"/>
            <w:hideMark/>
          </w:tcPr>
          <w:p w14:paraId="171E7B17" w14:textId="77777777" w:rsidR="000C5F21" w:rsidRPr="003A138C" w:rsidRDefault="000C5F21" w:rsidP="00AF58DF">
            <w:pPr>
              <w:jc w:val="right"/>
              <w:rPr>
                <w:rFonts w:eastAsia="Times New Roman" w:cs="Calibri"/>
                <w:b/>
                <w:i/>
                <w:color w:val="000000"/>
                <w:sz w:val="18"/>
                <w:szCs w:val="18"/>
              </w:rPr>
            </w:pPr>
            <w:r w:rsidRPr="003A138C">
              <w:rPr>
                <w:rFonts w:eastAsia="Times New Roman" w:cs="Calibri"/>
                <w:b/>
                <w:i/>
                <w:color w:val="000000"/>
                <w:sz w:val="18"/>
                <w:szCs w:val="18"/>
              </w:rPr>
              <w:t>96.911.089,96</w:t>
            </w:r>
          </w:p>
        </w:tc>
        <w:tc>
          <w:tcPr>
            <w:tcW w:w="516" w:type="pct"/>
            <w:tcBorders>
              <w:top w:val="nil"/>
              <w:left w:val="nil"/>
              <w:bottom w:val="single" w:sz="4" w:space="0" w:color="000000"/>
              <w:right w:val="single" w:sz="4" w:space="0" w:color="000000"/>
            </w:tcBorders>
            <w:shd w:val="clear" w:color="auto" w:fill="auto"/>
            <w:noWrap/>
            <w:vAlign w:val="center"/>
            <w:hideMark/>
          </w:tcPr>
          <w:p w14:paraId="0764E0F9" w14:textId="77777777" w:rsidR="000C5F21" w:rsidRPr="003A138C" w:rsidRDefault="000C5F21" w:rsidP="00AF58DF">
            <w:pPr>
              <w:jc w:val="center"/>
              <w:rPr>
                <w:rFonts w:eastAsia="Times New Roman" w:cs="Calibri"/>
                <w:b/>
                <w:i/>
                <w:color w:val="000000"/>
                <w:sz w:val="18"/>
                <w:szCs w:val="18"/>
              </w:rPr>
            </w:pPr>
            <w:r w:rsidRPr="003A138C">
              <w:rPr>
                <w:rFonts w:eastAsia="Times New Roman" w:cs="Calibri"/>
                <w:b/>
                <w:i/>
                <w:color w:val="000000"/>
                <w:sz w:val="18"/>
                <w:szCs w:val="18"/>
              </w:rPr>
              <w:t>102,93</w:t>
            </w:r>
          </w:p>
        </w:tc>
        <w:tc>
          <w:tcPr>
            <w:tcW w:w="736" w:type="pct"/>
            <w:tcBorders>
              <w:top w:val="nil"/>
              <w:left w:val="nil"/>
              <w:bottom w:val="single" w:sz="4" w:space="0" w:color="000000"/>
              <w:right w:val="single" w:sz="4" w:space="0" w:color="000000"/>
            </w:tcBorders>
            <w:shd w:val="clear" w:color="auto" w:fill="auto"/>
            <w:vAlign w:val="center"/>
            <w:hideMark/>
          </w:tcPr>
          <w:p w14:paraId="44176C1A" w14:textId="6203111A" w:rsidR="000C5F21" w:rsidRPr="003A138C" w:rsidRDefault="000C5F21" w:rsidP="00AF58DF">
            <w:pPr>
              <w:jc w:val="right"/>
              <w:rPr>
                <w:rFonts w:eastAsia="Times New Roman" w:cs="Calibri"/>
                <w:b/>
                <w:i/>
                <w:color w:val="000000"/>
                <w:sz w:val="18"/>
                <w:szCs w:val="18"/>
              </w:rPr>
            </w:pPr>
            <w:r w:rsidRPr="003A138C">
              <w:rPr>
                <w:rFonts w:eastAsia="Times New Roman" w:cs="Calibri"/>
                <w:b/>
                <w:i/>
                <w:color w:val="000000"/>
                <w:sz w:val="18"/>
                <w:szCs w:val="18"/>
              </w:rPr>
              <w:t>28.</w:t>
            </w:r>
            <w:r w:rsidR="00661EED">
              <w:rPr>
                <w:rFonts w:eastAsia="Times New Roman" w:cs="Calibri"/>
                <w:b/>
                <w:i/>
                <w:color w:val="000000"/>
                <w:sz w:val="18"/>
                <w:szCs w:val="18"/>
              </w:rPr>
              <w:t>536</w:t>
            </w:r>
            <w:r w:rsidRPr="003A138C">
              <w:rPr>
                <w:rFonts w:eastAsia="Times New Roman" w:cs="Calibri"/>
                <w:b/>
                <w:i/>
                <w:color w:val="000000"/>
                <w:sz w:val="18"/>
                <w:szCs w:val="18"/>
              </w:rPr>
              <w:t>.</w:t>
            </w:r>
            <w:r w:rsidR="00661EED">
              <w:rPr>
                <w:rFonts w:eastAsia="Times New Roman" w:cs="Calibri"/>
                <w:b/>
                <w:i/>
                <w:color w:val="000000"/>
                <w:sz w:val="18"/>
                <w:szCs w:val="18"/>
              </w:rPr>
              <w:t>030</w:t>
            </w:r>
            <w:r w:rsidRPr="003A138C">
              <w:rPr>
                <w:rFonts w:eastAsia="Times New Roman" w:cs="Calibri"/>
                <w:b/>
                <w:i/>
                <w:color w:val="000000"/>
                <w:sz w:val="18"/>
                <w:szCs w:val="18"/>
              </w:rPr>
              <w:t>,</w:t>
            </w:r>
            <w:r w:rsidR="00661EED">
              <w:rPr>
                <w:rFonts w:eastAsia="Times New Roman" w:cs="Calibri"/>
                <w:b/>
                <w:i/>
                <w:color w:val="000000"/>
                <w:sz w:val="18"/>
                <w:szCs w:val="18"/>
              </w:rPr>
              <w:t>65</w:t>
            </w:r>
          </w:p>
        </w:tc>
        <w:tc>
          <w:tcPr>
            <w:tcW w:w="664" w:type="pct"/>
            <w:tcBorders>
              <w:top w:val="nil"/>
              <w:left w:val="nil"/>
              <w:bottom w:val="single" w:sz="4" w:space="0" w:color="000000"/>
              <w:right w:val="single" w:sz="4" w:space="0" w:color="000000"/>
            </w:tcBorders>
            <w:shd w:val="clear" w:color="auto" w:fill="auto"/>
            <w:noWrap/>
            <w:vAlign w:val="center"/>
            <w:hideMark/>
          </w:tcPr>
          <w:p w14:paraId="519AEB66" w14:textId="77777777" w:rsidR="000C5F21" w:rsidRPr="003A138C" w:rsidRDefault="000C5F21" w:rsidP="00AF58DF">
            <w:pPr>
              <w:jc w:val="center"/>
              <w:rPr>
                <w:rFonts w:eastAsia="Times New Roman" w:cs="Calibri"/>
                <w:b/>
                <w:i/>
                <w:color w:val="000000"/>
                <w:sz w:val="18"/>
                <w:szCs w:val="18"/>
              </w:rPr>
            </w:pPr>
            <w:r w:rsidRPr="003A138C">
              <w:rPr>
                <w:rFonts w:eastAsia="Times New Roman" w:cs="Calibri"/>
                <w:b/>
                <w:i/>
                <w:color w:val="000000"/>
                <w:sz w:val="18"/>
                <w:szCs w:val="18"/>
              </w:rPr>
              <w:t>30,25</w:t>
            </w:r>
          </w:p>
        </w:tc>
        <w:tc>
          <w:tcPr>
            <w:tcW w:w="658" w:type="pct"/>
            <w:tcBorders>
              <w:top w:val="nil"/>
              <w:left w:val="nil"/>
              <w:bottom w:val="single" w:sz="4" w:space="0" w:color="000000"/>
              <w:right w:val="single" w:sz="4" w:space="0" w:color="000000"/>
            </w:tcBorders>
            <w:shd w:val="clear" w:color="auto" w:fill="auto"/>
            <w:noWrap/>
            <w:vAlign w:val="center"/>
            <w:hideMark/>
          </w:tcPr>
          <w:p w14:paraId="3F458C9C" w14:textId="77777777" w:rsidR="000C5F21" w:rsidRPr="003A138C" w:rsidRDefault="000C5F21" w:rsidP="00AF58DF">
            <w:pPr>
              <w:jc w:val="right"/>
              <w:rPr>
                <w:rFonts w:eastAsia="Times New Roman" w:cs="Calibri"/>
                <w:b/>
                <w:i/>
                <w:color w:val="000000"/>
                <w:sz w:val="18"/>
                <w:szCs w:val="18"/>
              </w:rPr>
            </w:pPr>
            <w:r w:rsidRPr="003A138C">
              <w:rPr>
                <w:rFonts w:eastAsia="Times New Roman" w:cs="Calibri"/>
                <w:b/>
                <w:i/>
                <w:color w:val="000000"/>
                <w:sz w:val="18"/>
                <w:szCs w:val="18"/>
              </w:rPr>
              <w:t>94.150.000,00</w:t>
            </w:r>
          </w:p>
        </w:tc>
      </w:tr>
      <w:tr w:rsidR="000C5F21" w:rsidRPr="003A138C" w14:paraId="5D8CF179" w14:textId="77777777" w:rsidTr="00006E39">
        <w:trPr>
          <w:trHeight w:val="655"/>
        </w:trPr>
        <w:tc>
          <w:tcPr>
            <w:tcW w:w="881" w:type="pct"/>
            <w:tcBorders>
              <w:top w:val="nil"/>
              <w:left w:val="single" w:sz="4" w:space="0" w:color="000000"/>
              <w:bottom w:val="single" w:sz="4" w:space="0" w:color="000000"/>
              <w:right w:val="single" w:sz="4" w:space="0" w:color="000000"/>
            </w:tcBorders>
            <w:shd w:val="clear" w:color="auto" w:fill="auto"/>
            <w:noWrap/>
            <w:vAlign w:val="center"/>
            <w:hideMark/>
          </w:tcPr>
          <w:p w14:paraId="507DC10A" w14:textId="77777777" w:rsidR="000C5F21" w:rsidRPr="003A138C" w:rsidRDefault="000C5F21" w:rsidP="00AF58DF">
            <w:pPr>
              <w:rPr>
                <w:rFonts w:eastAsia="Times New Roman" w:cs="Calibri"/>
                <w:color w:val="000000"/>
                <w:sz w:val="18"/>
                <w:szCs w:val="18"/>
              </w:rPr>
            </w:pPr>
            <w:r w:rsidRPr="003A138C">
              <w:rPr>
                <w:rFonts w:eastAsia="Times New Roman" w:cs="Calibri"/>
                <w:color w:val="000000"/>
                <w:sz w:val="18"/>
                <w:szCs w:val="18"/>
              </w:rPr>
              <w:t>3B) Sostenere la prevenzione e la gestione dei rischi aziendali</w:t>
            </w:r>
          </w:p>
        </w:tc>
        <w:tc>
          <w:tcPr>
            <w:tcW w:w="883" w:type="pct"/>
            <w:tcBorders>
              <w:top w:val="nil"/>
              <w:left w:val="nil"/>
              <w:bottom w:val="single" w:sz="4" w:space="0" w:color="000000"/>
              <w:right w:val="single" w:sz="4" w:space="0" w:color="000000"/>
            </w:tcBorders>
            <w:shd w:val="clear" w:color="auto" w:fill="auto"/>
            <w:vAlign w:val="center"/>
            <w:hideMark/>
          </w:tcPr>
          <w:p w14:paraId="03637A13" w14:textId="77777777" w:rsidR="000C5F21" w:rsidRPr="003A138C" w:rsidRDefault="000C5F21" w:rsidP="00AF58DF">
            <w:pPr>
              <w:rPr>
                <w:rFonts w:eastAsia="Times New Roman" w:cs="Calibri"/>
                <w:color w:val="000000"/>
                <w:sz w:val="18"/>
                <w:szCs w:val="18"/>
              </w:rPr>
            </w:pPr>
            <w:r w:rsidRPr="003A138C">
              <w:rPr>
                <w:rFonts w:eastAsia="Times New Roman" w:cs="Calibri"/>
                <w:color w:val="000000"/>
                <w:sz w:val="18"/>
                <w:szCs w:val="18"/>
              </w:rPr>
              <w:t>T7: percentuale di aziende agricole che partecipano a regimi di gestione del rischio</w:t>
            </w:r>
          </w:p>
        </w:tc>
        <w:tc>
          <w:tcPr>
            <w:tcW w:w="662" w:type="pct"/>
            <w:tcBorders>
              <w:top w:val="nil"/>
              <w:left w:val="nil"/>
              <w:bottom w:val="single" w:sz="4" w:space="0" w:color="000000"/>
              <w:right w:val="single" w:sz="4" w:space="0" w:color="000000"/>
            </w:tcBorders>
            <w:shd w:val="clear" w:color="auto" w:fill="auto"/>
            <w:noWrap/>
            <w:vAlign w:val="center"/>
            <w:hideMark/>
          </w:tcPr>
          <w:p w14:paraId="1A4ECB6D" w14:textId="77777777"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 </w:t>
            </w:r>
          </w:p>
        </w:tc>
        <w:tc>
          <w:tcPr>
            <w:tcW w:w="516" w:type="pct"/>
            <w:tcBorders>
              <w:top w:val="nil"/>
              <w:left w:val="nil"/>
              <w:bottom w:val="single" w:sz="4" w:space="0" w:color="000000"/>
              <w:right w:val="single" w:sz="4" w:space="0" w:color="000000"/>
            </w:tcBorders>
            <w:shd w:val="clear" w:color="auto" w:fill="auto"/>
            <w:noWrap/>
            <w:vAlign w:val="center"/>
            <w:hideMark/>
          </w:tcPr>
          <w:p w14:paraId="5BDEC1A1" w14:textId="77777777" w:rsidR="000C5F21" w:rsidRPr="003A138C" w:rsidRDefault="000C5F21" w:rsidP="00AF58DF">
            <w:pPr>
              <w:jc w:val="center"/>
              <w:rPr>
                <w:rFonts w:eastAsia="Times New Roman" w:cs="Calibri"/>
                <w:color w:val="000000"/>
                <w:sz w:val="18"/>
                <w:szCs w:val="18"/>
              </w:rPr>
            </w:pPr>
          </w:p>
        </w:tc>
        <w:tc>
          <w:tcPr>
            <w:tcW w:w="736" w:type="pct"/>
            <w:tcBorders>
              <w:top w:val="nil"/>
              <w:left w:val="nil"/>
              <w:bottom w:val="single" w:sz="4" w:space="0" w:color="000000"/>
              <w:right w:val="single" w:sz="4" w:space="0" w:color="000000"/>
            </w:tcBorders>
            <w:shd w:val="clear" w:color="auto" w:fill="auto"/>
            <w:noWrap/>
            <w:vAlign w:val="center"/>
            <w:hideMark/>
          </w:tcPr>
          <w:p w14:paraId="0BB71DB3" w14:textId="77777777"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0,33</w:t>
            </w:r>
          </w:p>
        </w:tc>
        <w:tc>
          <w:tcPr>
            <w:tcW w:w="664" w:type="pct"/>
            <w:tcBorders>
              <w:top w:val="nil"/>
              <w:left w:val="nil"/>
              <w:bottom w:val="single" w:sz="4" w:space="0" w:color="000000"/>
              <w:right w:val="single" w:sz="4" w:space="0" w:color="000000"/>
            </w:tcBorders>
            <w:shd w:val="clear" w:color="auto" w:fill="auto"/>
            <w:noWrap/>
            <w:vAlign w:val="center"/>
            <w:hideMark/>
          </w:tcPr>
          <w:p w14:paraId="0AFB1833" w14:textId="2AB3EEE9"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32,0</w:t>
            </w:r>
            <w:r w:rsidR="00661EED">
              <w:rPr>
                <w:rFonts w:eastAsia="Times New Roman" w:cs="Calibri"/>
                <w:color w:val="000000"/>
                <w:sz w:val="18"/>
                <w:szCs w:val="18"/>
              </w:rPr>
              <w:t>4</w:t>
            </w:r>
          </w:p>
        </w:tc>
        <w:tc>
          <w:tcPr>
            <w:tcW w:w="658" w:type="pct"/>
            <w:tcBorders>
              <w:top w:val="nil"/>
              <w:left w:val="nil"/>
              <w:bottom w:val="single" w:sz="4" w:space="0" w:color="000000"/>
              <w:right w:val="single" w:sz="4" w:space="0" w:color="000000"/>
            </w:tcBorders>
            <w:shd w:val="clear" w:color="auto" w:fill="auto"/>
            <w:noWrap/>
            <w:vAlign w:val="center"/>
            <w:hideMark/>
          </w:tcPr>
          <w:p w14:paraId="5DDC0A88" w14:textId="77777777"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1,03</w:t>
            </w:r>
          </w:p>
        </w:tc>
      </w:tr>
      <w:tr w:rsidR="000C5F21" w:rsidRPr="003A138C" w14:paraId="03E21FD4" w14:textId="77777777" w:rsidTr="00006E39">
        <w:trPr>
          <w:trHeight w:val="280"/>
        </w:trPr>
        <w:tc>
          <w:tcPr>
            <w:tcW w:w="881" w:type="pct"/>
            <w:tcBorders>
              <w:top w:val="nil"/>
              <w:left w:val="single" w:sz="4" w:space="0" w:color="000000"/>
              <w:bottom w:val="single" w:sz="4" w:space="0" w:color="000000"/>
              <w:right w:val="single" w:sz="4" w:space="0" w:color="000000"/>
            </w:tcBorders>
            <w:shd w:val="clear" w:color="auto" w:fill="auto"/>
            <w:noWrap/>
            <w:vAlign w:val="center"/>
            <w:hideMark/>
          </w:tcPr>
          <w:p w14:paraId="0318A8A5" w14:textId="77777777" w:rsidR="000C5F21" w:rsidRPr="003A138C" w:rsidRDefault="000C5F21" w:rsidP="00AF58DF">
            <w:pPr>
              <w:rPr>
                <w:rFonts w:eastAsia="Times New Roman" w:cs="Calibri"/>
                <w:color w:val="000000"/>
                <w:sz w:val="18"/>
                <w:szCs w:val="18"/>
              </w:rPr>
            </w:pPr>
            <w:r w:rsidRPr="003A138C">
              <w:rPr>
                <w:rFonts w:eastAsia="Times New Roman" w:cs="Calibri"/>
                <w:color w:val="000000"/>
                <w:sz w:val="18"/>
                <w:szCs w:val="18"/>
              </w:rPr>
              <w:t>M5</w:t>
            </w:r>
          </w:p>
        </w:tc>
        <w:tc>
          <w:tcPr>
            <w:tcW w:w="883" w:type="pct"/>
            <w:tcBorders>
              <w:top w:val="nil"/>
              <w:left w:val="nil"/>
              <w:bottom w:val="single" w:sz="4" w:space="0" w:color="000000"/>
              <w:right w:val="single" w:sz="4" w:space="0" w:color="000000"/>
            </w:tcBorders>
            <w:shd w:val="clear" w:color="auto" w:fill="auto"/>
            <w:vAlign w:val="center"/>
            <w:hideMark/>
          </w:tcPr>
          <w:p w14:paraId="640A74D1" w14:textId="77777777" w:rsidR="000C5F21" w:rsidRPr="003A138C" w:rsidRDefault="000C5F21" w:rsidP="00AF58DF">
            <w:pPr>
              <w:rPr>
                <w:rFonts w:eastAsia="Times New Roman" w:cs="Calibri"/>
                <w:color w:val="000000"/>
                <w:sz w:val="18"/>
                <w:szCs w:val="18"/>
              </w:rPr>
            </w:pPr>
            <w:r w:rsidRPr="003A138C">
              <w:rPr>
                <w:rFonts w:eastAsia="Times New Roman" w:cs="Calibri"/>
                <w:color w:val="000000"/>
                <w:sz w:val="18"/>
                <w:szCs w:val="18"/>
              </w:rPr>
              <w:t>O1 - Spesa pubblica totale</w:t>
            </w:r>
          </w:p>
        </w:tc>
        <w:tc>
          <w:tcPr>
            <w:tcW w:w="662" w:type="pct"/>
            <w:tcBorders>
              <w:top w:val="nil"/>
              <w:left w:val="nil"/>
              <w:bottom w:val="single" w:sz="4" w:space="0" w:color="000000"/>
              <w:right w:val="single" w:sz="4" w:space="0" w:color="000000"/>
            </w:tcBorders>
            <w:shd w:val="clear" w:color="auto" w:fill="auto"/>
            <w:vAlign w:val="center"/>
            <w:hideMark/>
          </w:tcPr>
          <w:p w14:paraId="00305C96" w14:textId="77777777"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13.632.483,46</w:t>
            </w:r>
          </w:p>
        </w:tc>
        <w:tc>
          <w:tcPr>
            <w:tcW w:w="516" w:type="pct"/>
            <w:tcBorders>
              <w:top w:val="nil"/>
              <w:left w:val="nil"/>
              <w:bottom w:val="single" w:sz="4" w:space="0" w:color="000000"/>
              <w:right w:val="single" w:sz="4" w:space="0" w:color="000000"/>
            </w:tcBorders>
            <w:shd w:val="clear" w:color="auto" w:fill="auto"/>
            <w:vAlign w:val="center"/>
            <w:hideMark/>
          </w:tcPr>
          <w:p w14:paraId="5A5C84C3" w14:textId="77777777"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113,6</w:t>
            </w:r>
          </w:p>
        </w:tc>
        <w:tc>
          <w:tcPr>
            <w:tcW w:w="736" w:type="pct"/>
            <w:tcBorders>
              <w:top w:val="nil"/>
              <w:left w:val="nil"/>
              <w:bottom w:val="single" w:sz="4" w:space="0" w:color="000000"/>
              <w:right w:val="single" w:sz="4" w:space="0" w:color="000000"/>
            </w:tcBorders>
            <w:shd w:val="clear" w:color="auto" w:fill="auto"/>
            <w:vAlign w:val="center"/>
            <w:hideMark/>
          </w:tcPr>
          <w:p w14:paraId="2A5E155E" w14:textId="77777777"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6.608.037,60</w:t>
            </w:r>
          </w:p>
        </w:tc>
        <w:tc>
          <w:tcPr>
            <w:tcW w:w="664" w:type="pct"/>
            <w:tcBorders>
              <w:top w:val="nil"/>
              <w:left w:val="nil"/>
              <w:bottom w:val="single" w:sz="4" w:space="0" w:color="000000"/>
              <w:right w:val="single" w:sz="4" w:space="0" w:color="000000"/>
            </w:tcBorders>
            <w:shd w:val="clear" w:color="auto" w:fill="auto"/>
            <w:vAlign w:val="center"/>
            <w:hideMark/>
          </w:tcPr>
          <w:p w14:paraId="766687EB" w14:textId="77777777" w:rsidR="000C5F21" w:rsidRPr="003A138C" w:rsidRDefault="000C5F21" w:rsidP="00AF58DF">
            <w:pPr>
              <w:jc w:val="center"/>
              <w:rPr>
                <w:rFonts w:eastAsia="Times New Roman" w:cs="Calibri"/>
                <w:color w:val="000000"/>
                <w:sz w:val="18"/>
                <w:szCs w:val="18"/>
              </w:rPr>
            </w:pPr>
            <w:r w:rsidRPr="003A138C">
              <w:rPr>
                <w:rFonts w:eastAsia="Times New Roman" w:cs="Calibri"/>
                <w:color w:val="000000"/>
                <w:sz w:val="18"/>
                <w:szCs w:val="18"/>
              </w:rPr>
              <w:t>55,07</w:t>
            </w:r>
          </w:p>
        </w:tc>
        <w:tc>
          <w:tcPr>
            <w:tcW w:w="658" w:type="pct"/>
            <w:tcBorders>
              <w:top w:val="nil"/>
              <w:left w:val="nil"/>
              <w:bottom w:val="single" w:sz="4" w:space="0" w:color="000000"/>
              <w:right w:val="single" w:sz="4" w:space="0" w:color="000000"/>
            </w:tcBorders>
            <w:shd w:val="clear" w:color="auto" w:fill="auto"/>
            <w:noWrap/>
            <w:vAlign w:val="center"/>
            <w:hideMark/>
          </w:tcPr>
          <w:p w14:paraId="56793B3B" w14:textId="77777777" w:rsidR="000C5F21" w:rsidRPr="003A138C" w:rsidRDefault="000C5F21" w:rsidP="00AF58DF">
            <w:pPr>
              <w:jc w:val="right"/>
              <w:rPr>
                <w:rFonts w:eastAsia="Times New Roman" w:cs="Calibri"/>
                <w:color w:val="000000"/>
                <w:sz w:val="18"/>
                <w:szCs w:val="18"/>
              </w:rPr>
            </w:pPr>
            <w:r w:rsidRPr="003A138C">
              <w:rPr>
                <w:rFonts w:eastAsia="Times New Roman" w:cs="Calibri"/>
                <w:color w:val="000000"/>
                <w:sz w:val="18"/>
                <w:szCs w:val="18"/>
              </w:rPr>
              <w:t>12.000.000,00</w:t>
            </w:r>
          </w:p>
        </w:tc>
      </w:tr>
    </w:tbl>
    <w:p w14:paraId="14EBAFE1" w14:textId="77777777" w:rsidR="000C5F21" w:rsidRPr="00164FC9" w:rsidRDefault="000C5F21" w:rsidP="00006E39">
      <w:pPr>
        <w:pStyle w:val="Fonte"/>
      </w:pPr>
      <w:r w:rsidRPr="00164FC9">
        <w:t>Fonte RAA 2020</w:t>
      </w:r>
    </w:p>
    <w:p w14:paraId="30C7167E" w14:textId="77777777" w:rsidR="000C5F21" w:rsidRDefault="000C5F21" w:rsidP="00A65EDF"/>
    <w:p w14:paraId="5AE7C5A2" w14:textId="77777777" w:rsidR="004E338B" w:rsidRDefault="004E338B" w:rsidP="00A65EDF"/>
    <w:p w14:paraId="0895AC60" w14:textId="77777777" w:rsidR="00752417" w:rsidRDefault="00417A91" w:rsidP="00B27AA3">
      <w:pPr>
        <w:pStyle w:val="Titolo3"/>
      </w:pPr>
      <w:bookmarkStart w:id="34" w:name="_Toc91081391"/>
      <w:r>
        <w:t xml:space="preserve">Considerazioni </w:t>
      </w:r>
      <w:r w:rsidR="00AC30A2">
        <w:t xml:space="preserve">conclusive </w:t>
      </w:r>
      <w:r>
        <w:t>di sintesi</w:t>
      </w:r>
      <w:bookmarkEnd w:id="34"/>
    </w:p>
    <w:p w14:paraId="71028E27" w14:textId="77777777" w:rsidR="00B4132E" w:rsidRDefault="00B4132E" w:rsidP="00B4132E"/>
    <w:p w14:paraId="0A145F9D" w14:textId="77777777" w:rsidR="009E54BC" w:rsidRPr="00287AF5" w:rsidRDefault="007B1CB5" w:rsidP="009E54BC">
      <w:r w:rsidRPr="00287AF5">
        <w:t xml:space="preserve">Già </w:t>
      </w:r>
      <w:r w:rsidR="00F45F27" w:rsidRPr="00287AF5">
        <w:t xml:space="preserve">nel </w:t>
      </w:r>
      <w:r w:rsidRPr="00287AF5">
        <w:t xml:space="preserve">precedente </w:t>
      </w:r>
      <w:r w:rsidR="00F45F27" w:rsidRPr="00287AF5">
        <w:t>rapporto di valutazione unitaria</w:t>
      </w:r>
      <w:r w:rsidRPr="00287AF5">
        <w:t xml:space="preserve">, </w:t>
      </w:r>
      <w:r w:rsidR="000C6276" w:rsidRPr="00287AF5">
        <w:t>sulla base dei</w:t>
      </w:r>
      <w:r w:rsidR="009E54BC" w:rsidRPr="00287AF5">
        <w:t xml:space="preserve"> dati di monitoraggio fisici e finanziari e </w:t>
      </w:r>
      <w:r w:rsidR="000C6276" w:rsidRPr="00287AF5">
        <w:t>del</w:t>
      </w:r>
      <w:r w:rsidR="009E54BC" w:rsidRPr="00287AF5">
        <w:t>le valutazioni disponibili</w:t>
      </w:r>
      <w:r w:rsidR="000C6276" w:rsidRPr="00287AF5">
        <w:t>, si evidenzia</w:t>
      </w:r>
      <w:r w:rsidRPr="00287AF5">
        <w:t>va</w:t>
      </w:r>
      <w:r w:rsidR="009E54BC" w:rsidRPr="00287AF5">
        <w:t xml:space="preserve"> la rilevanza degli interventi </w:t>
      </w:r>
      <w:r w:rsidRPr="00287AF5">
        <w:t xml:space="preserve">regionali per la crescita economica </w:t>
      </w:r>
      <w:r w:rsidR="009E54BC" w:rsidRPr="00287AF5">
        <w:t xml:space="preserve">rispetto ai bisogni del territorio, essendo riusciti ad intercettare una domanda significativa da parte di imprese e altri beneficiari come </w:t>
      </w:r>
      <w:r w:rsidR="000C6276" w:rsidRPr="00287AF5">
        <w:t xml:space="preserve">gli </w:t>
      </w:r>
      <w:r w:rsidR="009E54BC" w:rsidRPr="00287AF5">
        <w:t>organismi di ricerca. Gli interventi appa</w:t>
      </w:r>
      <w:r w:rsidR="000C6276" w:rsidRPr="00287AF5">
        <w:t xml:space="preserve">rivano poi </w:t>
      </w:r>
      <w:r w:rsidR="009E54BC" w:rsidRPr="00287AF5">
        <w:t>coerenti e complementari</w:t>
      </w:r>
      <w:r w:rsidRPr="00287AF5">
        <w:t xml:space="preserve"> in base ai dati ed alle valutazioni disponibili</w:t>
      </w:r>
      <w:r w:rsidR="009E54BC" w:rsidRPr="00287AF5">
        <w:t xml:space="preserve">. Per quanto riguarda l’efficacia delle politiche, le evidenze valutative e le informazioni </w:t>
      </w:r>
      <w:r w:rsidRPr="00287AF5">
        <w:t xml:space="preserve">di </w:t>
      </w:r>
      <w:r w:rsidR="009E54BC" w:rsidRPr="00287AF5">
        <w:t>monitoraggio suggeri</w:t>
      </w:r>
      <w:r w:rsidR="000C6276" w:rsidRPr="00287AF5">
        <w:t>vano</w:t>
      </w:r>
      <w:r w:rsidR="009E54BC" w:rsidRPr="00287AF5">
        <w:t xml:space="preserve"> che la maggior parte delle iniziative finanziate ha il potenziale di produrre effetti positivi sulla crescita e lo sviluppo del territorio lombardo. Infatti, gli interventi che contribuiscono ad una crescita intelligente della Lombardia si caratterizza</w:t>
      </w:r>
      <w:r w:rsidR="000C6276" w:rsidRPr="00287AF5">
        <w:t>vano</w:t>
      </w:r>
      <w:r w:rsidRPr="00287AF5">
        <w:t>,</w:t>
      </w:r>
      <w:r w:rsidR="000C6276" w:rsidRPr="00287AF5">
        <w:t xml:space="preserve"> </w:t>
      </w:r>
      <w:r w:rsidR="00AC30A2">
        <w:t xml:space="preserve">già </w:t>
      </w:r>
      <w:r w:rsidR="000C6276" w:rsidRPr="00287AF5">
        <w:t>a fine 2019</w:t>
      </w:r>
      <w:r w:rsidRPr="00287AF5">
        <w:t>,</w:t>
      </w:r>
      <w:r w:rsidR="009E54BC" w:rsidRPr="00287AF5">
        <w:t xml:space="preserve"> per un avanzamento soddisfacente sia in termini di realizzazioni che di risultato ed in linea con la spesa. Tuttavia, nonostante i segnali positivi, considerati i livelli di spesa e il fatto che solitamente gli interventi sulla ricerca, l’innovazione e la competitività tendono a produrre effetti nel medio-lungo termine, </w:t>
      </w:r>
      <w:r w:rsidR="00F45F27" w:rsidRPr="00287AF5">
        <w:t xml:space="preserve">si sottolineava anche che </w:t>
      </w:r>
      <w:r w:rsidR="009E54BC" w:rsidRPr="00287AF5">
        <w:t xml:space="preserve">un giudizio complessivo sulla efficacia e sul valore aggiunto </w:t>
      </w:r>
      <w:r w:rsidR="00F45F27" w:rsidRPr="00287AF5">
        <w:t xml:space="preserve">si può formulare solo </w:t>
      </w:r>
      <w:r w:rsidR="009E54BC" w:rsidRPr="00287AF5">
        <w:t xml:space="preserve">quando la maggior parte degli interventi </w:t>
      </w:r>
      <w:r w:rsidR="00F45F27" w:rsidRPr="00287AF5">
        <w:t xml:space="preserve">è </w:t>
      </w:r>
      <w:r w:rsidR="009E54BC" w:rsidRPr="00287AF5">
        <w:t>completata</w:t>
      </w:r>
      <w:r w:rsidR="00F45F27" w:rsidRPr="00287AF5">
        <w:t xml:space="preserve"> oppure approfondimenti valutativi basati su </w:t>
      </w:r>
      <w:r w:rsidR="009E54BC" w:rsidRPr="00287AF5">
        <w:t xml:space="preserve">maggiori </w:t>
      </w:r>
      <w:r w:rsidR="00F45F27" w:rsidRPr="00287AF5">
        <w:t xml:space="preserve">e nuove </w:t>
      </w:r>
      <w:r w:rsidR="009E54BC" w:rsidRPr="00287AF5">
        <w:t xml:space="preserve">evidenze sul campo </w:t>
      </w:r>
      <w:r w:rsidR="00F45F27" w:rsidRPr="00287AF5">
        <w:t xml:space="preserve">sono stati realizzati </w:t>
      </w:r>
      <w:r w:rsidR="009E54BC" w:rsidRPr="00287AF5">
        <w:t>per compensare i limiti dei dati di monitoraggio dei programmi</w:t>
      </w:r>
      <w:r w:rsidRPr="00287AF5">
        <w:t>, soprattutto per quanto riguarda i risultati</w:t>
      </w:r>
      <w:r w:rsidR="009E54BC" w:rsidRPr="00287AF5">
        <w:t>.</w:t>
      </w:r>
      <w:r w:rsidRPr="00287AF5">
        <w:t xml:space="preserve"> </w:t>
      </w:r>
      <w:r w:rsidR="00AC30A2">
        <w:t>Infatti, come precedentemente sottolineato, g</w:t>
      </w:r>
      <w:r w:rsidRPr="00287AF5">
        <w:t>li indicatori di risultato</w:t>
      </w:r>
      <w:r w:rsidR="00837607" w:rsidRPr="00287AF5">
        <w:t xml:space="preserve"> raccolti dal sistema di monitoraggio</w:t>
      </w:r>
      <w:r w:rsidRPr="00287AF5">
        <w:t xml:space="preserve"> sono perlopiù statistiche macro-economiche alla cui dinamica il contributo dei programmi potrebbe essere marginale e, in ogni caso, da dimostrare.</w:t>
      </w:r>
    </w:p>
    <w:p w14:paraId="4AA4BDCF" w14:textId="77777777" w:rsidR="009E54BC" w:rsidRPr="00287AF5" w:rsidRDefault="009E54BC" w:rsidP="009E54BC"/>
    <w:p w14:paraId="2D129BBF" w14:textId="53E119AA" w:rsidR="00C73BF9" w:rsidRPr="00287AF5" w:rsidRDefault="000C6276" w:rsidP="00760822">
      <w:r w:rsidRPr="00287AF5">
        <w:t xml:space="preserve">A fine 2020, </w:t>
      </w:r>
      <w:r w:rsidR="00F45F27" w:rsidRPr="00287AF5">
        <w:t>l</w:t>
      </w:r>
      <w:r w:rsidR="00557691" w:rsidRPr="00287AF5">
        <w:t xml:space="preserve">e risorse dedicate alle politiche per la crescita </w:t>
      </w:r>
      <w:r w:rsidR="00E6308C">
        <w:t>intelligente</w:t>
      </w:r>
      <w:r w:rsidR="00557691" w:rsidRPr="00287AF5">
        <w:t xml:space="preserve"> a circa 1 miliardo e 333,6 milioni di euro (fondi FESR e FEASR programmati). Si tratta, complessivamente, di oltre 133 euro per abitante nel periodo 2014-2020</w:t>
      </w:r>
      <w:r w:rsidR="00F45F27" w:rsidRPr="00287AF5">
        <w:t>, un valore più alto del livello stimato a fine 2019</w:t>
      </w:r>
      <w:r w:rsidR="007B1CB5" w:rsidRPr="00287AF5">
        <w:t xml:space="preserve"> a causa delle riprogrammazioni</w:t>
      </w:r>
      <w:r w:rsidR="00557691" w:rsidRPr="00287AF5">
        <w:t>.</w:t>
      </w:r>
      <w:r w:rsidR="00A57CD6">
        <w:t xml:space="preserve"> </w:t>
      </w:r>
      <w:r w:rsidR="00F45F27" w:rsidRPr="00287AF5">
        <w:t>Infatti, n</w:t>
      </w:r>
      <w:r w:rsidR="009620F7" w:rsidRPr="00287AF5">
        <w:t xml:space="preserve">ella seconda metà del 2020 il POR FESR è stato oggetto di una </w:t>
      </w:r>
      <w:r w:rsidR="00577EB9" w:rsidRPr="00287AF5">
        <w:t>riprogrammazione</w:t>
      </w:r>
      <w:r w:rsidR="002D7DD9" w:rsidRPr="00287AF5">
        <w:t>, la quinta dall’inizio del programma</w:t>
      </w:r>
      <w:r w:rsidR="009620F7" w:rsidRPr="00287AF5">
        <w:t>.</w:t>
      </w:r>
      <w:r w:rsidR="002F423C" w:rsidRPr="00287AF5">
        <w:rPr>
          <w:rStyle w:val="Rimandonotaapidipagina"/>
        </w:rPr>
        <w:footnoteReference w:id="4"/>
      </w:r>
      <w:r w:rsidR="009620F7" w:rsidRPr="00287AF5">
        <w:t xml:space="preserve"> La revisione ha riguardato </w:t>
      </w:r>
      <w:r w:rsidR="00920AF8" w:rsidRPr="00287AF5">
        <w:t>un</w:t>
      </w:r>
      <w:r w:rsidR="009620F7" w:rsidRPr="00287AF5">
        <w:t>a redistribuzione di risorse d</w:t>
      </w:r>
      <w:r w:rsidR="00577EB9" w:rsidRPr="00287AF5">
        <w:t>a</w:t>
      </w:r>
      <w:r w:rsidR="009620F7" w:rsidRPr="00287AF5">
        <w:t xml:space="preserve">gli </w:t>
      </w:r>
      <w:r w:rsidR="00F45F27" w:rsidRPr="00287AF5">
        <w:t>A</w:t>
      </w:r>
      <w:r w:rsidR="009620F7" w:rsidRPr="00287AF5">
        <w:t>ssi III, IV e V pari a 19</w:t>
      </w:r>
      <w:r w:rsidR="00E37297">
        <w:t>3</w:t>
      </w:r>
      <w:r w:rsidR="009620F7" w:rsidRPr="00287AF5">
        <w:t>,5 milioni di euro in favore dell’</w:t>
      </w:r>
      <w:r w:rsidR="00F45F27" w:rsidRPr="00287AF5">
        <w:t>A</w:t>
      </w:r>
      <w:r w:rsidR="009620F7" w:rsidRPr="00287AF5">
        <w:t>sse I, dove è stata inserita la nuova azione I.1.b.6.1. “Investimenti necessari per rafforzare la capacità del complesso dei servizi sanitari di rispondere alla crisi provocata dall’emergenza epidemiologica”</w:t>
      </w:r>
      <w:r w:rsidR="00AB3FC9" w:rsidRPr="00287AF5">
        <w:t xml:space="preserve"> finalizzata a fornire risorse necessarie a rafforzare la capacità di risposta dei servizi sanitari al </w:t>
      </w:r>
      <w:r w:rsidR="00920AF8" w:rsidRPr="00287AF5">
        <w:t>COVID-</w:t>
      </w:r>
      <w:r w:rsidR="00AB3FC9" w:rsidRPr="00287AF5">
        <w:t>19.</w:t>
      </w:r>
      <w:r w:rsidR="00FE600D" w:rsidRPr="00287AF5">
        <w:t xml:space="preserve"> Inoltre, nell’</w:t>
      </w:r>
      <w:r w:rsidR="00F45F27" w:rsidRPr="00287AF5">
        <w:t>A</w:t>
      </w:r>
      <w:r w:rsidR="00FE600D" w:rsidRPr="00287AF5">
        <w:t>sse III</w:t>
      </w:r>
      <w:r w:rsidR="00837607" w:rsidRPr="00287AF5">
        <w:t>,</w:t>
      </w:r>
      <w:r w:rsidR="00FE600D" w:rsidRPr="00287AF5">
        <w:t xml:space="preserve"> le azioni III.3.c.1.1 “Aiuti per investimenti in macchinari, impianti e beni intangibili, e accompagnamento dei processi di riorganizzazione e ristrutturazione aziendale”</w:t>
      </w:r>
      <w:r w:rsidR="00AC30A2">
        <w:t>,</w:t>
      </w:r>
      <w:r w:rsidR="00FE600D" w:rsidRPr="00287AF5">
        <w:t xml:space="preserve"> e III.3.c.1.1 “Potenziamento del sistema delle garanzie pubbliche per l’espansione del credito in sinergia tra sistema nazionale e sistemi regionali di garanzia, favorendo forme di razionalizzazione che valorizzino anche il ruolo dei confidi più efficienti ed efficaci”</w:t>
      </w:r>
      <w:r w:rsidR="00AC30A2">
        <w:t>,</w:t>
      </w:r>
      <w:r w:rsidR="00FE600D" w:rsidRPr="00287AF5">
        <w:t xml:space="preserve"> sono state aggiornate per sostenere il capitale circolante delle imprese </w:t>
      </w:r>
      <w:r w:rsidR="00FE600D" w:rsidRPr="00006E39">
        <w:t>lombarde.</w:t>
      </w:r>
      <w:r w:rsidR="00C73BF9" w:rsidRPr="00006E39">
        <w:rPr>
          <w:rStyle w:val="Rimandonotaapidipagina"/>
        </w:rPr>
        <w:t xml:space="preserve"> </w:t>
      </w:r>
      <w:r w:rsidR="00C73BF9" w:rsidRPr="00006E39">
        <w:rPr>
          <w:rStyle w:val="Rimandonotaapidipagina"/>
        </w:rPr>
        <w:footnoteReference w:id="5"/>
      </w:r>
      <w:r w:rsidR="00C73BF9" w:rsidRPr="00006E39">
        <w:rPr>
          <w:rStyle w:val="Rimandonotaapidipagina"/>
        </w:rPr>
        <w:t xml:space="preserve"> </w:t>
      </w:r>
      <w:r w:rsidR="00AE4C7F" w:rsidRPr="00006E39">
        <w:t>A seguito della riprogrammazione è stato reso necessario</w:t>
      </w:r>
      <w:r w:rsidR="00920AF8" w:rsidRPr="00006E39">
        <w:t>, inoltre,</w:t>
      </w:r>
      <w:r w:rsidR="00AE4C7F" w:rsidRPr="00006E39">
        <w:t xml:space="preserve"> </w:t>
      </w:r>
      <w:r w:rsidR="00C73BF9" w:rsidRPr="00006E39">
        <w:t xml:space="preserve">ridurre i target di diversi </w:t>
      </w:r>
      <w:r w:rsidR="00AE4C7F" w:rsidRPr="00006E39">
        <w:t>indicatori di output relativi all’</w:t>
      </w:r>
      <w:r w:rsidR="00F45F27" w:rsidRPr="00006E39">
        <w:t>A</w:t>
      </w:r>
      <w:r w:rsidR="00AE4C7F" w:rsidRPr="00006E39">
        <w:t>sse III</w:t>
      </w:r>
      <w:r w:rsidR="00C73BF9" w:rsidRPr="00006E39">
        <w:t xml:space="preserve"> ed aggiungere nuovi indicatori relativi alle </w:t>
      </w:r>
      <w:r w:rsidR="000313C7" w:rsidRPr="00006E39">
        <w:t xml:space="preserve">nuove </w:t>
      </w:r>
      <w:r w:rsidR="00C73BF9" w:rsidRPr="00006E39">
        <w:t>Azioni create in fase di programmazione per contrastare gli effetti della pandemia di COVID</w:t>
      </w:r>
      <w:r w:rsidR="00006E39">
        <w:t>-</w:t>
      </w:r>
      <w:r w:rsidR="00C73BF9" w:rsidRPr="00006E39">
        <w:t>19.</w:t>
      </w:r>
      <w:r w:rsidR="00C73BF9">
        <w:t xml:space="preserve"> </w:t>
      </w:r>
    </w:p>
    <w:p w14:paraId="3DEDB74B" w14:textId="77777777" w:rsidR="00FE600D" w:rsidRPr="00287AF5" w:rsidRDefault="00FE600D" w:rsidP="00760822"/>
    <w:p w14:paraId="639D87F8" w14:textId="77777777" w:rsidR="00AD5633" w:rsidRPr="00287AF5" w:rsidRDefault="001B5168" w:rsidP="001B5168">
      <w:r w:rsidRPr="00287AF5">
        <w:t>La</w:t>
      </w:r>
      <w:r w:rsidR="00AD5633" w:rsidRPr="00287AF5">
        <w:t xml:space="preserve"> redistribuzione delle risorse </w:t>
      </w:r>
      <w:r w:rsidR="00BD3D06" w:rsidRPr="00287AF5">
        <w:t xml:space="preserve">tra </w:t>
      </w:r>
      <w:r w:rsidR="00AD5633" w:rsidRPr="00287AF5">
        <w:t>gli assi del programma</w:t>
      </w:r>
      <w:r w:rsidR="00837607" w:rsidRPr="00287AF5">
        <w:t xml:space="preserve"> FESR</w:t>
      </w:r>
      <w:r w:rsidR="00AD5633" w:rsidRPr="00287AF5">
        <w:t xml:space="preserve"> incide in maniera diretta sugli indicatori di avanzamento finanziario. La performance finanziaria dell’</w:t>
      </w:r>
      <w:r w:rsidR="00BD3D06" w:rsidRPr="00287AF5">
        <w:t>A</w:t>
      </w:r>
      <w:r w:rsidR="00AD5633" w:rsidRPr="00287AF5">
        <w:t>sse I passa</w:t>
      </w:r>
      <w:r w:rsidR="00BD3D06" w:rsidRPr="00287AF5">
        <w:t xml:space="preserve"> infatti </w:t>
      </w:r>
      <w:r w:rsidR="00AD5633" w:rsidRPr="00287AF5">
        <w:t>da 28,03% nel 2019 a 24,16% nel 2020</w:t>
      </w:r>
      <w:r w:rsidR="00BD3D06" w:rsidRPr="00287AF5">
        <w:t xml:space="preserve">, ma tale </w:t>
      </w:r>
      <w:r w:rsidR="00AD5633" w:rsidRPr="00287AF5">
        <w:t>peggioramento è imputabile al consistente aumento della dotazione finanziaria dell’asse</w:t>
      </w:r>
      <w:r w:rsidR="00956654" w:rsidRPr="00287AF5">
        <w:t xml:space="preserve"> </w:t>
      </w:r>
      <w:r w:rsidR="00BD3D06" w:rsidRPr="00287AF5">
        <w:t xml:space="preserve">in seguito </w:t>
      </w:r>
      <w:r w:rsidR="00956654" w:rsidRPr="00287AF5">
        <w:t>alla riprogrammazione</w:t>
      </w:r>
      <w:r w:rsidR="00AD5633" w:rsidRPr="00287AF5">
        <w:t>.</w:t>
      </w:r>
      <w:r w:rsidR="0065281F" w:rsidRPr="00287AF5">
        <w:t xml:space="preserve"> Al contrario</w:t>
      </w:r>
      <w:r w:rsidR="00BD3D06" w:rsidRPr="00287AF5">
        <w:t>,</w:t>
      </w:r>
      <w:r w:rsidR="0065281F" w:rsidRPr="00287AF5">
        <w:t xml:space="preserve"> la performance finanziaria dell’</w:t>
      </w:r>
      <w:r w:rsidR="00BD3D06" w:rsidRPr="00287AF5">
        <w:t>A</w:t>
      </w:r>
      <w:r w:rsidR="0065281F" w:rsidRPr="00287AF5">
        <w:t>sse III migliora notevolmente dal 2019 al 2020 passando da 37,42% a 59,43%. Questo miglioramento è d</w:t>
      </w:r>
      <w:r w:rsidR="00814449" w:rsidRPr="00287AF5">
        <w:t>ovuto</w:t>
      </w:r>
      <w:r w:rsidR="0065281F" w:rsidRPr="00287AF5">
        <w:t xml:space="preserve"> sia alla riduzione della dotazione finanziaria</w:t>
      </w:r>
      <w:r w:rsidR="000339AA" w:rsidRPr="00287AF5">
        <w:t>,</w:t>
      </w:r>
      <w:r w:rsidR="0065281F" w:rsidRPr="00287AF5">
        <w:t xml:space="preserve"> </w:t>
      </w:r>
      <w:r w:rsidR="00814449" w:rsidRPr="00287AF5">
        <w:t xml:space="preserve">in seguito </w:t>
      </w:r>
      <w:r w:rsidR="0065281F" w:rsidRPr="00287AF5">
        <w:t>alla revisione del programma</w:t>
      </w:r>
      <w:r w:rsidR="00814449" w:rsidRPr="00287AF5">
        <w:t xml:space="preserve"> </w:t>
      </w:r>
      <w:r w:rsidR="0065281F" w:rsidRPr="00287AF5">
        <w:t>nel 2020</w:t>
      </w:r>
      <w:r w:rsidR="000339AA" w:rsidRPr="00287AF5">
        <w:t>,</w:t>
      </w:r>
      <w:r w:rsidR="0065281F" w:rsidRPr="00287AF5">
        <w:t xml:space="preserve"> che all’aumento della spesa ammissibile dichiarata dai beneficiari.</w:t>
      </w:r>
      <w:r w:rsidR="008B05B7" w:rsidRPr="00287AF5">
        <w:t xml:space="preserve"> Infine, l</w:t>
      </w:r>
      <w:r w:rsidR="000339AA" w:rsidRPr="00287AF5">
        <w:t>’</w:t>
      </w:r>
      <w:r w:rsidR="00814449" w:rsidRPr="00287AF5">
        <w:t>A</w:t>
      </w:r>
      <w:r w:rsidR="000339AA" w:rsidRPr="00287AF5">
        <w:t>sse II presenta la migliore performance dell’area economica passando da 29,47% nel 2019 a 59,65% nel 2020.</w:t>
      </w:r>
    </w:p>
    <w:p w14:paraId="2D761920" w14:textId="77777777" w:rsidR="002C6482" w:rsidRPr="00287AF5" w:rsidRDefault="002C6482" w:rsidP="001B5168"/>
    <w:p w14:paraId="26AEA6E9" w14:textId="7DA2715C" w:rsidR="00BB6A74" w:rsidRPr="00287AF5" w:rsidRDefault="00253E14" w:rsidP="009E54BC">
      <w:r w:rsidRPr="00287AF5">
        <w:t xml:space="preserve">Gli interventi per la competitività delle imprese assorbono una quota rilevante delle risorse totali </w:t>
      </w:r>
      <w:r w:rsidR="00837607" w:rsidRPr="00287AF5">
        <w:t xml:space="preserve">dedicate alle politiche dell’area economica </w:t>
      </w:r>
      <w:r w:rsidRPr="00287AF5">
        <w:t xml:space="preserve">(e.g. nel caso del FESR circa il 30% della dotazione del Programma, circa il 40% nel caso del FEASR). La rilevanza e i primi indizi sull’efficacia delle iniziative a fine 2019 suggerivano di dare continuità agli interventi per promuovere l’imprenditorialità, l’innovazione e l’internazionalizzazione con i dovuti accorgimenti migliorativi. Nel precedente rapporto di valutazione unitaria si sottolineava che alcuni interventi, come per esempio </w:t>
      </w:r>
      <w:r w:rsidR="00006E39">
        <w:t>“</w:t>
      </w:r>
      <w:r w:rsidRPr="00287AF5">
        <w:t>Export Business Manager</w:t>
      </w:r>
      <w:r w:rsidR="00006E39">
        <w:t>”</w:t>
      </w:r>
      <w:r w:rsidRPr="00287AF5">
        <w:t xml:space="preserve"> o la misura “Intraprendo” per l’avvio d’impresa hanno intercettato una domanda rilevante ma l’efficacia e le eventuali criticità legate al funzionamento degli interventi andrebbero approfondite.</w:t>
      </w:r>
      <w:r w:rsidR="00006E39">
        <w:t xml:space="preserve"> </w:t>
      </w:r>
      <w:r w:rsidRPr="00287AF5">
        <w:t>A fine 2020, per quanto riguarda l’attuazione degli interventi relativi al POR FESR afferenti all’area economica</w:t>
      </w:r>
      <w:r w:rsidR="00837607" w:rsidRPr="00287AF5">
        <w:t>,</w:t>
      </w:r>
      <w:r w:rsidRPr="00287AF5">
        <w:t xml:space="preserve"> si riscontra un miglioramento generale negli indicatori di monitoraggio. </w:t>
      </w:r>
      <w:r w:rsidR="00BB6A74" w:rsidRPr="00287AF5">
        <w:t>In particolare</w:t>
      </w:r>
      <w:r w:rsidR="009A314B" w:rsidRPr="00287AF5">
        <w:t>,</w:t>
      </w:r>
      <w:r w:rsidR="00BB6A74" w:rsidRPr="00287AF5">
        <w:t xml:space="preserve"> si è registrato un aumento nel numero di imprese che hanno ricevuto un sostegno. Queste variano dal 30,6% del target nel caso della priorità 3b ad oltre il 100% del target nel caso della priorità 3d.</w:t>
      </w:r>
      <w:r w:rsidR="00006E39">
        <w:t xml:space="preserve"> </w:t>
      </w:r>
      <w:r w:rsidR="009A314B" w:rsidRPr="00287AF5">
        <w:t>Sono in crescita anche il numero di imprese che cooperano con istituti di ricerca (oltre 100% del target), il numero di imprese che diversificano (73% del target), le nuove imprese che ricevono un sostegno (67,4% del target) e le imprese che introducono nuovi prodotti sul mercato (oltre 100% del target).</w:t>
      </w:r>
      <w:r w:rsidR="00AC30A2">
        <w:t xml:space="preserve"> Come indicato nel capitolo introduttivo del presente rapporto, il capitolo 3 è dedicato all’approfondimento valutativo sulle politiche per l’imprenditorialità, si rimanda dunque al suddetto capitolo per ulteriori considerazioni sul tema.</w:t>
      </w:r>
    </w:p>
    <w:p w14:paraId="1545FAA9" w14:textId="77777777" w:rsidR="009A314B" w:rsidRPr="00287AF5" w:rsidRDefault="009A314B" w:rsidP="009E54BC"/>
    <w:p w14:paraId="38ADD9D8" w14:textId="77777777" w:rsidR="009E54BC" w:rsidRDefault="009E54BC" w:rsidP="009E54BC">
      <w:r w:rsidRPr="00287AF5">
        <w:t>Gli interventi per l’accessibilità e l’uso delle ICT, che hanno un’importanza marginale da un punto di vista finanziario, sono stati valutati positivamente in termini di efficacia dei modelli adottati per la realizzazione delle infrastrutture, come confermato almeno in parte anche dalla dinamica degli indicatori</w:t>
      </w:r>
      <w:r w:rsidR="000C6276" w:rsidRPr="00287AF5">
        <w:t xml:space="preserve"> a fine 2019</w:t>
      </w:r>
      <w:r w:rsidRPr="00287AF5">
        <w:t>.</w:t>
      </w:r>
      <w:r w:rsidR="00A57CD6">
        <w:t xml:space="preserve"> </w:t>
      </w:r>
      <w:r w:rsidR="009A314B" w:rsidRPr="00287AF5">
        <w:t xml:space="preserve">A fine 2020, </w:t>
      </w:r>
      <w:r w:rsidR="007F5A1B" w:rsidRPr="00287AF5">
        <w:t>oltre il 100% del target risulta raggiunto sia per quanto riguarda i nuclei familiari aggiuntivi che accedono alla banda larga ad almeno 30mbps, sia per quanto concerne le unità immobiliari aggiuntive coperte da banda larga. Nonostante ciò, ne</w:t>
      </w:r>
      <w:r w:rsidR="000C6276" w:rsidRPr="00287AF5">
        <w:t>l</w:t>
      </w:r>
      <w:r w:rsidR="007F5A1B" w:rsidRPr="00287AF5">
        <w:t xml:space="preserve"> precedente rapporto di valutazione si </w:t>
      </w:r>
      <w:r w:rsidR="000C6276" w:rsidRPr="00287AF5">
        <w:t>sottolineava</w:t>
      </w:r>
      <w:r w:rsidR="007F5A1B" w:rsidRPr="00287AF5">
        <w:t>no</w:t>
      </w:r>
      <w:r w:rsidR="000C6276" w:rsidRPr="00287AF5">
        <w:t xml:space="preserve"> che</w:t>
      </w:r>
      <w:r w:rsidRPr="00287AF5">
        <w:t xml:space="preserve"> </w:t>
      </w:r>
      <w:r w:rsidR="007F5A1B" w:rsidRPr="00287AF5">
        <w:t xml:space="preserve">vi sono state </w:t>
      </w:r>
      <w:r w:rsidRPr="00287AF5">
        <w:t xml:space="preserve">criticità procedurali e gestionali dei bandi, non </w:t>
      </w:r>
      <w:r w:rsidR="007F5A1B" w:rsidRPr="00287AF5">
        <w:t xml:space="preserve">approfondite però </w:t>
      </w:r>
      <w:r w:rsidR="00AC30A2">
        <w:t xml:space="preserve">finora </w:t>
      </w:r>
      <w:r w:rsidR="007F5A1B" w:rsidRPr="00287AF5">
        <w:t>n</w:t>
      </w:r>
      <w:r w:rsidRPr="00287AF5">
        <w:t>elle analisi valutative</w:t>
      </w:r>
      <w:r w:rsidR="00AC30A2">
        <w:t xml:space="preserve"> dei valutatori indipendenti</w:t>
      </w:r>
      <w:r w:rsidRPr="00287AF5">
        <w:t>.</w:t>
      </w:r>
    </w:p>
    <w:p w14:paraId="008B1302" w14:textId="77777777" w:rsidR="009E54BC" w:rsidRDefault="009E54BC" w:rsidP="009E54BC"/>
    <w:p w14:paraId="7264D78A" w14:textId="77777777" w:rsidR="0051286A" w:rsidRPr="00287AF5" w:rsidRDefault="0051286A" w:rsidP="0051286A">
      <w:r w:rsidRPr="00287AF5">
        <w:t xml:space="preserve">Nel </w:t>
      </w:r>
      <w:r w:rsidR="00001DC5">
        <w:t xml:space="preserve">caso del </w:t>
      </w:r>
      <w:r w:rsidRPr="00287AF5">
        <w:t>PSR FEASR</w:t>
      </w:r>
      <w:r w:rsidR="00001DC5">
        <w:t xml:space="preserve">, </w:t>
      </w:r>
      <w:r w:rsidRPr="00287AF5">
        <w:t xml:space="preserve">la performance finanziaria della priorità II risulta migliore dell’anno precedente con una spesa pari al 46% delle risorse imputate a piano finanziario, aumentando rispetto al 40% dell’anno precedente. </w:t>
      </w:r>
    </w:p>
    <w:p w14:paraId="21ADC298" w14:textId="77777777" w:rsidR="0051286A" w:rsidRDefault="0051286A" w:rsidP="0055679D"/>
    <w:p w14:paraId="220F112B" w14:textId="77777777" w:rsidR="0051286A" w:rsidRDefault="00391246" w:rsidP="0051286A">
      <w:r>
        <w:t xml:space="preserve">Per quanto riguarda il raggiungimento dei target, </w:t>
      </w:r>
      <w:r w:rsidR="0051286A">
        <w:t>al 31 dicembre 2020</w:t>
      </w:r>
      <w:r>
        <w:t>,</w:t>
      </w:r>
      <w:r w:rsidR="0051286A">
        <w:t xml:space="preserve"> la Priorità 1</w:t>
      </w:r>
      <w:r>
        <w:t>, p</w:t>
      </w:r>
      <w:r w:rsidRPr="00391246">
        <w:t>romuovere il trasferimento di conoscenze e l'innovazione nel settore agricolo e forestale e nelle zone rurali</w:t>
      </w:r>
      <w:r>
        <w:t>,</w:t>
      </w:r>
      <w:r w:rsidR="0051286A">
        <w:t xml:space="preserve"> risulta ancora lontana da</w:t>
      </w:r>
      <w:r>
        <w:t>i valori obiettivo</w:t>
      </w:r>
      <w:r w:rsidR="0051286A">
        <w:t>, per ciascuna delle FA in essa previste. Soltanto per la FA 1B ed il relativo indicatore target (T2</w:t>
      </w:r>
      <w:r>
        <w:t xml:space="preserve"> “</w:t>
      </w:r>
      <w:r w:rsidRPr="00391246">
        <w:t>operazioni di cooperazione sovvenzionate</w:t>
      </w:r>
      <w:r>
        <w:t>”</w:t>
      </w:r>
      <w:r w:rsidR="0051286A">
        <w:t>) è possibile riscontrare un valore meno negativo (35%).</w:t>
      </w:r>
      <w:r>
        <w:t xml:space="preserve"> </w:t>
      </w:r>
      <w:r w:rsidR="0051286A">
        <w:t>In merito all</w:t>
      </w:r>
      <w:r>
        <w:t>a</w:t>
      </w:r>
      <w:r w:rsidR="0051286A">
        <w:t xml:space="preserve"> Priorità 2</w:t>
      </w:r>
      <w:r>
        <w:t>, p</w:t>
      </w:r>
      <w:r w:rsidR="0051286A">
        <w:t>otenziare la redditività delle aziende agricole e la competitività dell'agricoltura in tutte le sue forme e promuovere tecnologie innovative per le aziende e la gestione sostenibile delle foreste, l’avanzamento sembra soddisfacente per ciò che concerne entrambi gli indicatori target</w:t>
      </w:r>
      <w:r>
        <w:t xml:space="preserve"> (T4: percentuale di aziende agricole che fruiscono del sostegno del PSR per investimenti di ristrutturazione e ammodernamento; T5: percentuale di aziende agricole che attuano un piano di sviluppo/investimenti per i giovani agricoltori con il sostegno del PSR)</w:t>
      </w:r>
      <w:r w:rsidR="0051286A">
        <w:t>.</w:t>
      </w:r>
      <w:r>
        <w:t xml:space="preserve"> </w:t>
      </w:r>
      <w:r w:rsidR="0051286A">
        <w:t>In merito all</w:t>
      </w:r>
      <w:r>
        <w:t>a</w:t>
      </w:r>
      <w:r w:rsidR="0051286A">
        <w:t xml:space="preserve"> Priorità 3</w:t>
      </w:r>
      <w:r>
        <w:t>, p</w:t>
      </w:r>
      <w:r w:rsidR="0051286A">
        <w:t>romuovere l'organizzazione della filiera agroalimentare, compresa la trasformazione e la commercializzazione dei prodotti agricoli, il benessere degli animali e la gestione dei rischi nel settore agricolo, il Programma sembra mostrare un buon risultato in merito all’indicatore target della FA 3A che presenta un valore superiore al 70%</w:t>
      </w:r>
      <w:r>
        <w:t xml:space="preserve"> (</w:t>
      </w:r>
      <w:r w:rsidRPr="00391246">
        <w:t>T6: percentuale di aziende agricole che ricevono un sostegno per la partecipazione a regimi di qualità, mercati locali e filiere corte, nonché ad associazioni/organizzazioni di produttori</w:t>
      </w:r>
      <w:r>
        <w:t>)</w:t>
      </w:r>
      <w:r w:rsidR="0051286A">
        <w:t>.</w:t>
      </w:r>
    </w:p>
    <w:p w14:paraId="37127131" w14:textId="77777777" w:rsidR="00B027A4" w:rsidRDefault="00B027A4">
      <w:pPr>
        <w:spacing w:after="320" w:line="300" w:lineRule="auto"/>
        <w:jc w:val="left"/>
        <w:rPr>
          <w:b/>
          <w:bCs/>
          <w:color w:val="7F7F7F" w:themeColor="text1" w:themeTint="80"/>
          <w:sz w:val="32"/>
          <w:szCs w:val="26"/>
        </w:rPr>
      </w:pPr>
    </w:p>
    <w:p w14:paraId="598D4515" w14:textId="77777777" w:rsidR="00B962B4" w:rsidRDefault="00B962B4">
      <w:pPr>
        <w:spacing w:after="320" w:line="300" w:lineRule="auto"/>
        <w:jc w:val="left"/>
        <w:rPr>
          <w:b/>
          <w:bCs/>
          <w:color w:val="7F7F7F" w:themeColor="text1" w:themeTint="80"/>
          <w:sz w:val="32"/>
          <w:szCs w:val="26"/>
        </w:rPr>
      </w:pPr>
    </w:p>
    <w:p w14:paraId="1BA02021" w14:textId="77777777" w:rsidR="006F4DB0" w:rsidRDefault="004D6333" w:rsidP="00B27AA3">
      <w:pPr>
        <w:pStyle w:val="Titolo2"/>
      </w:pPr>
      <w:bookmarkStart w:id="35" w:name="_Toc91081392"/>
      <w:r>
        <w:t>Politiche riconducibili all’a</w:t>
      </w:r>
      <w:r w:rsidR="00B4132E">
        <w:t>rea territoriale</w:t>
      </w:r>
      <w:bookmarkEnd w:id="35"/>
    </w:p>
    <w:p w14:paraId="68FD623C" w14:textId="77777777" w:rsidR="00624B2A" w:rsidRPr="00624B2A" w:rsidRDefault="00624B2A" w:rsidP="00624B2A"/>
    <w:p w14:paraId="5BAE863D" w14:textId="77777777" w:rsidR="00B4132E" w:rsidRDefault="00B4132E" w:rsidP="00B27AA3">
      <w:pPr>
        <w:pStyle w:val="Titolo3"/>
      </w:pPr>
      <w:bookmarkStart w:id="36" w:name="_Toc91081393"/>
      <w:r w:rsidRPr="00922E2A">
        <w:t>Avanzamento degli interventi</w:t>
      </w:r>
      <w:bookmarkEnd w:id="36"/>
      <w:r w:rsidRPr="00922E2A">
        <w:t xml:space="preserve"> </w:t>
      </w:r>
    </w:p>
    <w:p w14:paraId="5160C852" w14:textId="77777777" w:rsidR="00B4132E" w:rsidRDefault="00B4132E" w:rsidP="00B4132E"/>
    <w:p w14:paraId="08F1DCCA" w14:textId="77777777" w:rsidR="0086197B" w:rsidRDefault="0086197B" w:rsidP="0086197B">
      <w:pPr>
        <w:pStyle w:val="Titolo4"/>
      </w:pPr>
      <w:r>
        <w:t>Avanzamento finanziario</w:t>
      </w:r>
    </w:p>
    <w:p w14:paraId="41AFF38B" w14:textId="77777777" w:rsidR="00624B2A" w:rsidRPr="00624B2A" w:rsidRDefault="00624B2A" w:rsidP="00624B2A"/>
    <w:p w14:paraId="161F0440" w14:textId="77777777" w:rsidR="002464C8" w:rsidRDefault="002464C8" w:rsidP="00624B2A">
      <w:r w:rsidRPr="009E54BC">
        <w:t>Le politiche co-finanziate dai fondi strutturali e di investimento europei che intendono contribuire ad una</w:t>
      </w:r>
      <w:r>
        <w:t xml:space="preserve"> </w:t>
      </w:r>
      <w:r w:rsidR="00FA0C8A">
        <w:t>c</w:t>
      </w:r>
      <w:r>
        <w:t>rescita sostenibile</w:t>
      </w:r>
      <w:r w:rsidR="00C35DCC">
        <w:t xml:space="preserve">, ossia ad </w:t>
      </w:r>
      <w:r>
        <w:t>un'economia più efficiente sotto il profilo delle risorse, più verde e più competitiva</w:t>
      </w:r>
      <w:r w:rsidRPr="009E54BC">
        <w:t xml:space="preserve">, convergono nell’area di analisi che nel presente rapporto è stata definita come “area </w:t>
      </w:r>
      <w:r>
        <w:t>territoriale</w:t>
      </w:r>
      <w:r w:rsidRPr="009E54BC">
        <w:t xml:space="preserve">”. Le missioni del Programma Regionale di Sviluppo (PRS) della XI Legislatura di Regione Lombardia che rientrano in questa area sono: </w:t>
      </w:r>
      <w:r>
        <w:t>assetto del territorio ed edilizia abitativa, soccorso civile, sviluppo sostenibile e tutela del territorio e dell’ambiente, energia e diversificazione delle fonti energetiche</w:t>
      </w:r>
      <w:r w:rsidRPr="009E54BC">
        <w:t>. A queste missioni si possono ricondurre gli interventi finanziati nell’ambito de</w:t>
      </w:r>
      <w:r w:rsidR="00702456">
        <w:t xml:space="preserve">ll’asse IV </w:t>
      </w:r>
      <w:r w:rsidRPr="009E54BC">
        <w:t xml:space="preserve">del POR FESR e le </w:t>
      </w:r>
      <w:r w:rsidR="00702456">
        <w:t>p</w:t>
      </w:r>
      <w:r w:rsidRPr="009E54BC">
        <w:t>riorità I</w:t>
      </w:r>
      <w:r w:rsidR="00702456">
        <w:t xml:space="preserve">V e V </w:t>
      </w:r>
      <w:r w:rsidRPr="009E54BC">
        <w:t>del PSR FEASR.</w:t>
      </w:r>
    </w:p>
    <w:p w14:paraId="3EF2BC2E" w14:textId="77777777" w:rsidR="00896B03" w:rsidRDefault="00896B03" w:rsidP="00624B2A">
      <w:bookmarkStart w:id="37" w:name="_Hlk74304736"/>
      <w:r>
        <w:t xml:space="preserve">La tabella che segue riporta l’avanzamento finanziario </w:t>
      </w:r>
      <w:r w:rsidR="009660F2">
        <w:t>dell’</w:t>
      </w:r>
      <w:r w:rsidR="005734F1">
        <w:t>A</w:t>
      </w:r>
      <w:r w:rsidR="009660F2">
        <w:t>sse</w:t>
      </w:r>
      <w:r>
        <w:t xml:space="preserve"> </w:t>
      </w:r>
      <w:r w:rsidR="005734F1">
        <w:t xml:space="preserve">IV </w:t>
      </w:r>
      <w:r>
        <w:t xml:space="preserve">del </w:t>
      </w:r>
      <w:r w:rsidRPr="00B027A4">
        <w:rPr>
          <w:b/>
          <w:bCs/>
        </w:rPr>
        <w:t>POR FESR</w:t>
      </w:r>
      <w:r>
        <w:t xml:space="preserve"> che contribuisc</w:t>
      </w:r>
      <w:r w:rsidR="009660F2">
        <w:t>e</w:t>
      </w:r>
      <w:r>
        <w:t xml:space="preserve"> agli obiettivi dell’area </w:t>
      </w:r>
      <w:r w:rsidR="009660F2">
        <w:t>territoriale</w:t>
      </w:r>
      <w:r>
        <w:t xml:space="preserve">, al 31 dicembre 2020. </w:t>
      </w:r>
      <w:r w:rsidR="00026B90">
        <w:t>Dei 95,6 milioni di euro programmati nell’ambito dell’</w:t>
      </w:r>
      <w:r w:rsidR="005734F1">
        <w:t>A</w:t>
      </w:r>
      <w:r w:rsidR="00026B90">
        <w:t>sse IV</w:t>
      </w:r>
      <w:r w:rsidR="005734F1">
        <w:t>,</w:t>
      </w:r>
      <w:r w:rsidR="00026B90">
        <w:t xml:space="preserve"> circa 80 milioni di euro (84,05%) sono stati impegnati </w:t>
      </w:r>
      <w:r w:rsidR="009D2F56">
        <w:t>ma</w:t>
      </w:r>
      <w:r w:rsidR="00026B90">
        <w:t xml:space="preserve"> </w:t>
      </w:r>
      <w:r w:rsidR="009D2F56">
        <w:t>solamente</w:t>
      </w:r>
      <w:r w:rsidR="00026B90">
        <w:t xml:space="preserve"> 24</w:t>
      </w:r>
      <w:r w:rsidR="005734F1">
        <w:t>,1</w:t>
      </w:r>
      <w:r w:rsidR="00026B90">
        <w:t xml:space="preserve"> milioni di euro sono stati </w:t>
      </w:r>
      <w:r w:rsidR="005734F1">
        <w:t>spesi</w:t>
      </w:r>
      <w:r w:rsidR="00026B90">
        <w:t xml:space="preserve"> (25,23%).</w:t>
      </w:r>
    </w:p>
    <w:p w14:paraId="0129FBA5" w14:textId="77777777" w:rsidR="00896B03" w:rsidRDefault="00896B03" w:rsidP="0086197B"/>
    <w:p w14:paraId="42A78EA1" w14:textId="77777777" w:rsidR="00C005FA" w:rsidRDefault="00C005FA" w:rsidP="00C005FA">
      <w:pPr>
        <w:pStyle w:val="Didascalia"/>
      </w:pPr>
      <w:bookmarkStart w:id="38" w:name="_Toc91081437"/>
      <w:r>
        <w:t xml:space="preserve">Tabella </w:t>
      </w:r>
      <w:r w:rsidR="004E6566">
        <w:fldChar w:fldCharType="begin"/>
      </w:r>
      <w:r>
        <w:instrText xml:space="preserve"> SEQ Tabella \* ARABIC </w:instrText>
      </w:r>
      <w:r w:rsidR="004E6566">
        <w:fldChar w:fldCharType="separate"/>
      </w:r>
      <w:r w:rsidR="00E53D6C">
        <w:rPr>
          <w:noProof/>
        </w:rPr>
        <w:t>11</w:t>
      </w:r>
      <w:r w:rsidR="004E6566">
        <w:fldChar w:fldCharType="end"/>
      </w:r>
      <w:r w:rsidR="001230B4">
        <w:t>. A</w:t>
      </w:r>
      <w:r>
        <w:t>vanzamento degli assi FESR - Area territoriale – fine 2020</w:t>
      </w:r>
      <w:bookmarkEnd w:id="38"/>
    </w:p>
    <w:tbl>
      <w:tblPr>
        <w:tblW w:w="9695" w:type="dxa"/>
        <w:tblLayout w:type="fixed"/>
        <w:tblLook w:val="04A0" w:firstRow="1" w:lastRow="0" w:firstColumn="1" w:lastColumn="0" w:noHBand="0" w:noVBand="1"/>
      </w:tblPr>
      <w:tblGrid>
        <w:gridCol w:w="3686"/>
        <w:gridCol w:w="1276"/>
        <w:gridCol w:w="1417"/>
        <w:gridCol w:w="1418"/>
        <w:gridCol w:w="991"/>
        <w:gridCol w:w="907"/>
      </w:tblGrid>
      <w:tr w:rsidR="008A282D" w:rsidRPr="00E03B88" w14:paraId="389B0A39" w14:textId="77777777" w:rsidTr="00E03B88">
        <w:trPr>
          <w:trHeight w:val="345"/>
        </w:trPr>
        <w:tc>
          <w:tcPr>
            <w:tcW w:w="3686" w:type="dxa"/>
            <w:tcBorders>
              <w:top w:val="nil"/>
              <w:left w:val="nil"/>
              <w:bottom w:val="nil"/>
              <w:right w:val="nil"/>
            </w:tcBorders>
            <w:shd w:val="clear" w:color="auto" w:fill="669748" w:themeFill="accent2" w:themeFillShade="BF"/>
            <w:noWrap/>
            <w:vAlign w:val="bottom"/>
            <w:hideMark/>
          </w:tcPr>
          <w:bookmarkEnd w:id="37"/>
          <w:p w14:paraId="31179E57" w14:textId="77777777" w:rsidR="008A282D" w:rsidRPr="00E03B88" w:rsidRDefault="008A282D" w:rsidP="008A282D">
            <w:pPr>
              <w:jc w:val="left"/>
              <w:rPr>
                <w:rFonts w:eastAsia="Times New Roman" w:cs="Calibri"/>
                <w:b/>
                <w:bCs/>
                <w:color w:val="FFFFFF"/>
                <w:sz w:val="16"/>
                <w:szCs w:val="16"/>
                <w:lang w:eastAsia="en-US"/>
              </w:rPr>
            </w:pPr>
            <w:r w:rsidRPr="00E03B88">
              <w:rPr>
                <w:rFonts w:eastAsia="Times New Roman" w:cs="Calibri"/>
                <w:b/>
                <w:bCs/>
                <w:color w:val="FFFFFF"/>
                <w:sz w:val="16"/>
                <w:szCs w:val="16"/>
                <w:lang w:eastAsia="en-US"/>
              </w:rPr>
              <w:t>Area</w:t>
            </w:r>
          </w:p>
        </w:tc>
        <w:tc>
          <w:tcPr>
            <w:tcW w:w="1276" w:type="dxa"/>
            <w:tcBorders>
              <w:top w:val="nil"/>
              <w:left w:val="nil"/>
              <w:bottom w:val="nil"/>
              <w:right w:val="nil"/>
            </w:tcBorders>
            <w:shd w:val="clear" w:color="auto" w:fill="669748" w:themeFill="accent2" w:themeFillShade="BF"/>
            <w:noWrap/>
            <w:vAlign w:val="bottom"/>
            <w:hideMark/>
          </w:tcPr>
          <w:p w14:paraId="72224B77" w14:textId="77777777" w:rsidR="008A282D" w:rsidRPr="00E03B88" w:rsidRDefault="008A282D" w:rsidP="00033A16">
            <w:pPr>
              <w:jc w:val="right"/>
              <w:rPr>
                <w:rFonts w:eastAsia="Times New Roman" w:cs="Calibri"/>
                <w:b/>
                <w:bCs/>
                <w:color w:val="FFFFFF"/>
                <w:sz w:val="16"/>
                <w:szCs w:val="16"/>
                <w:lang w:eastAsia="en-US"/>
              </w:rPr>
            </w:pPr>
            <w:r w:rsidRPr="00E03B88">
              <w:rPr>
                <w:rFonts w:eastAsia="Times New Roman" w:cs="Calibri"/>
                <w:b/>
                <w:bCs/>
                <w:color w:val="FFFFFF"/>
                <w:sz w:val="16"/>
                <w:szCs w:val="16"/>
                <w:lang w:eastAsia="en-US"/>
              </w:rPr>
              <w:t>A - Importo programmato</w:t>
            </w:r>
            <w:r w:rsidRPr="00E03B88">
              <w:rPr>
                <w:rFonts w:eastAsia="Times New Roman" w:cs="Calibri"/>
                <w:b/>
                <w:bCs/>
                <w:color w:val="FFFFFF"/>
                <w:sz w:val="16"/>
                <w:szCs w:val="16"/>
                <w:vertAlign w:val="superscript"/>
                <w:lang w:eastAsia="en-US"/>
              </w:rPr>
              <w:t>1</w:t>
            </w:r>
          </w:p>
        </w:tc>
        <w:tc>
          <w:tcPr>
            <w:tcW w:w="1417" w:type="dxa"/>
            <w:tcBorders>
              <w:top w:val="nil"/>
              <w:left w:val="nil"/>
              <w:bottom w:val="nil"/>
              <w:right w:val="nil"/>
            </w:tcBorders>
            <w:shd w:val="clear" w:color="auto" w:fill="669748" w:themeFill="accent2" w:themeFillShade="BF"/>
            <w:noWrap/>
            <w:vAlign w:val="bottom"/>
            <w:hideMark/>
          </w:tcPr>
          <w:p w14:paraId="28B60899" w14:textId="77777777" w:rsidR="008A282D" w:rsidRPr="00E03B88" w:rsidRDefault="008A282D" w:rsidP="00033A16">
            <w:pPr>
              <w:jc w:val="right"/>
              <w:rPr>
                <w:rFonts w:eastAsia="Times New Roman" w:cs="Calibri"/>
                <w:b/>
                <w:bCs/>
                <w:color w:val="FFFFFF"/>
                <w:sz w:val="16"/>
                <w:szCs w:val="16"/>
                <w:lang w:eastAsia="en-US"/>
              </w:rPr>
            </w:pPr>
            <w:r w:rsidRPr="00E03B88">
              <w:rPr>
                <w:rFonts w:eastAsia="Times New Roman" w:cs="Calibri"/>
                <w:b/>
                <w:bCs/>
                <w:color w:val="FFFFFF"/>
                <w:sz w:val="16"/>
                <w:szCs w:val="16"/>
                <w:lang w:eastAsia="en-US"/>
              </w:rPr>
              <w:t>B - Importo impegnato</w:t>
            </w:r>
          </w:p>
        </w:tc>
        <w:tc>
          <w:tcPr>
            <w:tcW w:w="1418" w:type="dxa"/>
            <w:tcBorders>
              <w:top w:val="nil"/>
              <w:left w:val="nil"/>
              <w:bottom w:val="nil"/>
              <w:right w:val="nil"/>
            </w:tcBorders>
            <w:shd w:val="clear" w:color="auto" w:fill="669748" w:themeFill="accent2" w:themeFillShade="BF"/>
            <w:noWrap/>
            <w:vAlign w:val="bottom"/>
            <w:hideMark/>
          </w:tcPr>
          <w:p w14:paraId="6A748C81" w14:textId="77777777" w:rsidR="008A282D" w:rsidRPr="00E03B88" w:rsidRDefault="008A282D" w:rsidP="00033A16">
            <w:pPr>
              <w:jc w:val="right"/>
              <w:rPr>
                <w:rFonts w:eastAsia="Times New Roman" w:cs="Calibri"/>
                <w:b/>
                <w:bCs/>
                <w:color w:val="FFFFFF"/>
                <w:sz w:val="16"/>
                <w:szCs w:val="16"/>
                <w:lang w:eastAsia="en-US"/>
              </w:rPr>
            </w:pPr>
            <w:r w:rsidRPr="00E03B88">
              <w:rPr>
                <w:rFonts w:eastAsia="Times New Roman" w:cs="Calibri"/>
                <w:b/>
                <w:bCs/>
                <w:color w:val="FFFFFF"/>
                <w:sz w:val="16"/>
                <w:szCs w:val="16"/>
                <w:lang w:eastAsia="en-US"/>
              </w:rPr>
              <w:t>C - Spesa ammissibile dichiarata da</w:t>
            </w:r>
            <w:r w:rsidR="00BE1F60" w:rsidRPr="00E03B88">
              <w:rPr>
                <w:rFonts w:eastAsia="Times New Roman" w:cs="Calibri"/>
                <w:b/>
                <w:bCs/>
                <w:color w:val="FFFFFF"/>
                <w:sz w:val="16"/>
                <w:szCs w:val="16"/>
                <w:lang w:eastAsia="en-US"/>
              </w:rPr>
              <w:t>i</w:t>
            </w:r>
            <w:r w:rsidRPr="00E03B88">
              <w:rPr>
                <w:rFonts w:eastAsia="Times New Roman" w:cs="Calibri"/>
                <w:b/>
                <w:bCs/>
                <w:color w:val="FFFFFF"/>
                <w:sz w:val="16"/>
                <w:szCs w:val="16"/>
                <w:lang w:eastAsia="en-US"/>
              </w:rPr>
              <w:t xml:space="preserve"> beneficiari</w:t>
            </w:r>
          </w:p>
        </w:tc>
        <w:tc>
          <w:tcPr>
            <w:tcW w:w="991" w:type="dxa"/>
            <w:tcBorders>
              <w:top w:val="nil"/>
              <w:left w:val="nil"/>
              <w:bottom w:val="nil"/>
              <w:right w:val="nil"/>
            </w:tcBorders>
            <w:shd w:val="clear" w:color="auto" w:fill="669748" w:themeFill="accent2" w:themeFillShade="BF"/>
            <w:noWrap/>
            <w:vAlign w:val="bottom"/>
            <w:hideMark/>
          </w:tcPr>
          <w:p w14:paraId="143F102D" w14:textId="77777777" w:rsidR="008A282D" w:rsidRPr="00E03B88" w:rsidRDefault="008A282D" w:rsidP="00033A16">
            <w:pPr>
              <w:jc w:val="right"/>
              <w:rPr>
                <w:rFonts w:eastAsia="Times New Roman" w:cs="Calibri"/>
                <w:b/>
                <w:bCs/>
                <w:color w:val="FFFFFF"/>
                <w:sz w:val="16"/>
                <w:szCs w:val="16"/>
                <w:lang w:eastAsia="en-US"/>
              </w:rPr>
            </w:pPr>
            <w:r w:rsidRPr="00E03B88">
              <w:rPr>
                <w:rFonts w:eastAsia="Times New Roman" w:cs="Calibri"/>
                <w:b/>
                <w:bCs/>
                <w:color w:val="FFFFFF"/>
                <w:sz w:val="16"/>
                <w:szCs w:val="16"/>
                <w:lang w:eastAsia="en-US"/>
              </w:rPr>
              <w:t>B/A - % impegnato</w:t>
            </w:r>
          </w:p>
        </w:tc>
        <w:tc>
          <w:tcPr>
            <w:tcW w:w="907" w:type="dxa"/>
            <w:tcBorders>
              <w:top w:val="nil"/>
              <w:left w:val="nil"/>
              <w:bottom w:val="nil"/>
              <w:right w:val="nil"/>
            </w:tcBorders>
            <w:shd w:val="clear" w:color="auto" w:fill="669748" w:themeFill="accent2" w:themeFillShade="BF"/>
            <w:noWrap/>
            <w:vAlign w:val="bottom"/>
            <w:hideMark/>
          </w:tcPr>
          <w:p w14:paraId="525C439F" w14:textId="77777777" w:rsidR="008A282D" w:rsidRPr="00E03B88" w:rsidRDefault="008A282D" w:rsidP="00033A16">
            <w:pPr>
              <w:jc w:val="right"/>
              <w:rPr>
                <w:rFonts w:eastAsia="Times New Roman" w:cs="Calibri"/>
                <w:b/>
                <w:bCs/>
                <w:color w:val="FFFFFF"/>
                <w:sz w:val="16"/>
                <w:szCs w:val="16"/>
                <w:lang w:eastAsia="en-US"/>
              </w:rPr>
            </w:pPr>
            <w:r w:rsidRPr="00E03B88">
              <w:rPr>
                <w:rFonts w:eastAsia="Times New Roman" w:cs="Calibri"/>
                <w:b/>
                <w:bCs/>
                <w:color w:val="FFFFFF"/>
                <w:sz w:val="16"/>
                <w:szCs w:val="16"/>
                <w:lang w:eastAsia="en-US"/>
              </w:rPr>
              <w:t>C/A - % speso</w:t>
            </w:r>
          </w:p>
        </w:tc>
      </w:tr>
      <w:tr w:rsidR="005E18CC" w:rsidRPr="00E03B88" w14:paraId="4CFCCD37" w14:textId="77777777" w:rsidTr="00E03B88">
        <w:trPr>
          <w:trHeight w:val="300"/>
        </w:trPr>
        <w:tc>
          <w:tcPr>
            <w:tcW w:w="3686" w:type="dxa"/>
            <w:tcBorders>
              <w:top w:val="nil"/>
              <w:left w:val="nil"/>
              <w:bottom w:val="single" w:sz="4" w:space="0" w:color="305496"/>
              <w:right w:val="nil"/>
            </w:tcBorders>
            <w:shd w:val="clear" w:color="000000" w:fill="E7E6E6"/>
            <w:noWrap/>
            <w:vAlign w:val="bottom"/>
            <w:hideMark/>
          </w:tcPr>
          <w:p w14:paraId="2EE3EFEB" w14:textId="77777777" w:rsidR="005E18CC" w:rsidRPr="00E03B88" w:rsidRDefault="005E18CC" w:rsidP="005E18CC">
            <w:pPr>
              <w:jc w:val="left"/>
              <w:rPr>
                <w:rFonts w:eastAsia="Times New Roman" w:cs="Calibri"/>
                <w:b/>
                <w:bCs/>
                <w:color w:val="000000"/>
                <w:sz w:val="16"/>
                <w:szCs w:val="16"/>
                <w:lang w:eastAsia="en-US"/>
              </w:rPr>
            </w:pPr>
            <w:r w:rsidRPr="00E03B88">
              <w:rPr>
                <w:rFonts w:eastAsia="Times New Roman" w:cs="Calibri"/>
                <w:b/>
                <w:bCs/>
                <w:color w:val="000000"/>
                <w:sz w:val="16"/>
                <w:szCs w:val="16"/>
                <w:lang w:eastAsia="en-US"/>
              </w:rPr>
              <w:t xml:space="preserve">Area </w:t>
            </w:r>
            <w:r w:rsidR="002D0949" w:rsidRPr="00E03B88">
              <w:rPr>
                <w:rFonts w:eastAsia="Times New Roman" w:cs="Calibri"/>
                <w:b/>
                <w:bCs/>
                <w:color w:val="000000"/>
                <w:sz w:val="16"/>
                <w:szCs w:val="16"/>
                <w:lang w:eastAsia="en-US"/>
              </w:rPr>
              <w:t>t</w:t>
            </w:r>
            <w:r w:rsidRPr="00E03B88">
              <w:rPr>
                <w:rFonts w:eastAsia="Times New Roman" w:cs="Calibri"/>
                <w:b/>
                <w:bCs/>
                <w:color w:val="000000"/>
                <w:sz w:val="16"/>
                <w:szCs w:val="16"/>
                <w:lang w:eastAsia="en-US"/>
              </w:rPr>
              <w:t>erritoriale</w:t>
            </w:r>
          </w:p>
        </w:tc>
        <w:tc>
          <w:tcPr>
            <w:tcW w:w="1276" w:type="dxa"/>
            <w:tcBorders>
              <w:top w:val="nil"/>
              <w:left w:val="nil"/>
              <w:bottom w:val="single" w:sz="4" w:space="0" w:color="305496"/>
              <w:right w:val="nil"/>
            </w:tcBorders>
            <w:shd w:val="clear" w:color="000000" w:fill="E7E6E6"/>
            <w:noWrap/>
            <w:vAlign w:val="bottom"/>
            <w:hideMark/>
          </w:tcPr>
          <w:p w14:paraId="7977E196" w14:textId="77777777" w:rsidR="005E18CC" w:rsidRPr="00E03B88" w:rsidRDefault="005E18CC" w:rsidP="00033A16">
            <w:pPr>
              <w:jc w:val="right"/>
              <w:rPr>
                <w:rFonts w:eastAsia="Times New Roman" w:cs="Calibri"/>
                <w:b/>
                <w:bCs/>
                <w:color w:val="000000"/>
                <w:sz w:val="16"/>
                <w:szCs w:val="16"/>
                <w:lang w:eastAsia="en-US"/>
              </w:rPr>
            </w:pPr>
            <w:r w:rsidRPr="00E03B88">
              <w:rPr>
                <w:rFonts w:eastAsia="Times New Roman" w:cs="Calibri"/>
                <w:b/>
                <w:bCs/>
                <w:color w:val="000000"/>
                <w:sz w:val="16"/>
                <w:szCs w:val="16"/>
                <w:lang w:eastAsia="en-US"/>
              </w:rPr>
              <w:t>95.558.092,00</w:t>
            </w:r>
          </w:p>
        </w:tc>
        <w:tc>
          <w:tcPr>
            <w:tcW w:w="1417" w:type="dxa"/>
            <w:tcBorders>
              <w:top w:val="nil"/>
              <w:left w:val="nil"/>
              <w:bottom w:val="single" w:sz="4" w:space="0" w:color="305496"/>
              <w:right w:val="nil"/>
            </w:tcBorders>
            <w:shd w:val="clear" w:color="000000" w:fill="E7E6E6"/>
            <w:noWrap/>
            <w:vAlign w:val="bottom"/>
            <w:hideMark/>
          </w:tcPr>
          <w:p w14:paraId="071621D2" w14:textId="77777777" w:rsidR="005E18CC" w:rsidRPr="00E03B88" w:rsidRDefault="005E18CC" w:rsidP="00033A16">
            <w:pPr>
              <w:jc w:val="right"/>
              <w:rPr>
                <w:rFonts w:eastAsia="Times New Roman" w:cs="Calibri"/>
                <w:b/>
                <w:bCs/>
                <w:color w:val="000000"/>
                <w:sz w:val="16"/>
                <w:szCs w:val="16"/>
                <w:lang w:eastAsia="en-US"/>
              </w:rPr>
            </w:pPr>
            <w:r w:rsidRPr="00E03B88">
              <w:rPr>
                <w:rFonts w:eastAsia="Times New Roman" w:cs="Calibri"/>
                <w:b/>
                <w:bCs/>
                <w:color w:val="000000"/>
                <w:sz w:val="16"/>
                <w:szCs w:val="16"/>
                <w:lang w:eastAsia="en-US"/>
              </w:rPr>
              <w:t>80.315.458,00</w:t>
            </w:r>
          </w:p>
        </w:tc>
        <w:tc>
          <w:tcPr>
            <w:tcW w:w="1418" w:type="dxa"/>
            <w:tcBorders>
              <w:top w:val="nil"/>
              <w:left w:val="nil"/>
              <w:bottom w:val="single" w:sz="4" w:space="0" w:color="305496"/>
              <w:right w:val="nil"/>
            </w:tcBorders>
            <w:shd w:val="clear" w:color="000000" w:fill="E7E6E6"/>
            <w:noWrap/>
            <w:vAlign w:val="bottom"/>
            <w:hideMark/>
          </w:tcPr>
          <w:p w14:paraId="771C1F2C" w14:textId="77777777" w:rsidR="005E18CC" w:rsidRPr="00E03B88" w:rsidRDefault="005E18CC" w:rsidP="00033A16">
            <w:pPr>
              <w:jc w:val="right"/>
              <w:rPr>
                <w:rFonts w:eastAsia="Times New Roman" w:cs="Calibri"/>
                <w:b/>
                <w:bCs/>
                <w:color w:val="000000"/>
                <w:sz w:val="16"/>
                <w:szCs w:val="16"/>
                <w:lang w:eastAsia="en-US"/>
              </w:rPr>
            </w:pPr>
            <w:r w:rsidRPr="00E03B88">
              <w:rPr>
                <w:rFonts w:eastAsia="Times New Roman" w:cs="Calibri"/>
                <w:b/>
                <w:bCs/>
                <w:color w:val="000000"/>
                <w:sz w:val="16"/>
                <w:szCs w:val="16"/>
                <w:lang w:eastAsia="en-US"/>
              </w:rPr>
              <w:t>24.113.436,00</w:t>
            </w:r>
          </w:p>
        </w:tc>
        <w:tc>
          <w:tcPr>
            <w:tcW w:w="991" w:type="dxa"/>
            <w:tcBorders>
              <w:top w:val="nil"/>
              <w:left w:val="nil"/>
              <w:bottom w:val="single" w:sz="4" w:space="0" w:color="305496"/>
              <w:right w:val="nil"/>
            </w:tcBorders>
            <w:shd w:val="clear" w:color="000000" w:fill="E7E6E6"/>
            <w:noWrap/>
            <w:vAlign w:val="bottom"/>
            <w:hideMark/>
          </w:tcPr>
          <w:p w14:paraId="0CE4C96F" w14:textId="77777777" w:rsidR="005E18CC" w:rsidRPr="00E03B88" w:rsidRDefault="005E18CC" w:rsidP="00033A16">
            <w:pPr>
              <w:jc w:val="right"/>
              <w:rPr>
                <w:rFonts w:eastAsia="Times New Roman" w:cs="Calibri"/>
                <w:b/>
                <w:bCs/>
                <w:color w:val="000000"/>
                <w:sz w:val="16"/>
                <w:szCs w:val="16"/>
                <w:lang w:eastAsia="en-US"/>
              </w:rPr>
            </w:pPr>
            <w:r w:rsidRPr="00E03B88">
              <w:rPr>
                <w:rFonts w:eastAsia="Times New Roman" w:cs="Calibri"/>
                <w:b/>
                <w:bCs/>
                <w:color w:val="000000"/>
                <w:sz w:val="16"/>
                <w:szCs w:val="16"/>
                <w:lang w:eastAsia="en-US"/>
              </w:rPr>
              <w:t>84,05%</w:t>
            </w:r>
          </w:p>
        </w:tc>
        <w:tc>
          <w:tcPr>
            <w:tcW w:w="907" w:type="dxa"/>
            <w:tcBorders>
              <w:top w:val="nil"/>
              <w:left w:val="nil"/>
              <w:bottom w:val="single" w:sz="4" w:space="0" w:color="305496"/>
              <w:right w:val="nil"/>
            </w:tcBorders>
            <w:shd w:val="clear" w:color="000000" w:fill="E7E6E6"/>
            <w:noWrap/>
            <w:vAlign w:val="bottom"/>
            <w:hideMark/>
          </w:tcPr>
          <w:p w14:paraId="401050E9" w14:textId="77777777" w:rsidR="005E18CC" w:rsidRPr="00E03B88" w:rsidRDefault="005E18CC" w:rsidP="00033A16">
            <w:pPr>
              <w:jc w:val="right"/>
              <w:rPr>
                <w:rFonts w:eastAsia="Times New Roman" w:cs="Calibri"/>
                <w:b/>
                <w:bCs/>
                <w:color w:val="000000"/>
                <w:sz w:val="16"/>
                <w:szCs w:val="16"/>
                <w:lang w:eastAsia="en-US"/>
              </w:rPr>
            </w:pPr>
            <w:r w:rsidRPr="00E03B88">
              <w:rPr>
                <w:rFonts w:eastAsia="Times New Roman" w:cs="Calibri"/>
                <w:b/>
                <w:bCs/>
                <w:color w:val="000000"/>
                <w:sz w:val="16"/>
                <w:szCs w:val="16"/>
                <w:lang w:eastAsia="en-US"/>
              </w:rPr>
              <w:t>25,23%</w:t>
            </w:r>
          </w:p>
        </w:tc>
      </w:tr>
      <w:tr w:rsidR="005E18CC" w:rsidRPr="00E03B88" w14:paraId="594F5A09" w14:textId="77777777" w:rsidTr="00E03B88">
        <w:trPr>
          <w:trHeight w:val="600"/>
        </w:trPr>
        <w:tc>
          <w:tcPr>
            <w:tcW w:w="3686" w:type="dxa"/>
            <w:tcBorders>
              <w:top w:val="nil"/>
              <w:left w:val="nil"/>
              <w:bottom w:val="single" w:sz="4" w:space="0" w:color="305496"/>
              <w:right w:val="nil"/>
            </w:tcBorders>
            <w:shd w:val="clear" w:color="auto" w:fill="auto"/>
            <w:vAlign w:val="bottom"/>
            <w:hideMark/>
          </w:tcPr>
          <w:p w14:paraId="19599744" w14:textId="77777777" w:rsidR="005E18CC" w:rsidRPr="00E03B88" w:rsidRDefault="005E18CC" w:rsidP="005E18CC">
            <w:pPr>
              <w:jc w:val="left"/>
              <w:rPr>
                <w:rFonts w:eastAsia="Times New Roman" w:cs="Calibri"/>
                <w:color w:val="000000"/>
                <w:sz w:val="16"/>
                <w:szCs w:val="16"/>
                <w:lang w:eastAsia="en-US"/>
              </w:rPr>
            </w:pPr>
            <w:r w:rsidRPr="00E03B88">
              <w:rPr>
                <w:rFonts w:eastAsia="Times New Roman" w:cs="Calibri"/>
                <w:color w:val="000000"/>
                <w:sz w:val="16"/>
                <w:szCs w:val="16"/>
                <w:lang w:eastAsia="en-US"/>
              </w:rPr>
              <w:t xml:space="preserve">IV  -  </w:t>
            </w:r>
            <w:r w:rsidR="00087205" w:rsidRPr="00E03B88">
              <w:rPr>
                <w:rFonts w:eastAsia="Times New Roman" w:cs="Calibri"/>
                <w:color w:val="000000"/>
                <w:sz w:val="16"/>
                <w:szCs w:val="16"/>
                <w:lang w:eastAsia="en-US"/>
              </w:rPr>
              <w:t>Sostenere la transizione verso un'economia a basse emissioni di carbonio in tutti i settori</w:t>
            </w:r>
          </w:p>
        </w:tc>
        <w:tc>
          <w:tcPr>
            <w:tcW w:w="1276" w:type="dxa"/>
            <w:tcBorders>
              <w:top w:val="nil"/>
              <w:left w:val="nil"/>
              <w:bottom w:val="single" w:sz="4" w:space="0" w:color="305496"/>
              <w:right w:val="nil"/>
            </w:tcBorders>
            <w:shd w:val="clear" w:color="auto" w:fill="auto"/>
            <w:noWrap/>
            <w:vAlign w:val="bottom"/>
            <w:hideMark/>
          </w:tcPr>
          <w:p w14:paraId="1D0CCED7" w14:textId="77777777" w:rsidR="005E18CC" w:rsidRPr="00E03B88" w:rsidRDefault="005E18CC"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95.558.092,00</w:t>
            </w:r>
          </w:p>
        </w:tc>
        <w:tc>
          <w:tcPr>
            <w:tcW w:w="1417" w:type="dxa"/>
            <w:tcBorders>
              <w:top w:val="nil"/>
              <w:left w:val="nil"/>
              <w:bottom w:val="single" w:sz="4" w:space="0" w:color="305496"/>
              <w:right w:val="nil"/>
            </w:tcBorders>
            <w:shd w:val="clear" w:color="auto" w:fill="auto"/>
            <w:noWrap/>
            <w:vAlign w:val="bottom"/>
            <w:hideMark/>
          </w:tcPr>
          <w:p w14:paraId="0F67DE5B" w14:textId="77777777" w:rsidR="005E18CC" w:rsidRPr="00E03B88" w:rsidRDefault="005E18CC"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80.315.458,00</w:t>
            </w:r>
          </w:p>
        </w:tc>
        <w:tc>
          <w:tcPr>
            <w:tcW w:w="1418" w:type="dxa"/>
            <w:tcBorders>
              <w:top w:val="nil"/>
              <w:left w:val="nil"/>
              <w:bottom w:val="single" w:sz="4" w:space="0" w:color="305496"/>
              <w:right w:val="nil"/>
            </w:tcBorders>
            <w:shd w:val="clear" w:color="auto" w:fill="auto"/>
            <w:noWrap/>
            <w:vAlign w:val="bottom"/>
            <w:hideMark/>
          </w:tcPr>
          <w:p w14:paraId="1ECA1124" w14:textId="77777777" w:rsidR="005E18CC" w:rsidRPr="00E03B88" w:rsidRDefault="005E18CC"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24.113.436,00</w:t>
            </w:r>
          </w:p>
        </w:tc>
        <w:tc>
          <w:tcPr>
            <w:tcW w:w="991" w:type="dxa"/>
            <w:tcBorders>
              <w:top w:val="nil"/>
              <w:left w:val="nil"/>
              <w:bottom w:val="single" w:sz="4" w:space="0" w:color="305496"/>
              <w:right w:val="nil"/>
            </w:tcBorders>
            <w:shd w:val="clear" w:color="auto" w:fill="auto"/>
            <w:noWrap/>
            <w:vAlign w:val="bottom"/>
            <w:hideMark/>
          </w:tcPr>
          <w:p w14:paraId="490061E0" w14:textId="77777777" w:rsidR="005E18CC" w:rsidRPr="00E03B88" w:rsidRDefault="005E18CC"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84,05%</w:t>
            </w:r>
          </w:p>
        </w:tc>
        <w:tc>
          <w:tcPr>
            <w:tcW w:w="907" w:type="dxa"/>
            <w:tcBorders>
              <w:top w:val="nil"/>
              <w:left w:val="nil"/>
              <w:bottom w:val="single" w:sz="4" w:space="0" w:color="305496"/>
              <w:right w:val="nil"/>
            </w:tcBorders>
            <w:shd w:val="clear" w:color="auto" w:fill="auto"/>
            <w:noWrap/>
            <w:vAlign w:val="bottom"/>
            <w:hideMark/>
          </w:tcPr>
          <w:p w14:paraId="2EB7B960" w14:textId="77777777" w:rsidR="005E18CC" w:rsidRPr="00E03B88" w:rsidRDefault="005E18CC"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25,23%</w:t>
            </w:r>
          </w:p>
        </w:tc>
      </w:tr>
    </w:tbl>
    <w:p w14:paraId="543DF405" w14:textId="77777777" w:rsidR="00AC1207" w:rsidRDefault="00AC1207" w:rsidP="00AC1207">
      <w:pPr>
        <w:rPr>
          <w:sz w:val="18"/>
          <w:szCs w:val="18"/>
        </w:rPr>
      </w:pPr>
      <w:r>
        <w:rPr>
          <w:sz w:val="18"/>
          <w:szCs w:val="18"/>
        </w:rPr>
        <w:t>Fonte: EU Open Data, 31.12.2020</w:t>
      </w:r>
    </w:p>
    <w:p w14:paraId="67C73B1B" w14:textId="77777777" w:rsidR="00C005FA" w:rsidRDefault="00451F67" w:rsidP="0086197B">
      <w:pPr>
        <w:rPr>
          <w:sz w:val="18"/>
          <w:szCs w:val="18"/>
        </w:rPr>
      </w:pPr>
      <w:r w:rsidRPr="00451F67">
        <w:rPr>
          <w:sz w:val="18"/>
          <w:szCs w:val="18"/>
        </w:rPr>
        <w:t xml:space="preserve">Nota: </w:t>
      </w:r>
      <w:r w:rsidRPr="00451F67">
        <w:rPr>
          <w:sz w:val="18"/>
          <w:szCs w:val="18"/>
          <w:vertAlign w:val="superscript"/>
        </w:rPr>
        <w:t xml:space="preserve">1 </w:t>
      </w:r>
      <w:r w:rsidRPr="00451F67">
        <w:rPr>
          <w:sz w:val="18"/>
          <w:szCs w:val="18"/>
        </w:rPr>
        <w:t>L’importo programmato comprende sia le risorse finanziarie dell’UE che nazionali.</w:t>
      </w:r>
    </w:p>
    <w:p w14:paraId="61336C19" w14:textId="77777777" w:rsidR="00451F67" w:rsidRDefault="00451F67" w:rsidP="0086197B"/>
    <w:p w14:paraId="0CC6ED80" w14:textId="77777777" w:rsidR="003F2A13" w:rsidRDefault="003F2A13" w:rsidP="0086197B">
      <w:r>
        <w:t>I progetti finanziati dall’</w:t>
      </w:r>
      <w:r w:rsidR="005734F1">
        <w:t>A</w:t>
      </w:r>
      <w:r>
        <w:t>sse IV riguardano prevalentemente interventi di efficientamento energetico di edifici pubblici</w:t>
      </w:r>
      <w:r w:rsidR="00336397">
        <w:t xml:space="preserve"> e un intervento per promuovere la mobilità ciclistica. Tutti i progetti </w:t>
      </w:r>
      <w:r w:rsidR="005734F1">
        <w:t>si caratterizzano per una spesa ammissibile dichiarata dai beneficiari inferiore al 50% dell’importo impegnato. Fa eccezione</w:t>
      </w:r>
      <w:r w:rsidR="00336397">
        <w:t xml:space="preserve"> il “</w:t>
      </w:r>
      <w:r w:rsidR="00336397" w:rsidRPr="00336397">
        <w:t>Bando per la riqualificazione energetica degli edifici di proprietà dei comuni con popolazione sino a 1.000 abitanti, delle comunità montane</w:t>
      </w:r>
      <w:r w:rsidR="005734F1">
        <w:t xml:space="preserve"> etc.</w:t>
      </w:r>
      <w:r w:rsidR="00336397">
        <w:t>”</w:t>
      </w:r>
      <w:r w:rsidR="00730C56">
        <w:t xml:space="preserve">, </w:t>
      </w:r>
      <w:r w:rsidR="005734F1">
        <w:t>per cui si è speso il</w:t>
      </w:r>
      <w:r w:rsidR="00730C56">
        <w:t xml:space="preserve"> 93,43%</w:t>
      </w:r>
      <w:r w:rsidR="005734F1">
        <w:t xml:space="preserve"> dell’impegnato</w:t>
      </w:r>
      <w:r w:rsidR="00336397">
        <w:t>.</w:t>
      </w:r>
    </w:p>
    <w:p w14:paraId="469208FD" w14:textId="77777777" w:rsidR="00E03B88" w:rsidRDefault="00E03B88" w:rsidP="0086197B"/>
    <w:p w14:paraId="6B6FA24E" w14:textId="77777777" w:rsidR="002C5688" w:rsidRDefault="002C5688" w:rsidP="002C5688">
      <w:pPr>
        <w:pStyle w:val="Didascalia"/>
      </w:pPr>
      <w:bookmarkStart w:id="39" w:name="_Toc91081438"/>
      <w:r>
        <w:t xml:space="preserve">Tabella </w:t>
      </w:r>
      <w:r w:rsidR="004E6566">
        <w:fldChar w:fldCharType="begin"/>
      </w:r>
      <w:r>
        <w:instrText xml:space="preserve"> SEQ Tabella \* ARABIC </w:instrText>
      </w:r>
      <w:r w:rsidR="004E6566">
        <w:fldChar w:fldCharType="separate"/>
      </w:r>
      <w:r w:rsidR="00E53D6C">
        <w:rPr>
          <w:noProof/>
        </w:rPr>
        <w:t>12</w:t>
      </w:r>
      <w:r w:rsidR="004E6566">
        <w:fldChar w:fldCharType="end"/>
      </w:r>
      <w:r w:rsidR="001230B4">
        <w:t>. A</w:t>
      </w:r>
      <w:r>
        <w:t xml:space="preserve">vanzamento degli interventi FESR - Area </w:t>
      </w:r>
      <w:r w:rsidR="004564CC">
        <w:t>territoriale</w:t>
      </w:r>
      <w:r>
        <w:t xml:space="preserve"> – fine 2020</w:t>
      </w:r>
      <w:bookmarkEnd w:id="39"/>
    </w:p>
    <w:tbl>
      <w:tblPr>
        <w:tblW w:w="9751" w:type="dxa"/>
        <w:tblLayout w:type="fixed"/>
        <w:tblLook w:val="04A0" w:firstRow="1" w:lastRow="0" w:firstColumn="1" w:lastColumn="0" w:noHBand="0" w:noVBand="1"/>
      </w:tblPr>
      <w:tblGrid>
        <w:gridCol w:w="4819"/>
        <w:gridCol w:w="1389"/>
        <w:gridCol w:w="1389"/>
        <w:gridCol w:w="1134"/>
        <w:gridCol w:w="1020"/>
      </w:tblGrid>
      <w:tr w:rsidR="00E70636" w:rsidRPr="00E03B88" w14:paraId="0BD03A8A" w14:textId="77777777" w:rsidTr="001A51AA">
        <w:trPr>
          <w:trHeight w:val="1161"/>
        </w:trPr>
        <w:tc>
          <w:tcPr>
            <w:tcW w:w="4819" w:type="dxa"/>
            <w:tcBorders>
              <w:top w:val="single" w:sz="8" w:space="0" w:color="548235"/>
              <w:left w:val="nil"/>
              <w:bottom w:val="nil"/>
              <w:right w:val="nil"/>
            </w:tcBorders>
            <w:shd w:val="clear" w:color="auto" w:fill="669748" w:themeFill="accent2" w:themeFillShade="BF"/>
            <w:vAlign w:val="bottom"/>
            <w:hideMark/>
          </w:tcPr>
          <w:p w14:paraId="34B286B8" w14:textId="77777777" w:rsidR="00E70636" w:rsidRPr="00E03B88" w:rsidRDefault="00E70636" w:rsidP="00E70636">
            <w:pPr>
              <w:jc w:val="left"/>
              <w:rPr>
                <w:rFonts w:eastAsia="Times New Roman" w:cs="Calibri"/>
                <w:b/>
                <w:bCs/>
                <w:color w:val="FFFFFF"/>
                <w:sz w:val="16"/>
                <w:szCs w:val="16"/>
                <w:lang w:eastAsia="en-US"/>
              </w:rPr>
            </w:pPr>
            <w:r w:rsidRPr="00E03B88">
              <w:rPr>
                <w:rFonts w:eastAsia="Times New Roman" w:cs="Calibri"/>
                <w:b/>
                <w:bCs/>
                <w:color w:val="FFFFFF"/>
                <w:sz w:val="16"/>
                <w:szCs w:val="16"/>
                <w:lang w:eastAsia="en-US"/>
              </w:rPr>
              <w:t>Interventi</w:t>
            </w:r>
          </w:p>
        </w:tc>
        <w:tc>
          <w:tcPr>
            <w:tcW w:w="1389" w:type="dxa"/>
            <w:tcBorders>
              <w:top w:val="single" w:sz="8" w:space="0" w:color="548235"/>
              <w:left w:val="nil"/>
              <w:bottom w:val="nil"/>
              <w:right w:val="nil"/>
            </w:tcBorders>
            <w:shd w:val="clear" w:color="auto" w:fill="669748" w:themeFill="accent2" w:themeFillShade="BF"/>
            <w:vAlign w:val="bottom"/>
            <w:hideMark/>
          </w:tcPr>
          <w:p w14:paraId="3FE70867" w14:textId="77777777" w:rsidR="00E70636" w:rsidRPr="00E03B88" w:rsidRDefault="00E70636" w:rsidP="00033A16">
            <w:pPr>
              <w:jc w:val="right"/>
              <w:rPr>
                <w:rFonts w:eastAsia="Times New Roman" w:cs="Calibri"/>
                <w:b/>
                <w:bCs/>
                <w:color w:val="FFFFFF"/>
                <w:sz w:val="16"/>
                <w:szCs w:val="16"/>
                <w:lang w:eastAsia="en-US"/>
              </w:rPr>
            </w:pPr>
            <w:r w:rsidRPr="00E03B88">
              <w:rPr>
                <w:rFonts w:eastAsia="Times New Roman" w:cs="Calibri"/>
                <w:b/>
                <w:bCs/>
                <w:color w:val="FFFFFF"/>
                <w:sz w:val="16"/>
                <w:szCs w:val="16"/>
                <w:lang w:eastAsia="en-US"/>
              </w:rPr>
              <w:t>A - Spesa pubblica ammissibile delle operazioni selezionate per il sostegno (EUR)</w:t>
            </w:r>
          </w:p>
        </w:tc>
        <w:tc>
          <w:tcPr>
            <w:tcW w:w="1389" w:type="dxa"/>
            <w:tcBorders>
              <w:top w:val="single" w:sz="8" w:space="0" w:color="548235"/>
              <w:left w:val="nil"/>
              <w:bottom w:val="nil"/>
              <w:right w:val="nil"/>
            </w:tcBorders>
            <w:shd w:val="clear" w:color="auto" w:fill="669748" w:themeFill="accent2" w:themeFillShade="BF"/>
            <w:vAlign w:val="bottom"/>
            <w:hideMark/>
          </w:tcPr>
          <w:p w14:paraId="1D3A1CCE" w14:textId="77777777" w:rsidR="00E70636" w:rsidRPr="00E03B88" w:rsidRDefault="00E70636" w:rsidP="00033A16">
            <w:pPr>
              <w:jc w:val="right"/>
              <w:rPr>
                <w:rFonts w:eastAsia="Times New Roman" w:cs="Calibri"/>
                <w:b/>
                <w:bCs/>
                <w:color w:val="FFFFFF"/>
                <w:sz w:val="16"/>
                <w:szCs w:val="16"/>
                <w:lang w:eastAsia="en-US"/>
              </w:rPr>
            </w:pPr>
            <w:r w:rsidRPr="00E03B88">
              <w:rPr>
                <w:rFonts w:eastAsia="Times New Roman" w:cs="Calibri"/>
                <w:b/>
                <w:bCs/>
                <w:color w:val="FFFFFF"/>
                <w:sz w:val="16"/>
                <w:szCs w:val="16"/>
                <w:lang w:eastAsia="en-US"/>
              </w:rPr>
              <w:t>B - Spesa totale ammissibile dichiarata dai beneficiari all'AdG (EUR)</w:t>
            </w:r>
          </w:p>
        </w:tc>
        <w:tc>
          <w:tcPr>
            <w:tcW w:w="1134" w:type="dxa"/>
            <w:tcBorders>
              <w:top w:val="single" w:sz="8" w:space="0" w:color="548235"/>
              <w:left w:val="nil"/>
              <w:bottom w:val="nil"/>
              <w:right w:val="nil"/>
            </w:tcBorders>
            <w:shd w:val="clear" w:color="auto" w:fill="669748" w:themeFill="accent2" w:themeFillShade="BF"/>
            <w:vAlign w:val="bottom"/>
            <w:hideMark/>
          </w:tcPr>
          <w:p w14:paraId="596FC5F4" w14:textId="77777777" w:rsidR="00E70636" w:rsidRPr="00E03B88" w:rsidRDefault="00E70636" w:rsidP="00033A16">
            <w:pPr>
              <w:jc w:val="right"/>
              <w:rPr>
                <w:rFonts w:eastAsia="Times New Roman" w:cs="Calibri"/>
                <w:b/>
                <w:bCs/>
                <w:color w:val="FFFFFF"/>
                <w:sz w:val="16"/>
                <w:szCs w:val="16"/>
                <w:lang w:eastAsia="en-US"/>
              </w:rPr>
            </w:pPr>
            <w:r w:rsidRPr="00E03B88">
              <w:rPr>
                <w:rFonts w:eastAsia="Times New Roman" w:cs="Calibri"/>
                <w:b/>
                <w:bCs/>
                <w:color w:val="FFFFFF"/>
                <w:sz w:val="16"/>
                <w:szCs w:val="16"/>
                <w:lang w:eastAsia="en-US"/>
              </w:rPr>
              <w:t>B/A - Spesa ammissibile dichiarata dai beneficiari (%)</w:t>
            </w:r>
          </w:p>
        </w:tc>
        <w:tc>
          <w:tcPr>
            <w:tcW w:w="1020" w:type="dxa"/>
            <w:tcBorders>
              <w:top w:val="single" w:sz="8" w:space="0" w:color="548235"/>
              <w:left w:val="nil"/>
              <w:bottom w:val="nil"/>
              <w:right w:val="nil"/>
            </w:tcBorders>
            <w:shd w:val="clear" w:color="auto" w:fill="669748" w:themeFill="accent2" w:themeFillShade="BF"/>
            <w:vAlign w:val="bottom"/>
            <w:hideMark/>
          </w:tcPr>
          <w:p w14:paraId="300A078B" w14:textId="77777777" w:rsidR="00E70636" w:rsidRPr="00E03B88" w:rsidRDefault="00E70636" w:rsidP="00033A16">
            <w:pPr>
              <w:jc w:val="right"/>
              <w:rPr>
                <w:rFonts w:eastAsia="Times New Roman" w:cs="Calibri"/>
                <w:b/>
                <w:bCs/>
                <w:color w:val="FFFFFF"/>
                <w:sz w:val="16"/>
                <w:szCs w:val="16"/>
                <w:lang w:eastAsia="en-US"/>
              </w:rPr>
            </w:pPr>
            <w:r w:rsidRPr="00E03B88">
              <w:rPr>
                <w:rFonts w:eastAsia="Times New Roman" w:cs="Calibri"/>
                <w:b/>
                <w:bCs/>
                <w:color w:val="FFFFFF"/>
                <w:sz w:val="16"/>
                <w:szCs w:val="16"/>
                <w:lang w:eastAsia="en-US"/>
              </w:rPr>
              <w:t>Numero di operazioni selezionate</w:t>
            </w:r>
          </w:p>
        </w:tc>
      </w:tr>
      <w:tr w:rsidR="00E70636" w:rsidRPr="00E03B88" w14:paraId="04B8841F" w14:textId="77777777" w:rsidTr="00EA0726">
        <w:trPr>
          <w:trHeight w:val="288"/>
        </w:trPr>
        <w:tc>
          <w:tcPr>
            <w:tcW w:w="4819" w:type="dxa"/>
            <w:tcBorders>
              <w:top w:val="nil"/>
              <w:left w:val="nil"/>
              <w:bottom w:val="single" w:sz="4" w:space="0" w:color="305496"/>
              <w:right w:val="nil"/>
            </w:tcBorders>
            <w:shd w:val="clear" w:color="auto" w:fill="auto"/>
            <w:noWrap/>
            <w:vAlign w:val="bottom"/>
            <w:hideMark/>
          </w:tcPr>
          <w:p w14:paraId="4E6267D8" w14:textId="77777777" w:rsidR="00E70636" w:rsidRPr="00E03B88" w:rsidRDefault="00E70636" w:rsidP="00E70636">
            <w:pPr>
              <w:jc w:val="left"/>
              <w:rPr>
                <w:rFonts w:eastAsia="Times New Roman" w:cs="Calibri"/>
                <w:b/>
                <w:bCs/>
                <w:color w:val="000000"/>
                <w:sz w:val="16"/>
                <w:szCs w:val="16"/>
                <w:lang w:eastAsia="en-US"/>
              </w:rPr>
            </w:pPr>
            <w:r w:rsidRPr="00E03B88">
              <w:rPr>
                <w:rFonts w:eastAsia="Times New Roman" w:cs="Calibri"/>
                <w:b/>
                <w:bCs/>
                <w:color w:val="000000"/>
                <w:sz w:val="16"/>
                <w:szCs w:val="16"/>
                <w:lang w:eastAsia="en-US"/>
              </w:rPr>
              <w:t>Area territoriale</w:t>
            </w:r>
          </w:p>
        </w:tc>
        <w:tc>
          <w:tcPr>
            <w:tcW w:w="1389" w:type="dxa"/>
            <w:tcBorders>
              <w:top w:val="nil"/>
              <w:left w:val="nil"/>
              <w:bottom w:val="single" w:sz="4" w:space="0" w:color="305496"/>
              <w:right w:val="nil"/>
            </w:tcBorders>
            <w:shd w:val="clear" w:color="auto" w:fill="auto"/>
            <w:noWrap/>
            <w:vAlign w:val="bottom"/>
            <w:hideMark/>
          </w:tcPr>
          <w:p w14:paraId="3036ADA6" w14:textId="5BE3D81F" w:rsidR="00E70636" w:rsidRPr="00E03B88" w:rsidRDefault="00E70636" w:rsidP="00033A16">
            <w:pPr>
              <w:jc w:val="right"/>
              <w:rPr>
                <w:rFonts w:eastAsia="Times New Roman" w:cs="Calibri"/>
                <w:b/>
                <w:bCs/>
                <w:color w:val="000000"/>
                <w:sz w:val="16"/>
                <w:szCs w:val="16"/>
                <w:lang w:eastAsia="en-US"/>
              </w:rPr>
            </w:pPr>
            <w:r w:rsidRPr="00E03B88">
              <w:rPr>
                <w:rFonts w:eastAsia="Times New Roman" w:cs="Calibri"/>
                <w:b/>
                <w:bCs/>
                <w:color w:val="000000"/>
                <w:sz w:val="16"/>
                <w:szCs w:val="16"/>
                <w:lang w:eastAsia="en-US"/>
              </w:rPr>
              <w:t>80.315.458</w:t>
            </w:r>
          </w:p>
        </w:tc>
        <w:tc>
          <w:tcPr>
            <w:tcW w:w="1389" w:type="dxa"/>
            <w:tcBorders>
              <w:top w:val="nil"/>
              <w:left w:val="nil"/>
              <w:bottom w:val="single" w:sz="4" w:space="0" w:color="305496"/>
              <w:right w:val="nil"/>
            </w:tcBorders>
            <w:shd w:val="clear" w:color="auto" w:fill="auto"/>
            <w:noWrap/>
            <w:vAlign w:val="bottom"/>
            <w:hideMark/>
          </w:tcPr>
          <w:p w14:paraId="3CB08D86" w14:textId="4EE70749" w:rsidR="00E70636" w:rsidRPr="00E03B88" w:rsidRDefault="00E70636" w:rsidP="00033A16">
            <w:pPr>
              <w:jc w:val="right"/>
              <w:rPr>
                <w:rFonts w:eastAsia="Times New Roman" w:cs="Calibri"/>
                <w:b/>
                <w:bCs/>
                <w:color w:val="000000"/>
                <w:sz w:val="16"/>
                <w:szCs w:val="16"/>
                <w:lang w:eastAsia="en-US"/>
              </w:rPr>
            </w:pPr>
            <w:r w:rsidRPr="00E03B88">
              <w:rPr>
                <w:rFonts w:eastAsia="Times New Roman" w:cs="Calibri"/>
                <w:b/>
                <w:bCs/>
                <w:color w:val="000000"/>
                <w:sz w:val="16"/>
                <w:szCs w:val="16"/>
                <w:lang w:eastAsia="en-US"/>
              </w:rPr>
              <w:t>24.113.436</w:t>
            </w:r>
          </w:p>
        </w:tc>
        <w:tc>
          <w:tcPr>
            <w:tcW w:w="1134" w:type="dxa"/>
            <w:tcBorders>
              <w:top w:val="nil"/>
              <w:left w:val="nil"/>
              <w:bottom w:val="single" w:sz="4" w:space="0" w:color="305496"/>
              <w:right w:val="nil"/>
            </w:tcBorders>
            <w:shd w:val="clear" w:color="auto" w:fill="auto"/>
            <w:noWrap/>
            <w:vAlign w:val="bottom"/>
            <w:hideMark/>
          </w:tcPr>
          <w:p w14:paraId="5C322DD0" w14:textId="77777777" w:rsidR="00E70636" w:rsidRPr="00E03B88" w:rsidRDefault="00E70636" w:rsidP="00033A16">
            <w:pPr>
              <w:jc w:val="right"/>
              <w:rPr>
                <w:rFonts w:eastAsia="Times New Roman" w:cs="Calibri"/>
                <w:b/>
                <w:bCs/>
                <w:color w:val="000000"/>
                <w:sz w:val="16"/>
                <w:szCs w:val="16"/>
                <w:lang w:eastAsia="en-US"/>
              </w:rPr>
            </w:pPr>
            <w:r w:rsidRPr="00E03B88">
              <w:rPr>
                <w:rFonts w:eastAsia="Times New Roman" w:cs="Calibri"/>
                <w:b/>
                <w:bCs/>
                <w:color w:val="000000"/>
                <w:sz w:val="16"/>
                <w:szCs w:val="16"/>
                <w:lang w:eastAsia="en-US"/>
              </w:rPr>
              <w:t>30,02%</w:t>
            </w:r>
          </w:p>
        </w:tc>
        <w:tc>
          <w:tcPr>
            <w:tcW w:w="1020" w:type="dxa"/>
            <w:tcBorders>
              <w:top w:val="nil"/>
              <w:left w:val="nil"/>
              <w:bottom w:val="single" w:sz="4" w:space="0" w:color="305496"/>
              <w:right w:val="nil"/>
            </w:tcBorders>
            <w:shd w:val="clear" w:color="auto" w:fill="auto"/>
            <w:noWrap/>
            <w:vAlign w:val="bottom"/>
            <w:hideMark/>
          </w:tcPr>
          <w:p w14:paraId="0C146021" w14:textId="100F5630" w:rsidR="00E70636" w:rsidRPr="00E03B88" w:rsidRDefault="00E70636" w:rsidP="00033A16">
            <w:pPr>
              <w:jc w:val="right"/>
              <w:rPr>
                <w:rFonts w:eastAsia="Times New Roman" w:cs="Calibri"/>
                <w:b/>
                <w:bCs/>
                <w:color w:val="000000"/>
                <w:sz w:val="16"/>
                <w:szCs w:val="16"/>
                <w:lang w:eastAsia="en-US"/>
              </w:rPr>
            </w:pPr>
            <w:r w:rsidRPr="00E03B88">
              <w:rPr>
                <w:rFonts w:eastAsia="Times New Roman" w:cs="Calibri"/>
                <w:b/>
                <w:bCs/>
                <w:color w:val="000000"/>
                <w:sz w:val="16"/>
                <w:szCs w:val="16"/>
                <w:lang w:eastAsia="en-US"/>
              </w:rPr>
              <w:t>182</w:t>
            </w:r>
          </w:p>
        </w:tc>
      </w:tr>
      <w:tr w:rsidR="00E70636" w:rsidRPr="00E03B88" w14:paraId="6E35F1BC" w14:textId="77777777" w:rsidTr="00EA0726">
        <w:trPr>
          <w:trHeight w:val="579"/>
        </w:trPr>
        <w:tc>
          <w:tcPr>
            <w:tcW w:w="4819" w:type="dxa"/>
            <w:tcBorders>
              <w:top w:val="single" w:sz="4" w:space="0" w:color="305496"/>
              <w:left w:val="nil"/>
              <w:bottom w:val="single" w:sz="4" w:space="0" w:color="305496"/>
              <w:right w:val="nil"/>
            </w:tcBorders>
            <w:shd w:val="clear" w:color="auto" w:fill="E4E3E2" w:themeFill="background2"/>
            <w:vAlign w:val="bottom"/>
            <w:hideMark/>
          </w:tcPr>
          <w:p w14:paraId="35B13A3B" w14:textId="77777777" w:rsidR="00E70636" w:rsidRPr="00E03B88" w:rsidRDefault="00E70636" w:rsidP="00E70636">
            <w:pPr>
              <w:jc w:val="left"/>
              <w:rPr>
                <w:rFonts w:eastAsia="Times New Roman" w:cs="Calibri"/>
                <w:b/>
                <w:bCs/>
                <w:color w:val="000000"/>
                <w:sz w:val="16"/>
                <w:szCs w:val="16"/>
                <w:lang w:eastAsia="en-US"/>
              </w:rPr>
            </w:pPr>
            <w:r w:rsidRPr="00E03B88">
              <w:rPr>
                <w:rFonts w:eastAsia="Times New Roman" w:cs="Calibri"/>
                <w:b/>
                <w:bCs/>
                <w:color w:val="000000"/>
                <w:sz w:val="16"/>
                <w:szCs w:val="16"/>
                <w:lang w:eastAsia="en-US"/>
              </w:rPr>
              <w:t>IV - SOSTENERE LA TRANSIZIONE VERSO UN'ECONOMIA A BASSE EMISSIONI DI CARBONIO IN TUTTI I SETTORI</w:t>
            </w:r>
          </w:p>
        </w:tc>
        <w:tc>
          <w:tcPr>
            <w:tcW w:w="1389" w:type="dxa"/>
            <w:tcBorders>
              <w:top w:val="single" w:sz="4" w:space="0" w:color="305496"/>
              <w:left w:val="nil"/>
              <w:bottom w:val="single" w:sz="4" w:space="0" w:color="305496"/>
              <w:right w:val="nil"/>
            </w:tcBorders>
            <w:shd w:val="clear" w:color="auto" w:fill="E4E3E2" w:themeFill="background2"/>
            <w:noWrap/>
            <w:vAlign w:val="bottom"/>
            <w:hideMark/>
          </w:tcPr>
          <w:p w14:paraId="6B13C046" w14:textId="376A1AAC" w:rsidR="00E70636" w:rsidRPr="00E03B88" w:rsidRDefault="00E70636" w:rsidP="00033A16">
            <w:pPr>
              <w:jc w:val="right"/>
              <w:rPr>
                <w:rFonts w:eastAsia="Times New Roman" w:cs="Calibri"/>
                <w:b/>
                <w:bCs/>
                <w:color w:val="000000"/>
                <w:sz w:val="16"/>
                <w:szCs w:val="16"/>
                <w:lang w:eastAsia="en-US"/>
              </w:rPr>
            </w:pPr>
            <w:r w:rsidRPr="00E03B88">
              <w:rPr>
                <w:rFonts w:eastAsia="Times New Roman" w:cs="Calibri"/>
                <w:b/>
                <w:bCs/>
                <w:color w:val="000000"/>
                <w:sz w:val="16"/>
                <w:szCs w:val="16"/>
                <w:lang w:eastAsia="en-US"/>
              </w:rPr>
              <w:t>80.315.458</w:t>
            </w:r>
          </w:p>
        </w:tc>
        <w:tc>
          <w:tcPr>
            <w:tcW w:w="1389" w:type="dxa"/>
            <w:tcBorders>
              <w:top w:val="single" w:sz="4" w:space="0" w:color="305496"/>
              <w:left w:val="nil"/>
              <w:bottom w:val="single" w:sz="4" w:space="0" w:color="305496"/>
              <w:right w:val="nil"/>
            </w:tcBorders>
            <w:shd w:val="clear" w:color="auto" w:fill="E4E3E2" w:themeFill="background2"/>
            <w:noWrap/>
            <w:vAlign w:val="bottom"/>
            <w:hideMark/>
          </w:tcPr>
          <w:p w14:paraId="6FC42B46" w14:textId="7C8E0AE7" w:rsidR="00E70636" w:rsidRPr="00E03B88" w:rsidRDefault="00E70636" w:rsidP="00033A16">
            <w:pPr>
              <w:jc w:val="right"/>
              <w:rPr>
                <w:rFonts w:eastAsia="Times New Roman" w:cs="Calibri"/>
                <w:b/>
                <w:bCs/>
                <w:color w:val="000000"/>
                <w:sz w:val="16"/>
                <w:szCs w:val="16"/>
                <w:lang w:eastAsia="en-US"/>
              </w:rPr>
            </w:pPr>
            <w:r w:rsidRPr="00E03B88">
              <w:rPr>
                <w:rFonts w:eastAsia="Times New Roman" w:cs="Calibri"/>
                <w:b/>
                <w:bCs/>
                <w:color w:val="000000"/>
                <w:sz w:val="16"/>
                <w:szCs w:val="16"/>
                <w:lang w:eastAsia="en-US"/>
              </w:rPr>
              <w:t>24.113.436</w:t>
            </w:r>
          </w:p>
        </w:tc>
        <w:tc>
          <w:tcPr>
            <w:tcW w:w="1134" w:type="dxa"/>
            <w:tcBorders>
              <w:top w:val="single" w:sz="4" w:space="0" w:color="305496"/>
              <w:left w:val="nil"/>
              <w:bottom w:val="single" w:sz="4" w:space="0" w:color="305496"/>
              <w:right w:val="nil"/>
            </w:tcBorders>
            <w:shd w:val="clear" w:color="auto" w:fill="E4E3E2" w:themeFill="background2"/>
            <w:noWrap/>
            <w:vAlign w:val="bottom"/>
            <w:hideMark/>
          </w:tcPr>
          <w:p w14:paraId="53BD015B" w14:textId="77777777" w:rsidR="00E70636" w:rsidRPr="00E03B88" w:rsidRDefault="00E70636" w:rsidP="00033A16">
            <w:pPr>
              <w:jc w:val="right"/>
              <w:rPr>
                <w:rFonts w:eastAsia="Times New Roman" w:cs="Calibri"/>
                <w:b/>
                <w:bCs/>
                <w:color w:val="000000"/>
                <w:sz w:val="16"/>
                <w:szCs w:val="16"/>
                <w:lang w:eastAsia="en-US"/>
              </w:rPr>
            </w:pPr>
            <w:r w:rsidRPr="00E03B88">
              <w:rPr>
                <w:rFonts w:eastAsia="Times New Roman" w:cs="Calibri"/>
                <w:b/>
                <w:bCs/>
                <w:color w:val="000000"/>
                <w:sz w:val="16"/>
                <w:szCs w:val="16"/>
                <w:lang w:eastAsia="en-US"/>
              </w:rPr>
              <w:t>30,02%</w:t>
            </w:r>
          </w:p>
        </w:tc>
        <w:tc>
          <w:tcPr>
            <w:tcW w:w="1020" w:type="dxa"/>
            <w:tcBorders>
              <w:top w:val="single" w:sz="4" w:space="0" w:color="305496"/>
              <w:left w:val="nil"/>
              <w:bottom w:val="single" w:sz="4" w:space="0" w:color="305496"/>
              <w:right w:val="nil"/>
            </w:tcBorders>
            <w:shd w:val="clear" w:color="auto" w:fill="E4E3E2" w:themeFill="background2"/>
            <w:noWrap/>
            <w:vAlign w:val="bottom"/>
            <w:hideMark/>
          </w:tcPr>
          <w:p w14:paraId="14E9F3AD" w14:textId="704538A0" w:rsidR="00E70636" w:rsidRPr="00E03B88" w:rsidRDefault="00E70636" w:rsidP="00033A16">
            <w:pPr>
              <w:jc w:val="right"/>
              <w:rPr>
                <w:rFonts w:eastAsia="Times New Roman" w:cs="Calibri"/>
                <w:b/>
                <w:bCs/>
                <w:color w:val="000000"/>
                <w:sz w:val="16"/>
                <w:szCs w:val="16"/>
                <w:lang w:eastAsia="en-US"/>
              </w:rPr>
            </w:pPr>
            <w:r w:rsidRPr="00E03B88">
              <w:rPr>
                <w:rFonts w:eastAsia="Times New Roman" w:cs="Calibri"/>
                <w:b/>
                <w:bCs/>
                <w:color w:val="000000"/>
                <w:sz w:val="16"/>
                <w:szCs w:val="16"/>
                <w:lang w:eastAsia="en-US"/>
              </w:rPr>
              <w:t>182</w:t>
            </w:r>
          </w:p>
        </w:tc>
      </w:tr>
      <w:tr w:rsidR="00E70636" w:rsidRPr="00E03B88" w14:paraId="68111C0F" w14:textId="77777777" w:rsidTr="00EA0726">
        <w:trPr>
          <w:trHeight w:val="288"/>
        </w:trPr>
        <w:tc>
          <w:tcPr>
            <w:tcW w:w="4819" w:type="dxa"/>
            <w:tcBorders>
              <w:top w:val="single" w:sz="4" w:space="0" w:color="305496"/>
              <w:left w:val="nil"/>
              <w:bottom w:val="nil"/>
              <w:right w:val="nil"/>
            </w:tcBorders>
            <w:shd w:val="clear" w:color="auto" w:fill="auto"/>
            <w:vAlign w:val="bottom"/>
            <w:hideMark/>
          </w:tcPr>
          <w:p w14:paraId="2687BADA" w14:textId="77777777" w:rsidR="00E70636" w:rsidRPr="00E03B88" w:rsidRDefault="00E70636" w:rsidP="00E70636">
            <w:pPr>
              <w:jc w:val="left"/>
              <w:rPr>
                <w:rFonts w:eastAsia="Times New Roman" w:cs="Calibri"/>
                <w:color w:val="000000"/>
                <w:sz w:val="16"/>
                <w:szCs w:val="16"/>
                <w:lang w:eastAsia="en-US"/>
              </w:rPr>
            </w:pPr>
            <w:r w:rsidRPr="00E03B88">
              <w:rPr>
                <w:rFonts w:eastAsia="Times New Roman" w:cs="Calibri"/>
                <w:color w:val="000000"/>
                <w:sz w:val="16"/>
                <w:szCs w:val="16"/>
                <w:lang w:eastAsia="en-US"/>
              </w:rPr>
              <w:t>Aree Interne Asse IV</w:t>
            </w:r>
          </w:p>
        </w:tc>
        <w:tc>
          <w:tcPr>
            <w:tcW w:w="1389" w:type="dxa"/>
            <w:tcBorders>
              <w:top w:val="single" w:sz="4" w:space="0" w:color="305496"/>
              <w:left w:val="nil"/>
              <w:bottom w:val="nil"/>
              <w:right w:val="nil"/>
            </w:tcBorders>
            <w:shd w:val="clear" w:color="auto" w:fill="auto"/>
            <w:noWrap/>
            <w:vAlign w:val="bottom"/>
            <w:hideMark/>
          </w:tcPr>
          <w:p w14:paraId="4017F2EB" w14:textId="2A9A43F1"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5.610.767</w:t>
            </w:r>
          </w:p>
        </w:tc>
        <w:tc>
          <w:tcPr>
            <w:tcW w:w="1389" w:type="dxa"/>
            <w:tcBorders>
              <w:top w:val="single" w:sz="4" w:space="0" w:color="305496"/>
              <w:left w:val="nil"/>
              <w:bottom w:val="nil"/>
              <w:right w:val="nil"/>
            </w:tcBorders>
            <w:shd w:val="clear" w:color="auto" w:fill="auto"/>
            <w:noWrap/>
            <w:vAlign w:val="bottom"/>
            <w:hideMark/>
          </w:tcPr>
          <w:p w14:paraId="71CF0446" w14:textId="7B2D4B17"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999.433</w:t>
            </w:r>
          </w:p>
        </w:tc>
        <w:tc>
          <w:tcPr>
            <w:tcW w:w="1134" w:type="dxa"/>
            <w:tcBorders>
              <w:top w:val="single" w:sz="4" w:space="0" w:color="305496"/>
              <w:left w:val="nil"/>
              <w:bottom w:val="nil"/>
              <w:right w:val="nil"/>
            </w:tcBorders>
            <w:shd w:val="clear" w:color="auto" w:fill="auto"/>
            <w:noWrap/>
            <w:vAlign w:val="bottom"/>
            <w:hideMark/>
          </w:tcPr>
          <w:p w14:paraId="2DE3E8A4" w14:textId="77777777"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17,81%</w:t>
            </w:r>
          </w:p>
        </w:tc>
        <w:tc>
          <w:tcPr>
            <w:tcW w:w="1020" w:type="dxa"/>
            <w:tcBorders>
              <w:top w:val="single" w:sz="4" w:space="0" w:color="305496"/>
              <w:left w:val="nil"/>
              <w:bottom w:val="nil"/>
              <w:right w:val="nil"/>
            </w:tcBorders>
            <w:shd w:val="clear" w:color="auto" w:fill="auto"/>
            <w:noWrap/>
            <w:vAlign w:val="bottom"/>
            <w:hideMark/>
          </w:tcPr>
          <w:p w14:paraId="1B60B51F" w14:textId="13A6A9B1"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22</w:t>
            </w:r>
          </w:p>
        </w:tc>
      </w:tr>
      <w:tr w:rsidR="00E70636" w:rsidRPr="00E03B88" w14:paraId="0B62CA63" w14:textId="77777777" w:rsidTr="00B962B4">
        <w:trPr>
          <w:trHeight w:val="405"/>
        </w:trPr>
        <w:tc>
          <w:tcPr>
            <w:tcW w:w="4819" w:type="dxa"/>
            <w:tcBorders>
              <w:top w:val="nil"/>
              <w:left w:val="nil"/>
              <w:bottom w:val="nil"/>
              <w:right w:val="nil"/>
            </w:tcBorders>
            <w:shd w:val="clear" w:color="auto" w:fill="auto"/>
            <w:vAlign w:val="bottom"/>
            <w:hideMark/>
          </w:tcPr>
          <w:p w14:paraId="736E5552" w14:textId="77777777" w:rsidR="00E70636" w:rsidRPr="00E03B88" w:rsidRDefault="00E70636" w:rsidP="00E70636">
            <w:pPr>
              <w:jc w:val="left"/>
              <w:rPr>
                <w:rFonts w:eastAsia="Times New Roman" w:cs="Calibri"/>
                <w:color w:val="000000"/>
                <w:sz w:val="16"/>
                <w:szCs w:val="16"/>
                <w:lang w:eastAsia="en-US"/>
              </w:rPr>
            </w:pPr>
            <w:r w:rsidRPr="00E03B88">
              <w:rPr>
                <w:rFonts w:eastAsia="Times New Roman" w:cs="Calibri"/>
                <w:color w:val="000000"/>
                <w:sz w:val="16"/>
                <w:szCs w:val="16"/>
                <w:lang w:eastAsia="en-US"/>
              </w:rPr>
              <w:t>Bando a graduatoria per efficientamento energetico degli edifici di proprietà dei Comuni con popolazione sino a 1000 abitanti</w:t>
            </w:r>
          </w:p>
        </w:tc>
        <w:tc>
          <w:tcPr>
            <w:tcW w:w="1389" w:type="dxa"/>
            <w:tcBorders>
              <w:top w:val="nil"/>
              <w:left w:val="nil"/>
              <w:bottom w:val="nil"/>
              <w:right w:val="nil"/>
            </w:tcBorders>
            <w:shd w:val="clear" w:color="auto" w:fill="auto"/>
            <w:noWrap/>
            <w:vAlign w:val="bottom"/>
            <w:hideMark/>
          </w:tcPr>
          <w:p w14:paraId="6ACC1DE0" w14:textId="7BC8BA59"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13.781.254</w:t>
            </w:r>
          </w:p>
        </w:tc>
        <w:tc>
          <w:tcPr>
            <w:tcW w:w="1389" w:type="dxa"/>
            <w:tcBorders>
              <w:top w:val="nil"/>
              <w:left w:val="nil"/>
              <w:bottom w:val="nil"/>
              <w:right w:val="nil"/>
            </w:tcBorders>
            <w:shd w:val="clear" w:color="auto" w:fill="auto"/>
            <w:noWrap/>
            <w:vAlign w:val="bottom"/>
            <w:hideMark/>
          </w:tcPr>
          <w:p w14:paraId="33A31A94" w14:textId="5EA1DA5F"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6.428.331</w:t>
            </w:r>
          </w:p>
        </w:tc>
        <w:tc>
          <w:tcPr>
            <w:tcW w:w="1134" w:type="dxa"/>
            <w:tcBorders>
              <w:top w:val="nil"/>
              <w:left w:val="nil"/>
              <w:bottom w:val="nil"/>
              <w:right w:val="nil"/>
            </w:tcBorders>
            <w:shd w:val="clear" w:color="auto" w:fill="auto"/>
            <w:noWrap/>
            <w:vAlign w:val="bottom"/>
            <w:hideMark/>
          </w:tcPr>
          <w:p w14:paraId="133F7184" w14:textId="77777777"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46,65%</w:t>
            </w:r>
          </w:p>
        </w:tc>
        <w:tc>
          <w:tcPr>
            <w:tcW w:w="1020" w:type="dxa"/>
            <w:tcBorders>
              <w:top w:val="nil"/>
              <w:left w:val="nil"/>
              <w:bottom w:val="nil"/>
              <w:right w:val="nil"/>
            </w:tcBorders>
            <w:shd w:val="clear" w:color="auto" w:fill="auto"/>
            <w:noWrap/>
            <w:vAlign w:val="bottom"/>
            <w:hideMark/>
          </w:tcPr>
          <w:p w14:paraId="03F28EF4" w14:textId="02435A0A"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80</w:t>
            </w:r>
          </w:p>
        </w:tc>
      </w:tr>
      <w:tr w:rsidR="00E70636" w:rsidRPr="00E03B88" w14:paraId="5C4314BD" w14:textId="77777777" w:rsidTr="00B962B4">
        <w:trPr>
          <w:trHeight w:val="683"/>
        </w:trPr>
        <w:tc>
          <w:tcPr>
            <w:tcW w:w="4819" w:type="dxa"/>
            <w:tcBorders>
              <w:top w:val="nil"/>
              <w:left w:val="nil"/>
              <w:bottom w:val="nil"/>
              <w:right w:val="nil"/>
            </w:tcBorders>
            <w:shd w:val="clear" w:color="auto" w:fill="auto"/>
            <w:vAlign w:val="bottom"/>
            <w:hideMark/>
          </w:tcPr>
          <w:p w14:paraId="67FADDBA" w14:textId="77777777" w:rsidR="00E70636" w:rsidRPr="00E03B88" w:rsidRDefault="00E70636" w:rsidP="00E70636">
            <w:pPr>
              <w:jc w:val="left"/>
              <w:rPr>
                <w:rFonts w:eastAsia="Times New Roman" w:cs="Calibri"/>
                <w:color w:val="000000"/>
                <w:sz w:val="16"/>
                <w:szCs w:val="16"/>
                <w:lang w:eastAsia="en-US"/>
              </w:rPr>
            </w:pPr>
            <w:r w:rsidRPr="00E03B88">
              <w:rPr>
                <w:rFonts w:eastAsia="Times New Roman" w:cs="Calibri"/>
                <w:color w:val="000000"/>
                <w:sz w:val="16"/>
                <w:szCs w:val="16"/>
                <w:lang w:eastAsia="en-US"/>
              </w:rPr>
              <w:t>Bando per la riqualificazione energetica degli edifici di proprietà dei comuni con popolazione sino a 1.000 abitanti, delle comunità montane, delle fusioni e delle unioni di comuni</w:t>
            </w:r>
          </w:p>
        </w:tc>
        <w:tc>
          <w:tcPr>
            <w:tcW w:w="1389" w:type="dxa"/>
            <w:tcBorders>
              <w:top w:val="nil"/>
              <w:left w:val="nil"/>
              <w:bottom w:val="nil"/>
              <w:right w:val="nil"/>
            </w:tcBorders>
            <w:shd w:val="clear" w:color="auto" w:fill="auto"/>
            <w:noWrap/>
            <w:vAlign w:val="bottom"/>
            <w:hideMark/>
          </w:tcPr>
          <w:p w14:paraId="1E191764" w14:textId="6CE1D7D8"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3.366.116</w:t>
            </w:r>
          </w:p>
        </w:tc>
        <w:tc>
          <w:tcPr>
            <w:tcW w:w="1389" w:type="dxa"/>
            <w:tcBorders>
              <w:top w:val="nil"/>
              <w:left w:val="nil"/>
              <w:bottom w:val="nil"/>
              <w:right w:val="nil"/>
            </w:tcBorders>
            <w:shd w:val="clear" w:color="auto" w:fill="auto"/>
            <w:noWrap/>
            <w:vAlign w:val="bottom"/>
            <w:hideMark/>
          </w:tcPr>
          <w:p w14:paraId="43A3239B" w14:textId="2F226BBD"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3.144.893</w:t>
            </w:r>
          </w:p>
        </w:tc>
        <w:tc>
          <w:tcPr>
            <w:tcW w:w="1134" w:type="dxa"/>
            <w:tcBorders>
              <w:top w:val="nil"/>
              <w:left w:val="nil"/>
              <w:bottom w:val="nil"/>
              <w:right w:val="nil"/>
            </w:tcBorders>
            <w:shd w:val="clear" w:color="auto" w:fill="auto"/>
            <w:noWrap/>
            <w:vAlign w:val="bottom"/>
            <w:hideMark/>
          </w:tcPr>
          <w:p w14:paraId="6499C7B3" w14:textId="77777777"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93,43%</w:t>
            </w:r>
          </w:p>
        </w:tc>
        <w:tc>
          <w:tcPr>
            <w:tcW w:w="1020" w:type="dxa"/>
            <w:tcBorders>
              <w:top w:val="nil"/>
              <w:left w:val="nil"/>
              <w:bottom w:val="nil"/>
              <w:right w:val="nil"/>
            </w:tcBorders>
            <w:shd w:val="clear" w:color="auto" w:fill="auto"/>
            <w:noWrap/>
            <w:vAlign w:val="bottom"/>
            <w:hideMark/>
          </w:tcPr>
          <w:p w14:paraId="7A8F086C" w14:textId="568BFC36"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25</w:t>
            </w:r>
          </w:p>
        </w:tc>
      </w:tr>
      <w:tr w:rsidR="00E70636" w:rsidRPr="00E03B88" w14:paraId="065CF96C" w14:textId="77777777" w:rsidTr="008F2592">
        <w:trPr>
          <w:trHeight w:val="288"/>
        </w:trPr>
        <w:tc>
          <w:tcPr>
            <w:tcW w:w="4819" w:type="dxa"/>
            <w:tcBorders>
              <w:top w:val="nil"/>
              <w:left w:val="nil"/>
              <w:bottom w:val="nil"/>
              <w:right w:val="nil"/>
            </w:tcBorders>
            <w:shd w:val="clear" w:color="auto" w:fill="auto"/>
            <w:vAlign w:val="bottom"/>
            <w:hideMark/>
          </w:tcPr>
          <w:p w14:paraId="147F7A18" w14:textId="77777777" w:rsidR="00E70636" w:rsidRPr="00E03B88" w:rsidRDefault="00E70636" w:rsidP="00E70636">
            <w:pPr>
              <w:jc w:val="left"/>
              <w:rPr>
                <w:rFonts w:eastAsia="Times New Roman" w:cs="Calibri"/>
                <w:color w:val="000000"/>
                <w:sz w:val="16"/>
                <w:szCs w:val="16"/>
                <w:lang w:eastAsia="en-US"/>
              </w:rPr>
            </w:pPr>
            <w:r w:rsidRPr="00E03B88">
              <w:rPr>
                <w:rFonts w:eastAsia="Times New Roman" w:cs="Calibri"/>
                <w:color w:val="000000"/>
                <w:sz w:val="16"/>
                <w:szCs w:val="16"/>
                <w:lang w:eastAsia="en-US"/>
              </w:rPr>
              <w:t>Efficientamento energetico edifici SAP</w:t>
            </w:r>
          </w:p>
        </w:tc>
        <w:tc>
          <w:tcPr>
            <w:tcW w:w="1389" w:type="dxa"/>
            <w:tcBorders>
              <w:top w:val="nil"/>
              <w:left w:val="nil"/>
              <w:bottom w:val="nil"/>
              <w:right w:val="nil"/>
            </w:tcBorders>
            <w:shd w:val="clear" w:color="auto" w:fill="auto"/>
            <w:noWrap/>
            <w:vAlign w:val="bottom"/>
            <w:hideMark/>
          </w:tcPr>
          <w:p w14:paraId="797B9F9D" w14:textId="5357998E"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4.599.326</w:t>
            </w:r>
          </w:p>
        </w:tc>
        <w:tc>
          <w:tcPr>
            <w:tcW w:w="1389" w:type="dxa"/>
            <w:tcBorders>
              <w:top w:val="nil"/>
              <w:left w:val="nil"/>
              <w:bottom w:val="nil"/>
              <w:right w:val="nil"/>
            </w:tcBorders>
            <w:shd w:val="clear" w:color="auto" w:fill="auto"/>
            <w:noWrap/>
            <w:vAlign w:val="bottom"/>
            <w:hideMark/>
          </w:tcPr>
          <w:p w14:paraId="16A75362" w14:textId="62AAB2AD"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0</w:t>
            </w:r>
          </w:p>
        </w:tc>
        <w:tc>
          <w:tcPr>
            <w:tcW w:w="1134" w:type="dxa"/>
            <w:tcBorders>
              <w:top w:val="nil"/>
              <w:left w:val="nil"/>
              <w:bottom w:val="nil"/>
              <w:right w:val="nil"/>
            </w:tcBorders>
            <w:shd w:val="clear" w:color="auto" w:fill="auto"/>
            <w:noWrap/>
            <w:vAlign w:val="bottom"/>
            <w:hideMark/>
          </w:tcPr>
          <w:p w14:paraId="2C368821" w14:textId="49958BBC"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0%</w:t>
            </w:r>
          </w:p>
        </w:tc>
        <w:tc>
          <w:tcPr>
            <w:tcW w:w="1020" w:type="dxa"/>
            <w:tcBorders>
              <w:top w:val="nil"/>
              <w:left w:val="nil"/>
              <w:bottom w:val="nil"/>
              <w:right w:val="nil"/>
            </w:tcBorders>
            <w:shd w:val="clear" w:color="auto" w:fill="auto"/>
            <w:noWrap/>
            <w:vAlign w:val="bottom"/>
            <w:hideMark/>
          </w:tcPr>
          <w:p w14:paraId="4311364D" w14:textId="091E92ED"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12</w:t>
            </w:r>
          </w:p>
        </w:tc>
      </w:tr>
      <w:tr w:rsidR="00E70636" w:rsidRPr="00E03B88" w14:paraId="34600435" w14:textId="77777777" w:rsidTr="008F2592">
        <w:trPr>
          <w:trHeight w:val="332"/>
        </w:trPr>
        <w:tc>
          <w:tcPr>
            <w:tcW w:w="4819" w:type="dxa"/>
            <w:tcBorders>
              <w:top w:val="nil"/>
              <w:left w:val="nil"/>
              <w:bottom w:val="nil"/>
              <w:right w:val="nil"/>
            </w:tcBorders>
            <w:shd w:val="clear" w:color="auto" w:fill="auto"/>
            <w:vAlign w:val="bottom"/>
            <w:hideMark/>
          </w:tcPr>
          <w:p w14:paraId="37D968B8" w14:textId="77777777" w:rsidR="00E70636" w:rsidRPr="00E03B88" w:rsidRDefault="00E70636" w:rsidP="00E70636">
            <w:pPr>
              <w:jc w:val="left"/>
              <w:rPr>
                <w:rFonts w:eastAsia="Times New Roman" w:cs="Calibri"/>
                <w:color w:val="000000"/>
                <w:sz w:val="16"/>
                <w:szCs w:val="16"/>
                <w:lang w:eastAsia="en-US"/>
              </w:rPr>
            </w:pPr>
            <w:r w:rsidRPr="00E03B88">
              <w:rPr>
                <w:rFonts w:eastAsia="Times New Roman" w:cs="Calibri"/>
                <w:color w:val="000000"/>
                <w:sz w:val="16"/>
                <w:szCs w:val="16"/>
                <w:lang w:eastAsia="en-US"/>
              </w:rPr>
              <w:t>Fondo Regionale per l'efficienza energetica (FREE)*</w:t>
            </w:r>
          </w:p>
        </w:tc>
        <w:tc>
          <w:tcPr>
            <w:tcW w:w="1389" w:type="dxa"/>
            <w:tcBorders>
              <w:top w:val="nil"/>
              <w:left w:val="nil"/>
              <w:bottom w:val="nil"/>
              <w:right w:val="nil"/>
            </w:tcBorders>
            <w:shd w:val="clear" w:color="auto" w:fill="auto"/>
            <w:noWrap/>
            <w:vAlign w:val="bottom"/>
            <w:hideMark/>
          </w:tcPr>
          <w:p w14:paraId="2A93356F" w14:textId="74F74996"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35.405.614</w:t>
            </w:r>
          </w:p>
        </w:tc>
        <w:tc>
          <w:tcPr>
            <w:tcW w:w="1389" w:type="dxa"/>
            <w:tcBorders>
              <w:top w:val="nil"/>
              <w:left w:val="nil"/>
              <w:bottom w:val="nil"/>
              <w:right w:val="nil"/>
            </w:tcBorders>
            <w:shd w:val="clear" w:color="auto" w:fill="auto"/>
            <w:noWrap/>
            <w:vAlign w:val="bottom"/>
            <w:hideMark/>
          </w:tcPr>
          <w:p w14:paraId="6C75ADF3" w14:textId="4DCF083C"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11.207.732</w:t>
            </w:r>
          </w:p>
        </w:tc>
        <w:tc>
          <w:tcPr>
            <w:tcW w:w="1134" w:type="dxa"/>
            <w:tcBorders>
              <w:top w:val="nil"/>
              <w:left w:val="nil"/>
              <w:bottom w:val="nil"/>
              <w:right w:val="nil"/>
            </w:tcBorders>
            <w:shd w:val="clear" w:color="auto" w:fill="auto"/>
            <w:noWrap/>
            <w:vAlign w:val="bottom"/>
            <w:hideMark/>
          </w:tcPr>
          <w:p w14:paraId="799F402E" w14:textId="77777777"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31,66%</w:t>
            </w:r>
          </w:p>
        </w:tc>
        <w:tc>
          <w:tcPr>
            <w:tcW w:w="1020" w:type="dxa"/>
            <w:tcBorders>
              <w:top w:val="nil"/>
              <w:left w:val="nil"/>
              <w:bottom w:val="nil"/>
              <w:right w:val="nil"/>
            </w:tcBorders>
            <w:shd w:val="clear" w:color="auto" w:fill="auto"/>
            <w:noWrap/>
            <w:vAlign w:val="bottom"/>
            <w:hideMark/>
          </w:tcPr>
          <w:p w14:paraId="6D6E1D1E" w14:textId="1A7BD2AC"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21</w:t>
            </w:r>
          </w:p>
        </w:tc>
      </w:tr>
      <w:tr w:rsidR="00E70636" w:rsidRPr="00E03B88" w14:paraId="08EC49FC" w14:textId="77777777" w:rsidTr="00B962B4">
        <w:trPr>
          <w:trHeight w:val="478"/>
        </w:trPr>
        <w:tc>
          <w:tcPr>
            <w:tcW w:w="4819" w:type="dxa"/>
            <w:tcBorders>
              <w:top w:val="nil"/>
              <w:left w:val="nil"/>
              <w:bottom w:val="single" w:sz="4" w:space="0" w:color="305496"/>
              <w:right w:val="nil"/>
            </w:tcBorders>
            <w:shd w:val="clear" w:color="auto" w:fill="auto"/>
            <w:vAlign w:val="bottom"/>
            <w:hideMark/>
          </w:tcPr>
          <w:p w14:paraId="628E25EA" w14:textId="77777777" w:rsidR="00E70636" w:rsidRPr="00E03B88" w:rsidRDefault="00E70636" w:rsidP="00E70636">
            <w:pPr>
              <w:jc w:val="left"/>
              <w:rPr>
                <w:rFonts w:eastAsia="Times New Roman" w:cs="Calibri"/>
                <w:color w:val="000000"/>
                <w:sz w:val="16"/>
                <w:szCs w:val="16"/>
                <w:lang w:eastAsia="en-US"/>
              </w:rPr>
            </w:pPr>
            <w:r w:rsidRPr="00E03B88">
              <w:rPr>
                <w:rFonts w:eastAsia="Times New Roman" w:cs="Calibri"/>
                <w:color w:val="000000"/>
                <w:sz w:val="16"/>
                <w:szCs w:val="16"/>
                <w:lang w:eastAsia="en-US"/>
              </w:rPr>
              <w:t xml:space="preserve">Misura </w:t>
            </w:r>
            <w:r w:rsidR="00543D24" w:rsidRPr="00E03B88">
              <w:rPr>
                <w:rFonts w:eastAsia="Times New Roman" w:cs="Calibri"/>
                <w:color w:val="000000"/>
                <w:sz w:val="16"/>
                <w:szCs w:val="16"/>
                <w:lang w:eastAsia="en-US"/>
              </w:rPr>
              <w:t xml:space="preserve">mobilità ciclistica </w:t>
            </w:r>
            <w:r w:rsidRPr="00E03B88">
              <w:rPr>
                <w:rFonts w:eastAsia="Times New Roman" w:cs="Calibri"/>
                <w:color w:val="000000"/>
                <w:sz w:val="16"/>
                <w:szCs w:val="16"/>
                <w:lang w:eastAsia="en-US"/>
              </w:rPr>
              <w:t>del POR FESR 2014 2020 avviso a presentare manifestazione di interesse</w:t>
            </w:r>
          </w:p>
        </w:tc>
        <w:tc>
          <w:tcPr>
            <w:tcW w:w="1389" w:type="dxa"/>
            <w:tcBorders>
              <w:top w:val="nil"/>
              <w:left w:val="nil"/>
              <w:bottom w:val="single" w:sz="4" w:space="0" w:color="305496"/>
              <w:right w:val="nil"/>
            </w:tcBorders>
            <w:shd w:val="clear" w:color="auto" w:fill="auto"/>
            <w:noWrap/>
            <w:vAlign w:val="bottom"/>
            <w:hideMark/>
          </w:tcPr>
          <w:p w14:paraId="025178D9" w14:textId="1B4DC10A"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17.552.381</w:t>
            </w:r>
          </w:p>
        </w:tc>
        <w:tc>
          <w:tcPr>
            <w:tcW w:w="1389" w:type="dxa"/>
            <w:tcBorders>
              <w:top w:val="nil"/>
              <w:left w:val="nil"/>
              <w:bottom w:val="single" w:sz="4" w:space="0" w:color="305496"/>
              <w:right w:val="nil"/>
            </w:tcBorders>
            <w:shd w:val="clear" w:color="auto" w:fill="auto"/>
            <w:noWrap/>
            <w:vAlign w:val="bottom"/>
            <w:hideMark/>
          </w:tcPr>
          <w:p w14:paraId="0A95D375" w14:textId="10F36B16"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2.333.047</w:t>
            </w:r>
          </w:p>
        </w:tc>
        <w:tc>
          <w:tcPr>
            <w:tcW w:w="1134" w:type="dxa"/>
            <w:tcBorders>
              <w:top w:val="nil"/>
              <w:left w:val="nil"/>
              <w:bottom w:val="single" w:sz="4" w:space="0" w:color="305496"/>
              <w:right w:val="nil"/>
            </w:tcBorders>
            <w:shd w:val="clear" w:color="auto" w:fill="auto"/>
            <w:noWrap/>
            <w:vAlign w:val="bottom"/>
            <w:hideMark/>
          </w:tcPr>
          <w:p w14:paraId="30DDF2F1" w14:textId="77777777"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13,29%</w:t>
            </w:r>
          </w:p>
        </w:tc>
        <w:tc>
          <w:tcPr>
            <w:tcW w:w="1020" w:type="dxa"/>
            <w:tcBorders>
              <w:top w:val="nil"/>
              <w:left w:val="nil"/>
              <w:bottom w:val="single" w:sz="4" w:space="0" w:color="305496"/>
              <w:right w:val="nil"/>
            </w:tcBorders>
            <w:shd w:val="clear" w:color="auto" w:fill="auto"/>
            <w:noWrap/>
            <w:vAlign w:val="bottom"/>
            <w:hideMark/>
          </w:tcPr>
          <w:p w14:paraId="4DBDE44D" w14:textId="655FE549" w:rsidR="00E70636" w:rsidRPr="00E03B88" w:rsidRDefault="00E70636" w:rsidP="00033A16">
            <w:pPr>
              <w:jc w:val="right"/>
              <w:rPr>
                <w:rFonts w:eastAsia="Times New Roman" w:cs="Calibri"/>
                <w:color w:val="000000"/>
                <w:sz w:val="16"/>
                <w:szCs w:val="16"/>
                <w:lang w:eastAsia="en-US"/>
              </w:rPr>
            </w:pPr>
            <w:r w:rsidRPr="00E03B88">
              <w:rPr>
                <w:rFonts w:eastAsia="Times New Roman" w:cs="Calibri"/>
                <w:color w:val="000000"/>
                <w:sz w:val="16"/>
                <w:szCs w:val="16"/>
                <w:lang w:eastAsia="en-US"/>
              </w:rPr>
              <w:t>22</w:t>
            </w:r>
          </w:p>
        </w:tc>
      </w:tr>
    </w:tbl>
    <w:p w14:paraId="6BDF08D5" w14:textId="77777777" w:rsidR="005D6B8F" w:rsidRDefault="005D6B8F" w:rsidP="005D6B8F">
      <w:pPr>
        <w:rPr>
          <w:sz w:val="18"/>
          <w:szCs w:val="18"/>
        </w:rPr>
      </w:pPr>
      <w:r>
        <w:rPr>
          <w:sz w:val="18"/>
          <w:szCs w:val="18"/>
        </w:rPr>
        <w:t>Fonte: Dati di monitoraggio forniti da Regione Lombardia aggiornati al 31.12.2020.</w:t>
      </w:r>
    </w:p>
    <w:p w14:paraId="6662CDBC" w14:textId="77777777" w:rsidR="008C66D8" w:rsidRPr="009E3807" w:rsidRDefault="008C66D8" w:rsidP="008C66D8">
      <w:pPr>
        <w:rPr>
          <w:sz w:val="18"/>
          <w:szCs w:val="18"/>
        </w:rPr>
      </w:pPr>
      <w:r w:rsidRPr="009E3807">
        <w:rPr>
          <w:sz w:val="18"/>
          <w:szCs w:val="18"/>
        </w:rPr>
        <w:t>Nota</w:t>
      </w:r>
      <w:r>
        <w:rPr>
          <w:sz w:val="18"/>
          <w:szCs w:val="18"/>
        </w:rPr>
        <w:t xml:space="preserve">: * Questi interventi sono stati riaggregati secondo quanto riportato nell’allegato </w:t>
      </w:r>
      <w:r w:rsidR="00E03B88">
        <w:rPr>
          <w:sz w:val="18"/>
          <w:szCs w:val="18"/>
        </w:rPr>
        <w:t>A.</w:t>
      </w:r>
    </w:p>
    <w:p w14:paraId="777B96F6" w14:textId="77777777" w:rsidR="00B027A4" w:rsidRDefault="00B027A4" w:rsidP="009F5A51"/>
    <w:p w14:paraId="5B5B4A42" w14:textId="77777777" w:rsidR="009F5A51" w:rsidRDefault="00242BAE" w:rsidP="009F5A51">
      <w:bookmarkStart w:id="40" w:name="_Hlk79157911"/>
      <w:r>
        <w:t xml:space="preserve">La tabella successiva riporta i dati sull’avanzamento finanziario delle </w:t>
      </w:r>
      <w:r w:rsidR="00A25901">
        <w:t xml:space="preserve">priorità del </w:t>
      </w:r>
      <w:r w:rsidRPr="00B027A4">
        <w:rPr>
          <w:b/>
          <w:bCs/>
        </w:rPr>
        <w:t>PSR FEASR</w:t>
      </w:r>
      <w:r w:rsidR="00A25901">
        <w:t xml:space="preserve"> che </w:t>
      </w:r>
      <w:r w:rsidR="00B027A4">
        <w:t xml:space="preserve">ricadono nelle </w:t>
      </w:r>
      <w:r w:rsidR="005734F1">
        <w:t>politiche de</w:t>
      </w:r>
      <w:r w:rsidR="00A25901">
        <w:t>ll’area territoriale</w:t>
      </w:r>
      <w:r>
        <w:t xml:space="preserve">. Il FEASR contribuisce </w:t>
      </w:r>
      <w:r w:rsidR="005734F1">
        <w:t xml:space="preserve">a questa </w:t>
      </w:r>
      <w:r>
        <w:t xml:space="preserve">area </w:t>
      </w:r>
      <w:r w:rsidR="005734F1">
        <w:t>con</w:t>
      </w:r>
      <w:r>
        <w:t xml:space="preserve"> 479,8 milioni di euro, di cui 324,4 milioni di euro afferenti </w:t>
      </w:r>
      <w:r w:rsidR="005734F1">
        <w:t>alla priorità</w:t>
      </w:r>
      <w:r>
        <w:t xml:space="preserve"> IV e 155,4 milioni di euro relativi </w:t>
      </w:r>
      <w:r w:rsidR="005734F1">
        <w:t>alla priorità</w:t>
      </w:r>
      <w:r>
        <w:t xml:space="preserve"> V. </w:t>
      </w:r>
      <w:r w:rsidR="00BE2647">
        <w:t xml:space="preserve">Gli interventi </w:t>
      </w:r>
      <w:r w:rsidR="005734F1">
        <w:t xml:space="preserve">mostrano </w:t>
      </w:r>
      <w:r w:rsidR="00BE2647">
        <w:t>un buono stato di avanzamento finanziario</w:t>
      </w:r>
      <w:r w:rsidR="00A25901">
        <w:t>, difatti,</w:t>
      </w:r>
      <w:r w:rsidR="004D3F1C">
        <w:t xml:space="preserve"> il 78,18%</w:t>
      </w:r>
      <w:r w:rsidR="005734F1">
        <w:t xml:space="preserve"> delle risorse è stato</w:t>
      </w:r>
      <w:r w:rsidR="004D3F1C">
        <w:t xml:space="preserve"> speso. </w:t>
      </w:r>
    </w:p>
    <w:p w14:paraId="583CBF96" w14:textId="77777777" w:rsidR="00E03B88" w:rsidRDefault="00E03B88" w:rsidP="009F5A51"/>
    <w:p w14:paraId="2D8EAFC4" w14:textId="77777777" w:rsidR="009F5A51" w:rsidRDefault="009F5A51" w:rsidP="009F5A51">
      <w:pPr>
        <w:pStyle w:val="Didascalia"/>
      </w:pPr>
      <w:bookmarkStart w:id="41" w:name="_Toc91081439"/>
      <w:r>
        <w:t xml:space="preserve">Tabella </w:t>
      </w:r>
      <w:r w:rsidR="004E6566">
        <w:fldChar w:fldCharType="begin"/>
      </w:r>
      <w:r>
        <w:instrText xml:space="preserve"> SEQ Tabella \* ARABIC </w:instrText>
      </w:r>
      <w:r w:rsidR="004E6566">
        <w:fldChar w:fldCharType="separate"/>
      </w:r>
      <w:r w:rsidR="00E53D6C">
        <w:rPr>
          <w:noProof/>
        </w:rPr>
        <w:t>13</w:t>
      </w:r>
      <w:r w:rsidR="004E6566">
        <w:fldChar w:fldCharType="end"/>
      </w:r>
      <w:r w:rsidR="001230B4">
        <w:t>. A</w:t>
      </w:r>
      <w:r>
        <w:t>vanzamento degli assi FEASR - Area territoriale – fine 2020</w:t>
      </w:r>
      <w:bookmarkEnd w:id="41"/>
    </w:p>
    <w:tbl>
      <w:tblPr>
        <w:tblW w:w="9695" w:type="dxa"/>
        <w:tblLayout w:type="fixed"/>
        <w:tblLook w:val="04A0" w:firstRow="1" w:lastRow="0" w:firstColumn="1" w:lastColumn="0" w:noHBand="0" w:noVBand="1"/>
      </w:tblPr>
      <w:tblGrid>
        <w:gridCol w:w="3798"/>
        <w:gridCol w:w="1361"/>
        <w:gridCol w:w="1361"/>
        <w:gridCol w:w="1361"/>
        <w:gridCol w:w="1050"/>
        <w:gridCol w:w="764"/>
      </w:tblGrid>
      <w:tr w:rsidR="00E95F35" w:rsidRPr="00E77C12" w14:paraId="4EFBB184" w14:textId="77777777" w:rsidTr="00E77C12">
        <w:trPr>
          <w:trHeight w:val="345"/>
        </w:trPr>
        <w:tc>
          <w:tcPr>
            <w:tcW w:w="3798" w:type="dxa"/>
            <w:tcBorders>
              <w:top w:val="nil"/>
              <w:left w:val="nil"/>
              <w:bottom w:val="nil"/>
              <w:right w:val="nil"/>
            </w:tcBorders>
            <w:shd w:val="clear" w:color="auto" w:fill="669748" w:themeFill="accent2" w:themeFillShade="BF"/>
            <w:noWrap/>
            <w:vAlign w:val="bottom"/>
            <w:hideMark/>
          </w:tcPr>
          <w:p w14:paraId="55F9B69D" w14:textId="77777777" w:rsidR="00E95F35" w:rsidRPr="00E77C12" w:rsidRDefault="00E95F35" w:rsidP="00E95F35">
            <w:pPr>
              <w:jc w:val="left"/>
              <w:rPr>
                <w:rFonts w:eastAsia="Times New Roman" w:cs="Calibri"/>
                <w:b/>
                <w:bCs/>
                <w:color w:val="FFFFFF"/>
                <w:sz w:val="16"/>
                <w:szCs w:val="16"/>
                <w:lang w:eastAsia="en-US"/>
              </w:rPr>
            </w:pPr>
            <w:bookmarkStart w:id="42" w:name="_Hlk86745702"/>
            <w:r w:rsidRPr="00E77C12">
              <w:rPr>
                <w:rFonts w:eastAsia="Times New Roman" w:cs="Calibri"/>
                <w:b/>
                <w:bCs/>
                <w:color w:val="FFFFFF"/>
                <w:sz w:val="16"/>
                <w:szCs w:val="16"/>
                <w:lang w:eastAsia="en-US"/>
              </w:rPr>
              <w:t>Area</w:t>
            </w:r>
          </w:p>
        </w:tc>
        <w:tc>
          <w:tcPr>
            <w:tcW w:w="1361" w:type="dxa"/>
            <w:tcBorders>
              <w:top w:val="nil"/>
              <w:left w:val="nil"/>
              <w:bottom w:val="nil"/>
              <w:right w:val="nil"/>
            </w:tcBorders>
            <w:shd w:val="clear" w:color="auto" w:fill="669748" w:themeFill="accent2" w:themeFillShade="BF"/>
            <w:noWrap/>
            <w:vAlign w:val="bottom"/>
            <w:hideMark/>
          </w:tcPr>
          <w:p w14:paraId="67DF78A7" w14:textId="77777777" w:rsidR="00E95F35" w:rsidRPr="00E77C12" w:rsidRDefault="00E95F35" w:rsidP="00033A16">
            <w:pPr>
              <w:jc w:val="right"/>
              <w:rPr>
                <w:rFonts w:eastAsia="Times New Roman" w:cs="Calibri"/>
                <w:b/>
                <w:bCs/>
                <w:color w:val="FFFFFF"/>
                <w:sz w:val="16"/>
                <w:szCs w:val="16"/>
                <w:lang w:eastAsia="en-US"/>
              </w:rPr>
            </w:pPr>
            <w:r w:rsidRPr="00E77C12">
              <w:rPr>
                <w:rFonts w:eastAsia="Times New Roman" w:cs="Calibri"/>
                <w:b/>
                <w:bCs/>
                <w:color w:val="FFFFFF"/>
                <w:sz w:val="16"/>
                <w:szCs w:val="16"/>
                <w:lang w:eastAsia="en-US"/>
              </w:rPr>
              <w:t>A - Importo programmato</w:t>
            </w:r>
            <w:r w:rsidRPr="00E77C12">
              <w:rPr>
                <w:rFonts w:eastAsia="Times New Roman" w:cs="Calibri"/>
                <w:b/>
                <w:bCs/>
                <w:color w:val="FFFFFF"/>
                <w:sz w:val="16"/>
                <w:szCs w:val="16"/>
                <w:vertAlign w:val="superscript"/>
                <w:lang w:eastAsia="en-US"/>
              </w:rPr>
              <w:t>1</w:t>
            </w:r>
          </w:p>
        </w:tc>
        <w:tc>
          <w:tcPr>
            <w:tcW w:w="1361" w:type="dxa"/>
            <w:tcBorders>
              <w:top w:val="nil"/>
              <w:left w:val="nil"/>
              <w:bottom w:val="nil"/>
              <w:right w:val="nil"/>
            </w:tcBorders>
            <w:shd w:val="clear" w:color="auto" w:fill="669748" w:themeFill="accent2" w:themeFillShade="BF"/>
            <w:noWrap/>
            <w:vAlign w:val="bottom"/>
          </w:tcPr>
          <w:p w14:paraId="032493C9" w14:textId="77777777" w:rsidR="00E95F35" w:rsidRPr="00E77C12" w:rsidRDefault="00E95F35" w:rsidP="00033A16">
            <w:pPr>
              <w:jc w:val="right"/>
              <w:rPr>
                <w:rFonts w:eastAsia="Times New Roman" w:cs="Calibri"/>
                <w:b/>
                <w:bCs/>
                <w:color w:val="FFFFFF"/>
                <w:sz w:val="16"/>
                <w:szCs w:val="16"/>
                <w:lang w:eastAsia="en-US"/>
              </w:rPr>
            </w:pPr>
            <w:r w:rsidRPr="00E77C12">
              <w:rPr>
                <w:rFonts w:eastAsia="Times New Roman" w:cs="Calibri"/>
                <w:b/>
                <w:bCs/>
                <w:color w:val="FFFFFF"/>
                <w:sz w:val="16"/>
                <w:szCs w:val="16"/>
                <w:lang w:eastAsia="en-US"/>
              </w:rPr>
              <w:t>B - Importo impegnato</w:t>
            </w:r>
          </w:p>
        </w:tc>
        <w:tc>
          <w:tcPr>
            <w:tcW w:w="1361" w:type="dxa"/>
            <w:tcBorders>
              <w:top w:val="nil"/>
              <w:left w:val="nil"/>
              <w:bottom w:val="nil"/>
              <w:right w:val="nil"/>
            </w:tcBorders>
            <w:shd w:val="clear" w:color="auto" w:fill="669748" w:themeFill="accent2" w:themeFillShade="BF"/>
            <w:noWrap/>
            <w:vAlign w:val="bottom"/>
            <w:hideMark/>
          </w:tcPr>
          <w:p w14:paraId="2D4635D3" w14:textId="77777777" w:rsidR="00E95F35" w:rsidRPr="00E77C12" w:rsidRDefault="00E95F35" w:rsidP="00033A16">
            <w:pPr>
              <w:jc w:val="right"/>
              <w:rPr>
                <w:rFonts w:eastAsia="Times New Roman" w:cs="Calibri"/>
                <w:b/>
                <w:bCs/>
                <w:color w:val="FFFFFF"/>
                <w:sz w:val="16"/>
                <w:szCs w:val="16"/>
                <w:lang w:eastAsia="en-US"/>
              </w:rPr>
            </w:pPr>
            <w:r w:rsidRPr="00E77C12">
              <w:rPr>
                <w:rFonts w:eastAsia="Times New Roman" w:cs="Calibri"/>
                <w:b/>
                <w:bCs/>
                <w:color w:val="FFFFFF"/>
                <w:sz w:val="16"/>
                <w:szCs w:val="16"/>
                <w:lang w:eastAsia="en-US"/>
              </w:rPr>
              <w:t>C - Spesa ammissibile dichiarata da</w:t>
            </w:r>
            <w:r w:rsidR="00BE1F60" w:rsidRPr="00E77C12">
              <w:rPr>
                <w:rFonts w:eastAsia="Times New Roman" w:cs="Calibri"/>
                <w:b/>
                <w:bCs/>
                <w:color w:val="FFFFFF"/>
                <w:sz w:val="16"/>
                <w:szCs w:val="16"/>
                <w:lang w:eastAsia="en-US"/>
              </w:rPr>
              <w:t>i</w:t>
            </w:r>
            <w:r w:rsidRPr="00E77C12">
              <w:rPr>
                <w:rFonts w:eastAsia="Times New Roman" w:cs="Calibri"/>
                <w:b/>
                <w:bCs/>
                <w:color w:val="FFFFFF"/>
                <w:sz w:val="16"/>
                <w:szCs w:val="16"/>
                <w:lang w:eastAsia="en-US"/>
              </w:rPr>
              <w:t xml:space="preserve"> beneficiari</w:t>
            </w:r>
          </w:p>
        </w:tc>
        <w:tc>
          <w:tcPr>
            <w:tcW w:w="1050" w:type="dxa"/>
            <w:tcBorders>
              <w:top w:val="nil"/>
              <w:left w:val="nil"/>
              <w:bottom w:val="nil"/>
              <w:right w:val="nil"/>
            </w:tcBorders>
            <w:shd w:val="clear" w:color="auto" w:fill="669748" w:themeFill="accent2" w:themeFillShade="BF"/>
            <w:noWrap/>
            <w:vAlign w:val="bottom"/>
          </w:tcPr>
          <w:p w14:paraId="798BB525" w14:textId="77777777" w:rsidR="00E95F35" w:rsidRPr="00E77C12" w:rsidRDefault="00E95F35" w:rsidP="00033A16">
            <w:pPr>
              <w:jc w:val="right"/>
              <w:rPr>
                <w:rFonts w:eastAsia="Times New Roman" w:cs="Calibri"/>
                <w:b/>
                <w:bCs/>
                <w:color w:val="FFFFFF"/>
                <w:sz w:val="16"/>
                <w:szCs w:val="16"/>
                <w:lang w:eastAsia="en-US"/>
              </w:rPr>
            </w:pPr>
            <w:r w:rsidRPr="00E77C12">
              <w:rPr>
                <w:rFonts w:eastAsia="Times New Roman" w:cs="Calibri"/>
                <w:b/>
                <w:bCs/>
                <w:color w:val="FFFFFF"/>
                <w:sz w:val="16"/>
                <w:szCs w:val="16"/>
                <w:lang w:eastAsia="en-US"/>
              </w:rPr>
              <w:t>B/A - % impegnato</w:t>
            </w:r>
          </w:p>
        </w:tc>
        <w:tc>
          <w:tcPr>
            <w:tcW w:w="764" w:type="dxa"/>
            <w:tcBorders>
              <w:top w:val="nil"/>
              <w:left w:val="nil"/>
              <w:bottom w:val="nil"/>
              <w:right w:val="nil"/>
            </w:tcBorders>
            <w:shd w:val="clear" w:color="auto" w:fill="669748" w:themeFill="accent2" w:themeFillShade="BF"/>
            <w:noWrap/>
            <w:vAlign w:val="bottom"/>
            <w:hideMark/>
          </w:tcPr>
          <w:p w14:paraId="7FB146F2" w14:textId="77777777" w:rsidR="00E95F35" w:rsidRPr="00E77C12" w:rsidRDefault="00E95F35" w:rsidP="00033A16">
            <w:pPr>
              <w:jc w:val="right"/>
              <w:rPr>
                <w:rFonts w:eastAsia="Times New Roman" w:cs="Calibri"/>
                <w:b/>
                <w:bCs/>
                <w:color w:val="FFFFFF"/>
                <w:sz w:val="16"/>
                <w:szCs w:val="16"/>
                <w:lang w:eastAsia="en-US"/>
              </w:rPr>
            </w:pPr>
            <w:r w:rsidRPr="00E77C12">
              <w:rPr>
                <w:rFonts w:eastAsia="Times New Roman" w:cs="Calibri"/>
                <w:b/>
                <w:bCs/>
                <w:color w:val="FFFFFF"/>
                <w:sz w:val="16"/>
                <w:szCs w:val="16"/>
                <w:lang w:eastAsia="en-US"/>
              </w:rPr>
              <w:t>C/A - % speso</w:t>
            </w:r>
          </w:p>
        </w:tc>
      </w:tr>
      <w:tr w:rsidR="00E95F35" w:rsidRPr="00E77C12" w14:paraId="002464A4" w14:textId="77777777" w:rsidTr="00E77C12">
        <w:trPr>
          <w:trHeight w:val="300"/>
        </w:trPr>
        <w:tc>
          <w:tcPr>
            <w:tcW w:w="3798" w:type="dxa"/>
            <w:tcBorders>
              <w:top w:val="nil"/>
              <w:left w:val="nil"/>
              <w:bottom w:val="single" w:sz="4" w:space="0" w:color="305496"/>
              <w:right w:val="nil"/>
            </w:tcBorders>
            <w:shd w:val="clear" w:color="000000" w:fill="E7E6E6"/>
            <w:noWrap/>
            <w:vAlign w:val="bottom"/>
            <w:hideMark/>
          </w:tcPr>
          <w:p w14:paraId="28D5FBAE" w14:textId="77777777" w:rsidR="00E95F35" w:rsidRPr="00E77C12" w:rsidRDefault="00E95F35" w:rsidP="00E95F35">
            <w:pPr>
              <w:jc w:val="left"/>
              <w:rPr>
                <w:rFonts w:eastAsia="Times New Roman" w:cs="Calibri"/>
                <w:b/>
                <w:bCs/>
                <w:color w:val="000000"/>
                <w:sz w:val="16"/>
                <w:szCs w:val="16"/>
                <w:lang w:eastAsia="en-US"/>
              </w:rPr>
            </w:pPr>
            <w:r w:rsidRPr="00E77C12">
              <w:rPr>
                <w:rFonts w:eastAsia="Times New Roman" w:cs="Calibri"/>
                <w:b/>
                <w:bCs/>
                <w:color w:val="000000"/>
                <w:sz w:val="16"/>
                <w:szCs w:val="16"/>
                <w:lang w:eastAsia="en-US"/>
              </w:rPr>
              <w:t xml:space="preserve">Area </w:t>
            </w:r>
            <w:r w:rsidR="00B027A4" w:rsidRPr="00E77C12">
              <w:rPr>
                <w:rFonts w:eastAsia="Times New Roman" w:cs="Calibri"/>
                <w:b/>
                <w:bCs/>
                <w:color w:val="000000"/>
                <w:sz w:val="16"/>
                <w:szCs w:val="16"/>
                <w:lang w:eastAsia="en-US"/>
              </w:rPr>
              <w:t>territorial</w:t>
            </w:r>
            <w:r w:rsidR="001E7E3D" w:rsidRPr="00E77C12">
              <w:rPr>
                <w:rFonts w:eastAsia="Times New Roman" w:cs="Calibri"/>
                <w:b/>
                <w:bCs/>
                <w:color w:val="000000"/>
                <w:sz w:val="16"/>
                <w:szCs w:val="16"/>
                <w:lang w:eastAsia="en-US"/>
              </w:rPr>
              <w:t>e</w:t>
            </w:r>
          </w:p>
        </w:tc>
        <w:tc>
          <w:tcPr>
            <w:tcW w:w="1361" w:type="dxa"/>
            <w:tcBorders>
              <w:top w:val="nil"/>
              <w:left w:val="nil"/>
              <w:bottom w:val="single" w:sz="4" w:space="0" w:color="305496"/>
              <w:right w:val="nil"/>
            </w:tcBorders>
            <w:shd w:val="clear" w:color="000000" w:fill="E7E6E6"/>
            <w:noWrap/>
            <w:vAlign w:val="bottom"/>
            <w:hideMark/>
          </w:tcPr>
          <w:p w14:paraId="34251D2D" w14:textId="5FE2D665" w:rsidR="00E95F35" w:rsidRPr="00E77C12" w:rsidRDefault="00E95F35" w:rsidP="00CE5BCF">
            <w:pPr>
              <w:jc w:val="right"/>
              <w:rPr>
                <w:rFonts w:eastAsia="Times New Roman" w:cs="Calibri"/>
                <w:b/>
                <w:bCs/>
                <w:color w:val="000000"/>
                <w:sz w:val="16"/>
                <w:szCs w:val="16"/>
                <w:lang w:eastAsia="en-US"/>
              </w:rPr>
            </w:pPr>
            <w:r w:rsidRPr="00E77C12">
              <w:rPr>
                <w:rFonts w:eastAsia="Times New Roman" w:cs="Calibri"/>
                <w:b/>
                <w:bCs/>
                <w:color w:val="000000"/>
                <w:sz w:val="16"/>
                <w:szCs w:val="16"/>
                <w:lang w:eastAsia="en-US"/>
              </w:rPr>
              <w:t>479.</w:t>
            </w:r>
            <w:r w:rsidR="00CE5BCF" w:rsidRPr="00E77C12">
              <w:rPr>
                <w:rFonts w:eastAsia="Times New Roman" w:cs="Calibri"/>
                <w:b/>
                <w:bCs/>
                <w:color w:val="000000"/>
                <w:sz w:val="16"/>
                <w:szCs w:val="16"/>
                <w:lang w:eastAsia="en-US"/>
              </w:rPr>
              <w:t>7</w:t>
            </w:r>
            <w:r w:rsidR="00CE5BCF">
              <w:rPr>
                <w:rFonts w:eastAsia="Times New Roman" w:cs="Calibri"/>
                <w:b/>
                <w:bCs/>
                <w:color w:val="000000"/>
                <w:sz w:val="16"/>
                <w:szCs w:val="16"/>
                <w:lang w:eastAsia="en-US"/>
              </w:rPr>
              <w:t>00</w:t>
            </w:r>
            <w:r w:rsidRPr="00E77C12">
              <w:rPr>
                <w:rFonts w:eastAsia="Times New Roman" w:cs="Calibri"/>
                <w:b/>
                <w:bCs/>
                <w:color w:val="000000"/>
                <w:sz w:val="16"/>
                <w:szCs w:val="16"/>
                <w:lang w:eastAsia="en-US"/>
              </w:rPr>
              <w:t>.</w:t>
            </w:r>
            <w:r w:rsidR="00CE5BCF">
              <w:rPr>
                <w:rFonts w:eastAsia="Times New Roman" w:cs="Calibri"/>
                <w:b/>
                <w:bCs/>
                <w:color w:val="000000"/>
                <w:sz w:val="16"/>
                <w:szCs w:val="16"/>
                <w:lang w:eastAsia="en-US"/>
              </w:rPr>
              <w:t>00</w:t>
            </w:r>
            <w:r w:rsidR="00CE5BCF" w:rsidRPr="00E77C12">
              <w:rPr>
                <w:rFonts w:eastAsia="Times New Roman" w:cs="Calibri"/>
                <w:b/>
                <w:bCs/>
                <w:color w:val="000000"/>
                <w:sz w:val="16"/>
                <w:szCs w:val="16"/>
                <w:lang w:eastAsia="en-US"/>
              </w:rPr>
              <w:t>0</w:t>
            </w:r>
            <w:r w:rsidRPr="00E77C12">
              <w:rPr>
                <w:rFonts w:eastAsia="Times New Roman" w:cs="Calibri"/>
                <w:b/>
                <w:bCs/>
                <w:color w:val="000000"/>
                <w:sz w:val="16"/>
                <w:szCs w:val="16"/>
                <w:lang w:eastAsia="en-US"/>
              </w:rPr>
              <w:t>,</w:t>
            </w:r>
            <w:r w:rsidR="00CE5BCF">
              <w:rPr>
                <w:rFonts w:eastAsia="Times New Roman" w:cs="Calibri"/>
                <w:b/>
                <w:bCs/>
                <w:color w:val="000000"/>
                <w:sz w:val="16"/>
                <w:szCs w:val="16"/>
                <w:lang w:eastAsia="en-US"/>
              </w:rPr>
              <w:t>00</w:t>
            </w:r>
          </w:p>
        </w:tc>
        <w:tc>
          <w:tcPr>
            <w:tcW w:w="1361" w:type="dxa"/>
            <w:tcBorders>
              <w:top w:val="nil"/>
              <w:left w:val="nil"/>
              <w:bottom w:val="single" w:sz="4" w:space="0" w:color="305496"/>
              <w:right w:val="nil"/>
            </w:tcBorders>
            <w:shd w:val="clear" w:color="000000" w:fill="E7E6E6"/>
            <w:noWrap/>
            <w:vAlign w:val="bottom"/>
          </w:tcPr>
          <w:p w14:paraId="0EDD0E75" w14:textId="0866D297" w:rsidR="00E95F35" w:rsidRPr="00E77C12" w:rsidRDefault="00CE5BCF" w:rsidP="00033A16">
            <w:pPr>
              <w:jc w:val="right"/>
              <w:rPr>
                <w:rFonts w:eastAsia="Times New Roman" w:cs="Calibri"/>
                <w:b/>
                <w:bCs/>
                <w:color w:val="000000"/>
                <w:sz w:val="16"/>
                <w:szCs w:val="16"/>
                <w:lang w:eastAsia="en-US"/>
              </w:rPr>
            </w:pPr>
            <w:r w:rsidRPr="00CE5BCF">
              <w:rPr>
                <w:rFonts w:eastAsia="Times New Roman" w:cs="Calibri"/>
                <w:b/>
                <w:bCs/>
                <w:color w:val="000000"/>
                <w:sz w:val="16"/>
                <w:szCs w:val="16"/>
                <w:lang w:eastAsia="en-US"/>
              </w:rPr>
              <w:t>462.078.891,23</w:t>
            </w:r>
          </w:p>
        </w:tc>
        <w:tc>
          <w:tcPr>
            <w:tcW w:w="1361" w:type="dxa"/>
            <w:tcBorders>
              <w:top w:val="nil"/>
              <w:left w:val="nil"/>
              <w:bottom w:val="single" w:sz="4" w:space="0" w:color="305496"/>
              <w:right w:val="nil"/>
            </w:tcBorders>
            <w:shd w:val="clear" w:color="000000" w:fill="E7E6E6"/>
            <w:noWrap/>
            <w:vAlign w:val="bottom"/>
            <w:hideMark/>
          </w:tcPr>
          <w:p w14:paraId="51806071" w14:textId="6306ED40" w:rsidR="00E95F35" w:rsidRPr="00E77C12" w:rsidRDefault="00CE5BCF" w:rsidP="00033A16">
            <w:pPr>
              <w:jc w:val="right"/>
              <w:rPr>
                <w:rFonts w:eastAsia="Times New Roman" w:cs="Calibri"/>
                <w:b/>
                <w:bCs/>
                <w:color w:val="000000"/>
                <w:sz w:val="16"/>
                <w:szCs w:val="16"/>
                <w:lang w:eastAsia="en-US"/>
              </w:rPr>
            </w:pPr>
            <w:r w:rsidRPr="00CE5BCF">
              <w:rPr>
                <w:rFonts w:eastAsia="Times New Roman" w:cs="Calibri"/>
                <w:b/>
                <w:bCs/>
                <w:color w:val="000000"/>
                <w:sz w:val="16"/>
                <w:szCs w:val="16"/>
                <w:lang w:eastAsia="en-US"/>
              </w:rPr>
              <w:t>375.780.080,41</w:t>
            </w:r>
          </w:p>
        </w:tc>
        <w:tc>
          <w:tcPr>
            <w:tcW w:w="1050" w:type="dxa"/>
            <w:tcBorders>
              <w:top w:val="nil"/>
              <w:left w:val="nil"/>
              <w:bottom w:val="single" w:sz="4" w:space="0" w:color="305496"/>
              <w:right w:val="nil"/>
            </w:tcBorders>
            <w:shd w:val="clear" w:color="000000" w:fill="E7E6E6"/>
            <w:noWrap/>
            <w:vAlign w:val="bottom"/>
          </w:tcPr>
          <w:p w14:paraId="4500A2E5" w14:textId="7A51C466" w:rsidR="00E95F35" w:rsidRPr="00E77C12" w:rsidRDefault="00CE5BCF" w:rsidP="00033A16">
            <w:pPr>
              <w:jc w:val="right"/>
              <w:rPr>
                <w:rFonts w:eastAsia="Times New Roman" w:cs="Calibri"/>
                <w:b/>
                <w:bCs/>
                <w:color w:val="000000"/>
                <w:sz w:val="16"/>
                <w:szCs w:val="16"/>
                <w:lang w:eastAsia="en-US"/>
              </w:rPr>
            </w:pPr>
            <w:r w:rsidRPr="00CE5BCF">
              <w:rPr>
                <w:rFonts w:eastAsia="Times New Roman" w:cs="Calibri"/>
                <w:b/>
                <w:bCs/>
                <w:color w:val="000000"/>
                <w:sz w:val="16"/>
                <w:szCs w:val="16"/>
                <w:lang w:eastAsia="en-US"/>
              </w:rPr>
              <w:t>96,33%</w:t>
            </w:r>
          </w:p>
        </w:tc>
        <w:tc>
          <w:tcPr>
            <w:tcW w:w="764" w:type="dxa"/>
            <w:tcBorders>
              <w:top w:val="nil"/>
              <w:left w:val="nil"/>
              <w:bottom w:val="single" w:sz="4" w:space="0" w:color="305496"/>
              <w:right w:val="nil"/>
            </w:tcBorders>
            <w:shd w:val="clear" w:color="000000" w:fill="E7E6E6"/>
            <w:noWrap/>
            <w:vAlign w:val="bottom"/>
            <w:hideMark/>
          </w:tcPr>
          <w:p w14:paraId="44760ED9" w14:textId="4B705AD8" w:rsidR="00E95F35" w:rsidRPr="00E77C12" w:rsidRDefault="00CE5BCF" w:rsidP="00033A16">
            <w:pPr>
              <w:jc w:val="right"/>
              <w:rPr>
                <w:rFonts w:eastAsia="Times New Roman" w:cs="Calibri"/>
                <w:b/>
                <w:bCs/>
                <w:color w:val="000000"/>
                <w:sz w:val="16"/>
                <w:szCs w:val="16"/>
                <w:lang w:eastAsia="en-US"/>
              </w:rPr>
            </w:pPr>
            <w:r w:rsidRPr="00CE5BCF">
              <w:rPr>
                <w:rFonts w:eastAsia="Times New Roman" w:cs="Calibri"/>
                <w:b/>
                <w:bCs/>
                <w:color w:val="000000"/>
                <w:sz w:val="16"/>
                <w:szCs w:val="16"/>
                <w:lang w:eastAsia="en-US"/>
              </w:rPr>
              <w:t>78,34%</w:t>
            </w:r>
          </w:p>
        </w:tc>
      </w:tr>
      <w:tr w:rsidR="00E95F35" w:rsidRPr="00E77C12" w14:paraId="1264F131" w14:textId="77777777" w:rsidTr="00E77C12">
        <w:trPr>
          <w:trHeight w:val="300"/>
        </w:trPr>
        <w:tc>
          <w:tcPr>
            <w:tcW w:w="3798" w:type="dxa"/>
            <w:tcBorders>
              <w:top w:val="nil"/>
              <w:left w:val="nil"/>
              <w:bottom w:val="nil"/>
              <w:right w:val="nil"/>
            </w:tcBorders>
            <w:shd w:val="clear" w:color="auto" w:fill="auto"/>
            <w:noWrap/>
            <w:vAlign w:val="bottom"/>
            <w:hideMark/>
          </w:tcPr>
          <w:p w14:paraId="0F3597D6" w14:textId="77777777" w:rsidR="00E95F35" w:rsidRPr="00E77C12" w:rsidRDefault="00E95F35" w:rsidP="00E95F35">
            <w:pPr>
              <w:autoSpaceDE w:val="0"/>
              <w:autoSpaceDN w:val="0"/>
              <w:adjustRightInd w:val="0"/>
              <w:jc w:val="left"/>
              <w:rPr>
                <w:rFonts w:eastAsia="Times New Roman" w:cs="Calibri"/>
                <w:color w:val="000000"/>
                <w:sz w:val="16"/>
                <w:szCs w:val="16"/>
                <w:lang w:eastAsia="en-US"/>
              </w:rPr>
            </w:pPr>
            <w:r w:rsidRPr="00E77C12">
              <w:rPr>
                <w:rFonts w:cs="Calibri"/>
                <w:sz w:val="16"/>
                <w:szCs w:val="16"/>
              </w:rPr>
              <w:t>IV - Preservare, ripristinare e valorizzare gli ecosistemi in agricoltura e in silvicoltura</w:t>
            </w:r>
          </w:p>
        </w:tc>
        <w:tc>
          <w:tcPr>
            <w:tcW w:w="1361" w:type="dxa"/>
            <w:tcBorders>
              <w:top w:val="nil"/>
              <w:left w:val="nil"/>
              <w:bottom w:val="nil"/>
              <w:right w:val="nil"/>
            </w:tcBorders>
            <w:shd w:val="clear" w:color="auto" w:fill="auto"/>
            <w:noWrap/>
            <w:vAlign w:val="bottom"/>
            <w:hideMark/>
          </w:tcPr>
          <w:p w14:paraId="160E9F53" w14:textId="68EDACDA" w:rsidR="00E95F35" w:rsidRPr="00E77C12" w:rsidRDefault="00E95F35" w:rsidP="00CE5BCF">
            <w:pPr>
              <w:jc w:val="right"/>
              <w:rPr>
                <w:rFonts w:eastAsia="Times New Roman" w:cs="Calibri"/>
                <w:color w:val="000000"/>
                <w:sz w:val="16"/>
                <w:szCs w:val="16"/>
                <w:lang w:eastAsia="en-US"/>
              </w:rPr>
            </w:pPr>
            <w:r w:rsidRPr="00E77C12">
              <w:rPr>
                <w:rFonts w:eastAsia="Times New Roman" w:cs="Calibri"/>
                <w:color w:val="000000"/>
                <w:sz w:val="16"/>
                <w:szCs w:val="16"/>
                <w:lang w:eastAsia="en-US"/>
              </w:rPr>
              <w:t>324.3</w:t>
            </w:r>
            <w:r w:rsidR="00CE5BCF">
              <w:rPr>
                <w:rFonts w:eastAsia="Times New Roman" w:cs="Calibri"/>
                <w:color w:val="000000"/>
                <w:sz w:val="16"/>
                <w:szCs w:val="16"/>
                <w:lang w:eastAsia="en-US"/>
              </w:rPr>
              <w:t>00</w:t>
            </w:r>
            <w:r w:rsidRPr="00E77C12">
              <w:rPr>
                <w:rFonts w:eastAsia="Times New Roman" w:cs="Calibri"/>
                <w:color w:val="000000"/>
                <w:sz w:val="16"/>
                <w:szCs w:val="16"/>
                <w:lang w:eastAsia="en-US"/>
              </w:rPr>
              <w:t>.</w:t>
            </w:r>
            <w:r w:rsidR="00CE5BCF">
              <w:rPr>
                <w:rFonts w:eastAsia="Times New Roman" w:cs="Calibri"/>
                <w:color w:val="000000"/>
                <w:sz w:val="16"/>
                <w:szCs w:val="16"/>
                <w:lang w:eastAsia="en-US"/>
              </w:rPr>
              <w:t>000</w:t>
            </w:r>
            <w:r w:rsidRPr="00E77C12">
              <w:rPr>
                <w:rFonts w:eastAsia="Times New Roman" w:cs="Calibri"/>
                <w:color w:val="000000"/>
                <w:sz w:val="16"/>
                <w:szCs w:val="16"/>
                <w:lang w:eastAsia="en-US"/>
              </w:rPr>
              <w:t>,</w:t>
            </w:r>
            <w:r w:rsidR="00CE5BCF">
              <w:rPr>
                <w:rFonts w:eastAsia="Times New Roman" w:cs="Calibri"/>
                <w:color w:val="000000"/>
                <w:sz w:val="16"/>
                <w:szCs w:val="16"/>
                <w:lang w:eastAsia="en-US"/>
              </w:rPr>
              <w:t>00</w:t>
            </w:r>
          </w:p>
        </w:tc>
        <w:tc>
          <w:tcPr>
            <w:tcW w:w="1361" w:type="dxa"/>
            <w:tcBorders>
              <w:top w:val="nil"/>
              <w:left w:val="nil"/>
              <w:bottom w:val="nil"/>
              <w:right w:val="nil"/>
            </w:tcBorders>
            <w:shd w:val="clear" w:color="auto" w:fill="auto"/>
            <w:noWrap/>
            <w:vAlign w:val="bottom"/>
          </w:tcPr>
          <w:p w14:paraId="4A02E5EF" w14:textId="6D6BAB3B" w:rsidR="00E95F35" w:rsidRPr="00E77C12" w:rsidRDefault="00CE5BCF" w:rsidP="00033A16">
            <w:pPr>
              <w:jc w:val="right"/>
              <w:rPr>
                <w:rFonts w:eastAsia="Times New Roman" w:cs="Calibri"/>
                <w:color w:val="000000"/>
                <w:sz w:val="16"/>
                <w:szCs w:val="16"/>
                <w:lang w:eastAsia="en-US"/>
              </w:rPr>
            </w:pPr>
            <w:r w:rsidRPr="00CE5BCF">
              <w:rPr>
                <w:rFonts w:eastAsia="Times New Roman" w:cs="Calibri"/>
                <w:color w:val="000000"/>
                <w:sz w:val="16"/>
                <w:szCs w:val="16"/>
                <w:lang w:eastAsia="en-US"/>
              </w:rPr>
              <w:t>329.069.021,64</w:t>
            </w:r>
          </w:p>
        </w:tc>
        <w:tc>
          <w:tcPr>
            <w:tcW w:w="1361" w:type="dxa"/>
            <w:tcBorders>
              <w:top w:val="nil"/>
              <w:left w:val="nil"/>
              <w:bottom w:val="nil"/>
              <w:right w:val="nil"/>
            </w:tcBorders>
            <w:shd w:val="clear" w:color="auto" w:fill="auto"/>
            <w:noWrap/>
            <w:vAlign w:val="bottom"/>
            <w:hideMark/>
          </w:tcPr>
          <w:p w14:paraId="6C3BE95B" w14:textId="77777777" w:rsidR="00E95F35" w:rsidRPr="00E77C12" w:rsidRDefault="00E95F35" w:rsidP="00033A16">
            <w:pPr>
              <w:jc w:val="right"/>
              <w:rPr>
                <w:rFonts w:eastAsia="Times New Roman" w:cs="Calibri"/>
                <w:color w:val="000000"/>
                <w:sz w:val="16"/>
                <w:szCs w:val="16"/>
                <w:lang w:eastAsia="en-US"/>
              </w:rPr>
            </w:pPr>
            <w:r w:rsidRPr="00E77C12">
              <w:rPr>
                <w:rFonts w:eastAsia="Times New Roman" w:cs="Calibri"/>
                <w:color w:val="000000"/>
                <w:sz w:val="16"/>
                <w:szCs w:val="16"/>
                <w:lang w:eastAsia="en-US"/>
              </w:rPr>
              <w:t>258.530.444,34</w:t>
            </w:r>
          </w:p>
        </w:tc>
        <w:tc>
          <w:tcPr>
            <w:tcW w:w="1050" w:type="dxa"/>
            <w:tcBorders>
              <w:top w:val="nil"/>
              <w:left w:val="nil"/>
              <w:bottom w:val="nil"/>
              <w:right w:val="nil"/>
            </w:tcBorders>
            <w:shd w:val="clear" w:color="auto" w:fill="auto"/>
            <w:noWrap/>
            <w:vAlign w:val="bottom"/>
          </w:tcPr>
          <w:p w14:paraId="51742AD0" w14:textId="26D5E168" w:rsidR="00E95F35" w:rsidRPr="00E77C12" w:rsidRDefault="00CE5BCF" w:rsidP="00033A16">
            <w:pPr>
              <w:jc w:val="right"/>
              <w:rPr>
                <w:rFonts w:eastAsia="Times New Roman" w:cs="Calibri"/>
                <w:color w:val="000000"/>
                <w:sz w:val="16"/>
                <w:szCs w:val="16"/>
                <w:lang w:eastAsia="en-US"/>
              </w:rPr>
            </w:pPr>
            <w:r w:rsidRPr="00CE5BCF">
              <w:rPr>
                <w:rFonts w:eastAsia="Times New Roman" w:cs="Calibri"/>
                <w:color w:val="000000"/>
                <w:sz w:val="16"/>
                <w:szCs w:val="16"/>
                <w:lang w:eastAsia="en-US"/>
              </w:rPr>
              <w:t>101,47%</w:t>
            </w:r>
          </w:p>
        </w:tc>
        <w:tc>
          <w:tcPr>
            <w:tcW w:w="764" w:type="dxa"/>
            <w:tcBorders>
              <w:top w:val="nil"/>
              <w:left w:val="nil"/>
              <w:bottom w:val="nil"/>
              <w:right w:val="nil"/>
            </w:tcBorders>
            <w:shd w:val="clear" w:color="auto" w:fill="auto"/>
            <w:noWrap/>
            <w:vAlign w:val="bottom"/>
            <w:hideMark/>
          </w:tcPr>
          <w:p w14:paraId="709B56FC" w14:textId="77777777" w:rsidR="00E95F35" w:rsidRPr="00E77C12" w:rsidRDefault="00E95F35" w:rsidP="00033A16">
            <w:pPr>
              <w:jc w:val="right"/>
              <w:rPr>
                <w:rFonts w:eastAsia="Times New Roman" w:cs="Calibri"/>
                <w:color w:val="000000"/>
                <w:sz w:val="16"/>
                <w:szCs w:val="16"/>
                <w:lang w:eastAsia="en-US"/>
              </w:rPr>
            </w:pPr>
            <w:r w:rsidRPr="00E77C12">
              <w:rPr>
                <w:rFonts w:eastAsia="Times New Roman" w:cs="Calibri"/>
                <w:color w:val="000000"/>
                <w:sz w:val="16"/>
                <w:szCs w:val="16"/>
                <w:lang w:eastAsia="en-US"/>
              </w:rPr>
              <w:t>79,70%</w:t>
            </w:r>
          </w:p>
        </w:tc>
      </w:tr>
      <w:tr w:rsidR="00E95F35" w:rsidRPr="00E77C12" w14:paraId="5164CA75" w14:textId="77777777" w:rsidTr="00E77C12">
        <w:trPr>
          <w:trHeight w:val="300"/>
        </w:trPr>
        <w:tc>
          <w:tcPr>
            <w:tcW w:w="3798" w:type="dxa"/>
            <w:tcBorders>
              <w:top w:val="nil"/>
              <w:left w:val="nil"/>
              <w:bottom w:val="single" w:sz="4" w:space="0" w:color="305496"/>
              <w:right w:val="nil"/>
            </w:tcBorders>
            <w:shd w:val="clear" w:color="auto" w:fill="auto"/>
            <w:noWrap/>
            <w:vAlign w:val="bottom"/>
            <w:hideMark/>
          </w:tcPr>
          <w:p w14:paraId="4585B127" w14:textId="77777777" w:rsidR="00E95F35" w:rsidRPr="00E77C12" w:rsidRDefault="00E95F35" w:rsidP="00E95F35">
            <w:pPr>
              <w:jc w:val="left"/>
              <w:rPr>
                <w:rFonts w:eastAsia="Times New Roman" w:cs="Calibri"/>
                <w:color w:val="000000"/>
                <w:sz w:val="16"/>
                <w:szCs w:val="16"/>
                <w:lang w:eastAsia="en-US"/>
              </w:rPr>
            </w:pPr>
            <w:r w:rsidRPr="00E77C12">
              <w:rPr>
                <w:rFonts w:cs="Calibri"/>
                <w:sz w:val="16"/>
                <w:szCs w:val="16"/>
              </w:rPr>
              <w:t>V - Uso efficiente delle risorse e passaggio ad un'economia a basse emissioni di carbonio e resiliente ai cambiamenti</w:t>
            </w:r>
          </w:p>
        </w:tc>
        <w:tc>
          <w:tcPr>
            <w:tcW w:w="1361" w:type="dxa"/>
            <w:tcBorders>
              <w:top w:val="nil"/>
              <w:left w:val="nil"/>
              <w:bottom w:val="single" w:sz="4" w:space="0" w:color="305496"/>
              <w:right w:val="nil"/>
            </w:tcBorders>
            <w:shd w:val="clear" w:color="auto" w:fill="auto"/>
            <w:noWrap/>
            <w:vAlign w:val="bottom"/>
            <w:hideMark/>
          </w:tcPr>
          <w:p w14:paraId="34EA0288" w14:textId="6D96A89E" w:rsidR="00E95F35" w:rsidRPr="00E77C12" w:rsidRDefault="00CE5BCF" w:rsidP="00033A16">
            <w:pPr>
              <w:jc w:val="right"/>
              <w:rPr>
                <w:rFonts w:eastAsia="Times New Roman" w:cs="Calibri"/>
                <w:color w:val="000000"/>
                <w:sz w:val="16"/>
                <w:szCs w:val="16"/>
                <w:lang w:eastAsia="en-US"/>
              </w:rPr>
            </w:pPr>
            <w:r w:rsidRPr="00CE5BCF">
              <w:rPr>
                <w:rFonts w:eastAsia="Times New Roman" w:cs="Calibri"/>
                <w:color w:val="000000"/>
                <w:sz w:val="16"/>
                <w:szCs w:val="16"/>
                <w:lang w:eastAsia="en-US"/>
              </w:rPr>
              <w:t>155.400.000</w:t>
            </w:r>
          </w:p>
        </w:tc>
        <w:tc>
          <w:tcPr>
            <w:tcW w:w="1361" w:type="dxa"/>
            <w:tcBorders>
              <w:top w:val="nil"/>
              <w:left w:val="nil"/>
              <w:bottom w:val="single" w:sz="4" w:space="0" w:color="305496"/>
              <w:right w:val="nil"/>
            </w:tcBorders>
            <w:shd w:val="clear" w:color="auto" w:fill="auto"/>
            <w:noWrap/>
            <w:vAlign w:val="bottom"/>
          </w:tcPr>
          <w:p w14:paraId="106FDB53" w14:textId="03D04538" w:rsidR="00E95F35" w:rsidRPr="00E77C12" w:rsidRDefault="00CE5BCF" w:rsidP="00033A16">
            <w:pPr>
              <w:jc w:val="right"/>
              <w:rPr>
                <w:rFonts w:eastAsia="Times New Roman" w:cs="Calibri"/>
                <w:color w:val="000000"/>
                <w:sz w:val="16"/>
                <w:szCs w:val="16"/>
                <w:lang w:eastAsia="en-US"/>
              </w:rPr>
            </w:pPr>
            <w:r w:rsidRPr="00CE5BCF">
              <w:rPr>
                <w:rFonts w:eastAsia="Times New Roman" w:cs="Calibri"/>
                <w:color w:val="000000"/>
                <w:sz w:val="16"/>
                <w:szCs w:val="16"/>
                <w:lang w:eastAsia="en-US"/>
              </w:rPr>
              <w:t>133.009.869,59</w:t>
            </w:r>
          </w:p>
        </w:tc>
        <w:tc>
          <w:tcPr>
            <w:tcW w:w="1361" w:type="dxa"/>
            <w:tcBorders>
              <w:top w:val="nil"/>
              <w:left w:val="nil"/>
              <w:bottom w:val="single" w:sz="4" w:space="0" w:color="305496"/>
              <w:right w:val="nil"/>
            </w:tcBorders>
            <w:shd w:val="clear" w:color="auto" w:fill="auto"/>
            <w:noWrap/>
            <w:vAlign w:val="bottom"/>
            <w:hideMark/>
          </w:tcPr>
          <w:p w14:paraId="2E3DB04F" w14:textId="4CF691A5" w:rsidR="00E95F35" w:rsidRPr="00E77C12" w:rsidRDefault="00CE5BCF" w:rsidP="00033A16">
            <w:pPr>
              <w:jc w:val="right"/>
              <w:rPr>
                <w:rFonts w:eastAsia="Times New Roman" w:cs="Calibri"/>
                <w:color w:val="000000"/>
                <w:sz w:val="16"/>
                <w:szCs w:val="16"/>
                <w:lang w:eastAsia="en-US"/>
              </w:rPr>
            </w:pPr>
            <w:r w:rsidRPr="00CE5BCF">
              <w:rPr>
                <w:rFonts w:eastAsia="Times New Roman" w:cs="Calibri"/>
                <w:color w:val="000000"/>
                <w:sz w:val="16"/>
                <w:szCs w:val="16"/>
                <w:lang w:eastAsia="en-US"/>
              </w:rPr>
              <w:t>117.249.636,07</w:t>
            </w:r>
          </w:p>
        </w:tc>
        <w:tc>
          <w:tcPr>
            <w:tcW w:w="1050" w:type="dxa"/>
            <w:tcBorders>
              <w:top w:val="nil"/>
              <w:left w:val="nil"/>
              <w:bottom w:val="single" w:sz="4" w:space="0" w:color="305496"/>
              <w:right w:val="nil"/>
            </w:tcBorders>
            <w:shd w:val="clear" w:color="auto" w:fill="auto"/>
            <w:noWrap/>
            <w:vAlign w:val="bottom"/>
          </w:tcPr>
          <w:p w14:paraId="0FA1802C" w14:textId="330B5606" w:rsidR="00E95F35" w:rsidRPr="00E77C12" w:rsidRDefault="00CE5BCF" w:rsidP="00033A16">
            <w:pPr>
              <w:jc w:val="right"/>
              <w:rPr>
                <w:rFonts w:eastAsia="Times New Roman" w:cs="Calibri"/>
                <w:color w:val="000000"/>
                <w:sz w:val="16"/>
                <w:szCs w:val="16"/>
                <w:lang w:eastAsia="en-US"/>
              </w:rPr>
            </w:pPr>
            <w:r w:rsidRPr="00CE5BCF">
              <w:rPr>
                <w:rFonts w:eastAsia="Times New Roman" w:cs="Calibri"/>
                <w:color w:val="000000"/>
                <w:sz w:val="16"/>
                <w:szCs w:val="16"/>
                <w:lang w:eastAsia="en-US"/>
              </w:rPr>
              <w:t>85,60%</w:t>
            </w:r>
          </w:p>
        </w:tc>
        <w:tc>
          <w:tcPr>
            <w:tcW w:w="764" w:type="dxa"/>
            <w:tcBorders>
              <w:top w:val="nil"/>
              <w:left w:val="nil"/>
              <w:bottom w:val="single" w:sz="4" w:space="0" w:color="305496"/>
              <w:right w:val="nil"/>
            </w:tcBorders>
            <w:shd w:val="clear" w:color="auto" w:fill="auto"/>
            <w:noWrap/>
            <w:vAlign w:val="bottom"/>
            <w:hideMark/>
          </w:tcPr>
          <w:p w14:paraId="41BED7AC" w14:textId="16A5EF58" w:rsidR="00E95F35" w:rsidRPr="00E77C12" w:rsidRDefault="00CE5BCF" w:rsidP="00033A16">
            <w:pPr>
              <w:jc w:val="right"/>
              <w:rPr>
                <w:rFonts w:eastAsia="Times New Roman" w:cs="Calibri"/>
                <w:color w:val="000000"/>
                <w:sz w:val="16"/>
                <w:szCs w:val="16"/>
                <w:lang w:eastAsia="en-US"/>
              </w:rPr>
            </w:pPr>
            <w:r w:rsidRPr="00CE5BCF">
              <w:rPr>
                <w:rFonts w:eastAsia="Times New Roman" w:cs="Calibri"/>
                <w:color w:val="000000"/>
                <w:sz w:val="16"/>
                <w:szCs w:val="16"/>
                <w:lang w:eastAsia="en-US"/>
              </w:rPr>
              <w:t>75,45%</w:t>
            </w:r>
          </w:p>
        </w:tc>
      </w:tr>
    </w:tbl>
    <w:bookmarkEnd w:id="42"/>
    <w:p w14:paraId="22B7D6B4" w14:textId="523EC97B" w:rsidR="00AC1207" w:rsidRDefault="00AC1207" w:rsidP="00AC1207">
      <w:pPr>
        <w:rPr>
          <w:sz w:val="18"/>
          <w:szCs w:val="18"/>
        </w:rPr>
      </w:pPr>
      <w:r>
        <w:rPr>
          <w:sz w:val="18"/>
          <w:szCs w:val="18"/>
        </w:rPr>
        <w:t xml:space="preserve">Fonte: </w:t>
      </w:r>
      <w:r w:rsidR="00CE5BCF">
        <w:rPr>
          <w:sz w:val="18"/>
          <w:szCs w:val="18"/>
        </w:rPr>
        <w:t>RAA2020</w:t>
      </w:r>
    </w:p>
    <w:p w14:paraId="01B475F6" w14:textId="77777777" w:rsidR="009F5A51" w:rsidRDefault="00451F67" w:rsidP="002C5688">
      <w:pPr>
        <w:rPr>
          <w:sz w:val="18"/>
          <w:szCs w:val="18"/>
        </w:rPr>
      </w:pPr>
      <w:r w:rsidRPr="00451F67">
        <w:rPr>
          <w:sz w:val="18"/>
          <w:szCs w:val="18"/>
        </w:rPr>
        <w:t xml:space="preserve">Nota: </w:t>
      </w:r>
      <w:r w:rsidR="00E77C12" w:rsidRPr="00E77C12">
        <w:rPr>
          <w:sz w:val="18"/>
          <w:szCs w:val="18"/>
          <w:vertAlign w:val="superscript"/>
        </w:rPr>
        <w:t>1</w:t>
      </w:r>
      <w:r w:rsidRPr="00451F67">
        <w:rPr>
          <w:sz w:val="18"/>
          <w:szCs w:val="18"/>
        </w:rPr>
        <w:t>L’importo programmato comprende sia le risorse finanziarie dell’UE che nazionali.</w:t>
      </w:r>
    </w:p>
    <w:p w14:paraId="031E052F" w14:textId="77777777" w:rsidR="00E53D6C" w:rsidRPr="002C5688" w:rsidRDefault="00E53D6C" w:rsidP="00E53D6C"/>
    <w:bookmarkEnd w:id="40"/>
    <w:p w14:paraId="31B99300" w14:textId="77777777" w:rsidR="003E42F9" w:rsidRDefault="0086197B" w:rsidP="00B027A4">
      <w:pPr>
        <w:pStyle w:val="Titolo4"/>
      </w:pPr>
      <w:r>
        <w:t>Realizzazioni e risultati</w:t>
      </w:r>
    </w:p>
    <w:p w14:paraId="374936F2" w14:textId="77777777" w:rsidR="00B027A4" w:rsidRPr="00B027A4" w:rsidRDefault="00B027A4" w:rsidP="00B027A4"/>
    <w:p w14:paraId="0ECDACD8" w14:textId="77777777" w:rsidR="002272DB" w:rsidRDefault="001E6EE6" w:rsidP="001E6EE6">
      <w:r w:rsidRPr="001E6EE6">
        <w:t xml:space="preserve">A fine 2020, </w:t>
      </w:r>
      <w:r w:rsidR="002272DB">
        <w:t>l’asse IV</w:t>
      </w:r>
      <w:r w:rsidRPr="001E6EE6">
        <w:t xml:space="preserve"> del </w:t>
      </w:r>
      <w:r w:rsidRPr="00B027A4">
        <w:rPr>
          <w:b/>
          <w:bCs/>
        </w:rPr>
        <w:t>POR FESR</w:t>
      </w:r>
      <w:r w:rsidRPr="001E6EE6">
        <w:t xml:space="preserve"> mostra</w:t>
      </w:r>
      <w:r w:rsidR="00505B8F">
        <w:t>, sebbene con qualche eccezione,</w:t>
      </w:r>
      <w:r w:rsidRPr="001E6EE6">
        <w:t xml:space="preserve"> un</w:t>
      </w:r>
      <w:r w:rsidR="00505B8F">
        <w:t xml:space="preserve"> </w:t>
      </w:r>
      <w:r w:rsidRPr="001E6EE6">
        <w:t>discret</w:t>
      </w:r>
      <w:r w:rsidR="00505B8F">
        <w:t>o livello di</w:t>
      </w:r>
      <w:r w:rsidRPr="001E6EE6">
        <w:t xml:space="preserve"> realizzazione dei progetti, come riportato nella tabella seguente. </w:t>
      </w:r>
      <w:r w:rsidR="00505B8F">
        <w:t xml:space="preserve">Gli interventi finanziati dal programma hanno generato una riduzione del consumo annuale di energia primaria degli edifici pubblici pari a 1.528.484 kWh e una diminuzione annuale stimata dei gas effetto serra pari 92.418 </w:t>
      </w:r>
      <w:r w:rsidR="00713702">
        <w:t>t</w:t>
      </w:r>
      <w:r w:rsidR="00505B8F">
        <w:t>onnellate di CO2 equivalente</w:t>
      </w:r>
      <w:r w:rsidR="00713702">
        <w:t>, superando ampiamente i rispettivi target, rispettivamente pari a 49.800 kWh e 19.000 tonnellate di CO2 equivalente.</w:t>
      </w:r>
      <w:r w:rsidR="0070787C">
        <w:t xml:space="preserve"> Per quanto riguarda gli interventi mirati alla mobilità ciclistica sono stati realizzati 822 posti bici e estese piste ciclabili per un totale di 57km</w:t>
      </w:r>
      <w:r w:rsidR="00E659CD">
        <w:t>, valori che rappresentano</w:t>
      </w:r>
      <w:r w:rsidR="0070787C">
        <w:t xml:space="preserve"> il 68,50% e 47,50% dei rispettivi target, mentre solamente 4 velostazioni e parcheggi per biciclette sono stati realizzati/riqualificati </w:t>
      </w:r>
      <w:r w:rsidR="00E659CD">
        <w:t>(</w:t>
      </w:r>
      <w:r w:rsidR="0070787C">
        <w:t>il 22,22% del valore obiettivo</w:t>
      </w:r>
      <w:r w:rsidR="00E659CD">
        <w:t>)</w:t>
      </w:r>
      <w:r w:rsidR="0070787C">
        <w:t xml:space="preserve">. Risulta invece </w:t>
      </w:r>
      <w:r w:rsidR="00E659CD">
        <w:t>molto limitata</w:t>
      </w:r>
      <w:r w:rsidR="0070787C">
        <w:t xml:space="preserve"> la superficie oggetto</w:t>
      </w:r>
      <w:r w:rsidR="005745C0">
        <w:t xml:space="preserve"> di intervento relativa all’obiettivo specifico 4c.1.</w:t>
      </w:r>
    </w:p>
    <w:p w14:paraId="036CA686" w14:textId="77777777" w:rsidR="002272DB" w:rsidRDefault="002272DB" w:rsidP="001E6EE6"/>
    <w:p w14:paraId="7A3D242A" w14:textId="77777777" w:rsidR="0086197B" w:rsidRDefault="00E53D6C" w:rsidP="00AF6A6D">
      <w:pPr>
        <w:pStyle w:val="Didascalia"/>
      </w:pPr>
      <w:bookmarkStart w:id="43" w:name="_Toc91081440"/>
      <w:r>
        <w:t xml:space="preserve">Tabella </w:t>
      </w:r>
      <w:r w:rsidR="004E6566">
        <w:fldChar w:fldCharType="begin"/>
      </w:r>
      <w:r>
        <w:instrText xml:space="preserve"> SEQ Tabella \* ARABIC </w:instrText>
      </w:r>
      <w:r w:rsidR="004E6566">
        <w:fldChar w:fldCharType="separate"/>
      </w:r>
      <w:r>
        <w:rPr>
          <w:noProof/>
        </w:rPr>
        <w:t>14</w:t>
      </w:r>
      <w:r w:rsidR="004E6566">
        <w:fldChar w:fldCharType="end"/>
      </w:r>
      <w:r>
        <w:t xml:space="preserve">. </w:t>
      </w:r>
      <w:r w:rsidRPr="00060532">
        <w:t>Indicatori di output selezionati FESR – Area territoriale</w:t>
      </w:r>
      <w:bookmarkEnd w:id="43"/>
    </w:p>
    <w:tbl>
      <w:tblPr>
        <w:tblW w:w="9701" w:type="dxa"/>
        <w:tblLayout w:type="fixed"/>
        <w:tblLook w:val="04A0" w:firstRow="1" w:lastRow="0" w:firstColumn="1" w:lastColumn="0" w:noHBand="0" w:noVBand="1"/>
      </w:tblPr>
      <w:tblGrid>
        <w:gridCol w:w="1418"/>
        <w:gridCol w:w="992"/>
        <w:gridCol w:w="3119"/>
        <w:gridCol w:w="1417"/>
        <w:gridCol w:w="1559"/>
        <w:gridCol w:w="1196"/>
      </w:tblGrid>
      <w:tr w:rsidR="00F71136" w:rsidRPr="00E77C12" w14:paraId="2F4C6BA2" w14:textId="77777777" w:rsidTr="00E77C12">
        <w:trPr>
          <w:trHeight w:val="520"/>
        </w:trPr>
        <w:tc>
          <w:tcPr>
            <w:tcW w:w="1418" w:type="dxa"/>
            <w:tcBorders>
              <w:top w:val="nil"/>
              <w:left w:val="nil"/>
              <w:bottom w:val="nil"/>
              <w:right w:val="nil"/>
            </w:tcBorders>
            <w:shd w:val="clear" w:color="auto" w:fill="669748" w:themeFill="accent2" w:themeFillShade="BF"/>
            <w:vAlign w:val="center"/>
            <w:hideMark/>
          </w:tcPr>
          <w:p w14:paraId="16A15606" w14:textId="77777777" w:rsidR="00F71136" w:rsidRPr="00E77C12" w:rsidRDefault="00F71136" w:rsidP="00F71136">
            <w:pPr>
              <w:jc w:val="left"/>
              <w:rPr>
                <w:rFonts w:eastAsia="Times New Roman" w:cs="Calibri"/>
                <w:b/>
                <w:bCs/>
                <w:color w:val="FFFFFF"/>
                <w:sz w:val="18"/>
                <w:szCs w:val="18"/>
                <w:lang w:eastAsia="en-US"/>
              </w:rPr>
            </w:pPr>
            <w:r w:rsidRPr="00E77C12">
              <w:rPr>
                <w:rFonts w:eastAsia="Times New Roman" w:cs="Calibri"/>
                <w:b/>
                <w:bCs/>
                <w:color w:val="FFFFFF"/>
                <w:sz w:val="18"/>
                <w:szCs w:val="18"/>
                <w:lang w:eastAsia="en-US"/>
              </w:rPr>
              <w:t>Priorità d'investimento</w:t>
            </w:r>
          </w:p>
          <w:p w14:paraId="466DD3E9" w14:textId="77777777" w:rsidR="00F71136" w:rsidRPr="00E77C12" w:rsidRDefault="00F71136" w:rsidP="00F71136">
            <w:pPr>
              <w:jc w:val="left"/>
              <w:rPr>
                <w:rFonts w:eastAsia="Times New Roman" w:cs="Calibri"/>
                <w:b/>
                <w:bCs/>
                <w:color w:val="FFFFFF"/>
                <w:sz w:val="18"/>
                <w:szCs w:val="18"/>
                <w:lang w:eastAsia="en-US"/>
              </w:rPr>
            </w:pPr>
          </w:p>
        </w:tc>
        <w:tc>
          <w:tcPr>
            <w:tcW w:w="992" w:type="dxa"/>
            <w:tcBorders>
              <w:top w:val="nil"/>
              <w:left w:val="nil"/>
              <w:bottom w:val="nil"/>
              <w:right w:val="nil"/>
            </w:tcBorders>
            <w:shd w:val="clear" w:color="auto" w:fill="669748" w:themeFill="accent2" w:themeFillShade="BF"/>
            <w:vAlign w:val="center"/>
            <w:hideMark/>
          </w:tcPr>
          <w:p w14:paraId="7E67602A" w14:textId="77777777" w:rsidR="00F71136" w:rsidRPr="00E77C12" w:rsidRDefault="00F71136" w:rsidP="00F71136">
            <w:pPr>
              <w:jc w:val="left"/>
              <w:rPr>
                <w:rFonts w:eastAsia="Times New Roman" w:cs="Calibri"/>
                <w:b/>
                <w:bCs/>
                <w:color w:val="FFFFFF"/>
                <w:sz w:val="18"/>
                <w:szCs w:val="18"/>
                <w:lang w:eastAsia="en-US"/>
              </w:rPr>
            </w:pPr>
            <w:r w:rsidRPr="00E77C12">
              <w:rPr>
                <w:rFonts w:eastAsia="Times New Roman" w:cs="Calibri"/>
                <w:b/>
                <w:bCs/>
                <w:color w:val="FFFFFF"/>
                <w:sz w:val="18"/>
                <w:szCs w:val="18"/>
                <w:lang w:eastAsia="en-US"/>
              </w:rPr>
              <w:t>Codice Indicatore</w:t>
            </w:r>
          </w:p>
        </w:tc>
        <w:tc>
          <w:tcPr>
            <w:tcW w:w="3119" w:type="dxa"/>
            <w:tcBorders>
              <w:top w:val="nil"/>
              <w:left w:val="nil"/>
              <w:bottom w:val="nil"/>
              <w:right w:val="nil"/>
            </w:tcBorders>
            <w:shd w:val="clear" w:color="auto" w:fill="669748" w:themeFill="accent2" w:themeFillShade="BF"/>
            <w:vAlign w:val="center"/>
            <w:hideMark/>
          </w:tcPr>
          <w:p w14:paraId="5EE1393F" w14:textId="77777777" w:rsidR="00F71136" w:rsidRPr="00E77C12" w:rsidRDefault="00F71136" w:rsidP="00F71136">
            <w:pPr>
              <w:jc w:val="left"/>
              <w:rPr>
                <w:rFonts w:eastAsia="Times New Roman" w:cs="Calibri"/>
                <w:b/>
                <w:bCs/>
                <w:color w:val="FFFFFF"/>
                <w:sz w:val="18"/>
                <w:szCs w:val="18"/>
                <w:lang w:eastAsia="en-US"/>
              </w:rPr>
            </w:pPr>
            <w:r w:rsidRPr="00E77C12">
              <w:rPr>
                <w:rFonts w:eastAsia="Times New Roman" w:cs="Calibri"/>
                <w:b/>
                <w:bCs/>
                <w:color w:val="FFFFFF"/>
                <w:sz w:val="18"/>
                <w:szCs w:val="18"/>
                <w:lang w:eastAsia="en-US"/>
              </w:rPr>
              <w:t>Descrizione indicatore</w:t>
            </w:r>
          </w:p>
        </w:tc>
        <w:tc>
          <w:tcPr>
            <w:tcW w:w="1417" w:type="dxa"/>
            <w:tcBorders>
              <w:top w:val="nil"/>
              <w:left w:val="nil"/>
              <w:bottom w:val="nil"/>
              <w:right w:val="nil"/>
            </w:tcBorders>
            <w:shd w:val="clear" w:color="auto" w:fill="669748" w:themeFill="accent2" w:themeFillShade="BF"/>
            <w:vAlign w:val="center"/>
            <w:hideMark/>
          </w:tcPr>
          <w:p w14:paraId="015E07D2" w14:textId="77777777" w:rsidR="00F71136" w:rsidRPr="00E77C12" w:rsidRDefault="00F71136" w:rsidP="00F71136">
            <w:pPr>
              <w:jc w:val="right"/>
              <w:rPr>
                <w:rFonts w:eastAsia="Times New Roman" w:cs="Calibri"/>
                <w:b/>
                <w:bCs/>
                <w:color w:val="FFFFFF"/>
                <w:sz w:val="18"/>
                <w:szCs w:val="18"/>
                <w:lang w:eastAsia="en-US"/>
              </w:rPr>
            </w:pPr>
            <w:r w:rsidRPr="00E77C12">
              <w:rPr>
                <w:rFonts w:eastAsia="Times New Roman" w:cs="Calibri"/>
                <w:b/>
                <w:bCs/>
                <w:color w:val="FFFFFF"/>
                <w:sz w:val="16"/>
                <w:szCs w:val="16"/>
                <w:lang w:eastAsia="en-US"/>
              </w:rPr>
              <w:t>A - Valore obiettivo 2023 (a)</w:t>
            </w:r>
          </w:p>
        </w:tc>
        <w:tc>
          <w:tcPr>
            <w:tcW w:w="1559" w:type="dxa"/>
            <w:tcBorders>
              <w:top w:val="nil"/>
              <w:left w:val="nil"/>
              <w:bottom w:val="nil"/>
              <w:right w:val="nil"/>
            </w:tcBorders>
            <w:shd w:val="clear" w:color="auto" w:fill="669748" w:themeFill="accent2" w:themeFillShade="BF"/>
            <w:vAlign w:val="center"/>
            <w:hideMark/>
          </w:tcPr>
          <w:p w14:paraId="0F5EC647" w14:textId="77777777" w:rsidR="00F71136" w:rsidRPr="00E77C12" w:rsidRDefault="00F71136" w:rsidP="00F71136">
            <w:pPr>
              <w:jc w:val="right"/>
              <w:rPr>
                <w:rFonts w:eastAsia="Times New Roman" w:cs="Calibri"/>
                <w:b/>
                <w:bCs/>
                <w:color w:val="FFFFFF"/>
                <w:sz w:val="18"/>
                <w:szCs w:val="18"/>
                <w:lang w:eastAsia="en-US"/>
              </w:rPr>
            </w:pPr>
            <w:r w:rsidRPr="00E77C12">
              <w:rPr>
                <w:rFonts w:eastAsia="Times New Roman" w:cs="Calibri"/>
                <w:b/>
                <w:bCs/>
                <w:color w:val="FFFFFF"/>
                <w:sz w:val="16"/>
                <w:szCs w:val="16"/>
                <w:lang w:eastAsia="en-US"/>
              </w:rPr>
              <w:t xml:space="preserve">B - Valore </w:t>
            </w:r>
            <w:r w:rsidR="00E37297">
              <w:rPr>
                <w:rFonts w:eastAsia="Times New Roman" w:cs="Calibri"/>
                <w:b/>
                <w:bCs/>
                <w:color w:val="FFFFFF"/>
                <w:sz w:val="16"/>
                <w:szCs w:val="16"/>
                <w:lang w:eastAsia="en-US"/>
              </w:rPr>
              <w:t xml:space="preserve">previsto o </w:t>
            </w:r>
            <w:r w:rsidRPr="00E77C12">
              <w:rPr>
                <w:rFonts w:eastAsia="Times New Roman" w:cs="Calibri"/>
                <w:b/>
                <w:bCs/>
                <w:color w:val="FFFFFF"/>
                <w:sz w:val="16"/>
                <w:szCs w:val="16"/>
                <w:lang w:eastAsia="en-US"/>
              </w:rPr>
              <w:t>realizzato 2020 (b)</w:t>
            </w:r>
          </w:p>
        </w:tc>
        <w:tc>
          <w:tcPr>
            <w:tcW w:w="1196" w:type="dxa"/>
            <w:tcBorders>
              <w:top w:val="nil"/>
              <w:left w:val="nil"/>
              <w:bottom w:val="nil"/>
              <w:right w:val="nil"/>
            </w:tcBorders>
            <w:shd w:val="clear" w:color="auto" w:fill="669748" w:themeFill="accent2" w:themeFillShade="BF"/>
            <w:vAlign w:val="center"/>
            <w:hideMark/>
          </w:tcPr>
          <w:p w14:paraId="41E9541B" w14:textId="77777777" w:rsidR="00F71136" w:rsidRPr="00E77C12" w:rsidRDefault="00F71136" w:rsidP="00F71136">
            <w:pPr>
              <w:jc w:val="right"/>
              <w:rPr>
                <w:rFonts w:eastAsia="Times New Roman" w:cs="Calibri"/>
                <w:b/>
                <w:bCs/>
                <w:color w:val="FFFFFF"/>
                <w:sz w:val="18"/>
                <w:szCs w:val="18"/>
                <w:lang w:eastAsia="en-US"/>
              </w:rPr>
            </w:pPr>
            <w:r w:rsidRPr="00E77C12">
              <w:rPr>
                <w:rFonts w:eastAsia="Times New Roman" w:cs="Calibri"/>
                <w:b/>
                <w:bCs/>
                <w:color w:val="FFFFFF"/>
                <w:sz w:val="16"/>
                <w:szCs w:val="16"/>
                <w:lang w:eastAsia="en-US"/>
              </w:rPr>
              <w:t>B/A - Indice di realizzazione</w:t>
            </w:r>
          </w:p>
        </w:tc>
      </w:tr>
      <w:tr w:rsidR="00F71136" w:rsidRPr="00E77C12" w14:paraId="00642F6A" w14:textId="77777777" w:rsidTr="00E77C12">
        <w:trPr>
          <w:trHeight w:val="290"/>
        </w:trPr>
        <w:tc>
          <w:tcPr>
            <w:tcW w:w="1418" w:type="dxa"/>
            <w:tcBorders>
              <w:top w:val="nil"/>
              <w:left w:val="nil"/>
              <w:bottom w:val="single" w:sz="4" w:space="0" w:color="305496"/>
              <w:right w:val="nil"/>
            </w:tcBorders>
            <w:shd w:val="clear" w:color="000000" w:fill="E7E6E6"/>
            <w:vAlign w:val="bottom"/>
            <w:hideMark/>
          </w:tcPr>
          <w:p w14:paraId="21CA0384" w14:textId="77777777" w:rsidR="00F71136" w:rsidRPr="00E77C12" w:rsidRDefault="00F71136" w:rsidP="00F71136">
            <w:pPr>
              <w:jc w:val="left"/>
              <w:rPr>
                <w:rFonts w:eastAsia="Times New Roman" w:cs="Calibri"/>
                <w:b/>
                <w:bCs/>
                <w:color w:val="000000"/>
                <w:sz w:val="18"/>
                <w:szCs w:val="18"/>
                <w:lang w:eastAsia="en-US"/>
              </w:rPr>
            </w:pPr>
            <w:r w:rsidRPr="00E77C12">
              <w:rPr>
                <w:rFonts w:eastAsia="Times New Roman" w:cs="Calibri"/>
                <w:b/>
                <w:bCs/>
                <w:color w:val="000000"/>
                <w:sz w:val="18"/>
                <w:szCs w:val="18"/>
                <w:lang w:eastAsia="en-US"/>
              </w:rPr>
              <w:t>Asse IV</w:t>
            </w:r>
          </w:p>
        </w:tc>
        <w:tc>
          <w:tcPr>
            <w:tcW w:w="992" w:type="dxa"/>
            <w:tcBorders>
              <w:top w:val="nil"/>
              <w:left w:val="nil"/>
              <w:bottom w:val="single" w:sz="4" w:space="0" w:color="305496"/>
              <w:right w:val="nil"/>
            </w:tcBorders>
            <w:shd w:val="clear" w:color="000000" w:fill="E7E6E6"/>
            <w:vAlign w:val="bottom"/>
            <w:hideMark/>
          </w:tcPr>
          <w:p w14:paraId="5DF59460" w14:textId="77777777" w:rsidR="00F71136" w:rsidRPr="00E77C12" w:rsidRDefault="00F71136" w:rsidP="00F71136">
            <w:pPr>
              <w:jc w:val="left"/>
              <w:rPr>
                <w:rFonts w:eastAsia="Times New Roman" w:cs="Calibri"/>
                <w:b/>
                <w:bCs/>
                <w:color w:val="000000"/>
                <w:sz w:val="18"/>
                <w:szCs w:val="18"/>
                <w:lang w:eastAsia="en-US"/>
              </w:rPr>
            </w:pPr>
            <w:r w:rsidRPr="00E77C12">
              <w:rPr>
                <w:rFonts w:eastAsia="Times New Roman" w:cs="Calibri"/>
                <w:b/>
                <w:bCs/>
                <w:color w:val="000000"/>
                <w:sz w:val="18"/>
                <w:szCs w:val="18"/>
                <w:lang w:eastAsia="en-US"/>
              </w:rPr>
              <w:t> </w:t>
            </w:r>
          </w:p>
        </w:tc>
        <w:tc>
          <w:tcPr>
            <w:tcW w:w="3119" w:type="dxa"/>
            <w:tcBorders>
              <w:top w:val="nil"/>
              <w:left w:val="nil"/>
              <w:bottom w:val="single" w:sz="4" w:space="0" w:color="305496"/>
              <w:right w:val="nil"/>
            </w:tcBorders>
            <w:shd w:val="clear" w:color="000000" w:fill="E7E6E6"/>
            <w:vAlign w:val="bottom"/>
            <w:hideMark/>
          </w:tcPr>
          <w:p w14:paraId="314A1446" w14:textId="77777777" w:rsidR="00F71136" w:rsidRPr="00E77C12" w:rsidRDefault="00F71136" w:rsidP="00F71136">
            <w:pPr>
              <w:jc w:val="left"/>
              <w:rPr>
                <w:rFonts w:eastAsia="Times New Roman" w:cs="Calibri"/>
                <w:b/>
                <w:bCs/>
                <w:color w:val="000000"/>
                <w:sz w:val="18"/>
                <w:szCs w:val="18"/>
                <w:lang w:eastAsia="en-US"/>
              </w:rPr>
            </w:pPr>
            <w:r w:rsidRPr="00E77C12">
              <w:rPr>
                <w:rFonts w:eastAsia="Times New Roman" w:cs="Calibri"/>
                <w:b/>
                <w:bCs/>
                <w:color w:val="000000"/>
                <w:sz w:val="18"/>
                <w:szCs w:val="18"/>
                <w:lang w:eastAsia="en-US"/>
              </w:rPr>
              <w:t> </w:t>
            </w:r>
          </w:p>
        </w:tc>
        <w:tc>
          <w:tcPr>
            <w:tcW w:w="1417" w:type="dxa"/>
            <w:tcBorders>
              <w:top w:val="nil"/>
              <w:left w:val="nil"/>
              <w:bottom w:val="single" w:sz="4" w:space="0" w:color="305496"/>
              <w:right w:val="nil"/>
            </w:tcBorders>
            <w:shd w:val="clear" w:color="000000" w:fill="E7E6E6"/>
            <w:vAlign w:val="bottom"/>
            <w:hideMark/>
          </w:tcPr>
          <w:p w14:paraId="01F87C67" w14:textId="77777777" w:rsidR="00F71136" w:rsidRPr="00E77C12" w:rsidRDefault="00F71136" w:rsidP="00F71136">
            <w:pPr>
              <w:jc w:val="right"/>
              <w:rPr>
                <w:rFonts w:eastAsia="Times New Roman" w:cs="Calibri"/>
                <w:b/>
                <w:bCs/>
                <w:color w:val="000000"/>
                <w:sz w:val="18"/>
                <w:szCs w:val="18"/>
                <w:lang w:eastAsia="en-US"/>
              </w:rPr>
            </w:pPr>
            <w:r w:rsidRPr="00E77C12">
              <w:rPr>
                <w:rFonts w:eastAsia="Times New Roman" w:cs="Calibri"/>
                <w:b/>
                <w:bCs/>
                <w:color w:val="000000"/>
                <w:sz w:val="18"/>
                <w:szCs w:val="18"/>
                <w:lang w:eastAsia="en-US"/>
              </w:rPr>
              <w:t> </w:t>
            </w:r>
          </w:p>
        </w:tc>
        <w:tc>
          <w:tcPr>
            <w:tcW w:w="1559" w:type="dxa"/>
            <w:tcBorders>
              <w:top w:val="nil"/>
              <w:left w:val="nil"/>
              <w:bottom w:val="single" w:sz="4" w:space="0" w:color="305496"/>
              <w:right w:val="nil"/>
            </w:tcBorders>
            <w:shd w:val="clear" w:color="000000" w:fill="E7E6E6"/>
            <w:vAlign w:val="bottom"/>
            <w:hideMark/>
          </w:tcPr>
          <w:p w14:paraId="34C92D06" w14:textId="77777777" w:rsidR="00F71136" w:rsidRPr="00E77C12" w:rsidRDefault="00F71136" w:rsidP="00F71136">
            <w:pPr>
              <w:jc w:val="right"/>
              <w:rPr>
                <w:rFonts w:eastAsia="Times New Roman" w:cs="Calibri"/>
                <w:b/>
                <w:bCs/>
                <w:color w:val="000000"/>
                <w:sz w:val="18"/>
                <w:szCs w:val="18"/>
                <w:lang w:eastAsia="en-US"/>
              </w:rPr>
            </w:pPr>
            <w:r w:rsidRPr="00E77C12">
              <w:rPr>
                <w:rFonts w:eastAsia="Times New Roman" w:cs="Calibri"/>
                <w:b/>
                <w:bCs/>
                <w:color w:val="000000"/>
                <w:sz w:val="18"/>
                <w:szCs w:val="18"/>
                <w:lang w:eastAsia="en-US"/>
              </w:rPr>
              <w:t> </w:t>
            </w:r>
          </w:p>
        </w:tc>
        <w:tc>
          <w:tcPr>
            <w:tcW w:w="1196" w:type="dxa"/>
            <w:tcBorders>
              <w:top w:val="nil"/>
              <w:left w:val="nil"/>
              <w:bottom w:val="single" w:sz="4" w:space="0" w:color="305496"/>
              <w:right w:val="nil"/>
            </w:tcBorders>
            <w:shd w:val="clear" w:color="000000" w:fill="E7E6E6"/>
            <w:vAlign w:val="bottom"/>
            <w:hideMark/>
          </w:tcPr>
          <w:p w14:paraId="24D0FC1A" w14:textId="77777777" w:rsidR="00F71136" w:rsidRPr="00E77C12" w:rsidRDefault="00F71136" w:rsidP="00F71136">
            <w:pPr>
              <w:jc w:val="right"/>
              <w:rPr>
                <w:rFonts w:eastAsia="Times New Roman" w:cs="Calibri"/>
                <w:b/>
                <w:bCs/>
                <w:color w:val="000000"/>
                <w:sz w:val="18"/>
                <w:szCs w:val="18"/>
                <w:lang w:eastAsia="en-US"/>
              </w:rPr>
            </w:pPr>
            <w:r w:rsidRPr="00E77C12">
              <w:rPr>
                <w:rFonts w:eastAsia="Times New Roman" w:cs="Calibri"/>
                <w:b/>
                <w:bCs/>
                <w:color w:val="000000"/>
                <w:sz w:val="18"/>
                <w:szCs w:val="18"/>
                <w:lang w:eastAsia="en-US"/>
              </w:rPr>
              <w:t> </w:t>
            </w:r>
          </w:p>
        </w:tc>
      </w:tr>
      <w:tr w:rsidR="00F71136" w:rsidRPr="00E77C12" w14:paraId="35B8F694" w14:textId="77777777" w:rsidTr="00E77C12">
        <w:trPr>
          <w:trHeight w:val="290"/>
        </w:trPr>
        <w:tc>
          <w:tcPr>
            <w:tcW w:w="1418" w:type="dxa"/>
            <w:tcBorders>
              <w:top w:val="nil"/>
              <w:left w:val="nil"/>
              <w:bottom w:val="nil"/>
              <w:right w:val="nil"/>
            </w:tcBorders>
            <w:shd w:val="clear" w:color="auto" w:fill="auto"/>
            <w:noWrap/>
            <w:vAlign w:val="bottom"/>
            <w:hideMark/>
          </w:tcPr>
          <w:p w14:paraId="1E7BB14E"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4c</w:t>
            </w:r>
          </w:p>
        </w:tc>
        <w:tc>
          <w:tcPr>
            <w:tcW w:w="992" w:type="dxa"/>
            <w:tcBorders>
              <w:top w:val="nil"/>
              <w:left w:val="nil"/>
              <w:bottom w:val="nil"/>
              <w:right w:val="nil"/>
            </w:tcBorders>
            <w:shd w:val="clear" w:color="auto" w:fill="auto"/>
            <w:noWrap/>
            <w:vAlign w:val="bottom"/>
            <w:hideMark/>
          </w:tcPr>
          <w:p w14:paraId="0A4DAEDE"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 xml:space="preserve">4c.1 </w:t>
            </w:r>
          </w:p>
        </w:tc>
        <w:tc>
          <w:tcPr>
            <w:tcW w:w="3119" w:type="dxa"/>
            <w:tcBorders>
              <w:top w:val="nil"/>
              <w:left w:val="nil"/>
              <w:bottom w:val="nil"/>
              <w:right w:val="nil"/>
            </w:tcBorders>
            <w:shd w:val="clear" w:color="auto" w:fill="auto"/>
            <w:noWrap/>
            <w:vAlign w:val="bottom"/>
            <w:hideMark/>
          </w:tcPr>
          <w:p w14:paraId="613A3EFB"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Superficie oggetto di intervento – servizi abitativi pubblici (m</w:t>
            </w:r>
            <w:r w:rsidRPr="00E77C12">
              <w:rPr>
                <w:rFonts w:eastAsia="Times New Roman" w:cs="Calibri"/>
                <w:color w:val="000000"/>
                <w:sz w:val="18"/>
                <w:szCs w:val="18"/>
                <w:vertAlign w:val="superscript"/>
                <w:lang w:eastAsia="en-US"/>
              </w:rPr>
              <w:t>2</w:t>
            </w:r>
            <w:r w:rsidRPr="00E77C12">
              <w:rPr>
                <w:rFonts w:eastAsia="Times New Roman" w:cs="Calibri"/>
                <w:color w:val="000000"/>
                <w:sz w:val="18"/>
                <w:szCs w:val="18"/>
                <w:lang w:eastAsia="en-US"/>
              </w:rPr>
              <w:t>)</w:t>
            </w:r>
          </w:p>
        </w:tc>
        <w:tc>
          <w:tcPr>
            <w:tcW w:w="1417" w:type="dxa"/>
            <w:tcBorders>
              <w:top w:val="nil"/>
              <w:left w:val="nil"/>
              <w:bottom w:val="nil"/>
              <w:right w:val="nil"/>
            </w:tcBorders>
            <w:shd w:val="clear" w:color="auto" w:fill="auto"/>
            <w:noWrap/>
            <w:vAlign w:val="bottom"/>
            <w:hideMark/>
          </w:tcPr>
          <w:p w14:paraId="128F1634" w14:textId="77777777" w:rsidR="00F71136" w:rsidRPr="00E77C12" w:rsidRDefault="00F71136" w:rsidP="00F71136">
            <w:pPr>
              <w:jc w:val="right"/>
              <w:rPr>
                <w:rFonts w:eastAsia="Times New Roman" w:cs="Calibri"/>
                <w:sz w:val="18"/>
                <w:szCs w:val="18"/>
                <w:lang w:eastAsia="en-US"/>
              </w:rPr>
            </w:pPr>
            <w:r w:rsidRPr="00E77C12">
              <w:rPr>
                <w:rFonts w:eastAsia="Times New Roman" w:cs="Calibri"/>
                <w:sz w:val="18"/>
                <w:szCs w:val="18"/>
                <w:lang w:eastAsia="en-US"/>
              </w:rPr>
              <w:t xml:space="preserve">                           674.157 </w:t>
            </w:r>
          </w:p>
        </w:tc>
        <w:tc>
          <w:tcPr>
            <w:tcW w:w="1559" w:type="dxa"/>
            <w:tcBorders>
              <w:top w:val="nil"/>
              <w:left w:val="nil"/>
              <w:bottom w:val="nil"/>
              <w:right w:val="nil"/>
            </w:tcBorders>
            <w:shd w:val="clear" w:color="auto" w:fill="auto"/>
            <w:noWrap/>
            <w:vAlign w:val="bottom"/>
            <w:hideMark/>
          </w:tcPr>
          <w:p w14:paraId="16537567" w14:textId="77777777" w:rsidR="00E37297" w:rsidRDefault="00F71136" w:rsidP="00F71136">
            <w:pPr>
              <w:jc w:val="right"/>
              <w:rPr>
                <w:rFonts w:eastAsia="Times New Roman" w:cs="Calibri"/>
                <w:sz w:val="18"/>
                <w:szCs w:val="18"/>
                <w:lang w:eastAsia="en-US"/>
              </w:rPr>
            </w:pPr>
            <w:r w:rsidRPr="00E77C12">
              <w:rPr>
                <w:rFonts w:eastAsia="Times New Roman" w:cs="Calibri"/>
                <w:sz w:val="18"/>
                <w:szCs w:val="18"/>
                <w:lang w:eastAsia="en-US"/>
              </w:rPr>
              <w:t xml:space="preserve">                             585.623</w:t>
            </w:r>
            <w:r w:rsidR="00E37297">
              <w:rPr>
                <w:rFonts w:eastAsia="Times New Roman" w:cs="Calibri"/>
                <w:sz w:val="18"/>
                <w:szCs w:val="18"/>
                <w:lang w:eastAsia="en-US"/>
              </w:rPr>
              <w:t xml:space="preserve"> </w:t>
            </w:r>
          </w:p>
          <w:p w14:paraId="1ACB9FDA" w14:textId="77777777" w:rsidR="00F71136" w:rsidRPr="00E77C12" w:rsidRDefault="00E37297" w:rsidP="00F71136">
            <w:pPr>
              <w:jc w:val="right"/>
              <w:rPr>
                <w:rFonts w:eastAsia="Times New Roman" w:cs="Calibri"/>
                <w:sz w:val="18"/>
                <w:szCs w:val="18"/>
                <w:lang w:eastAsia="en-US"/>
              </w:rPr>
            </w:pPr>
            <w:r>
              <w:rPr>
                <w:rFonts w:eastAsia="Times New Roman" w:cs="Calibri"/>
                <w:sz w:val="18"/>
                <w:szCs w:val="18"/>
                <w:lang w:eastAsia="en-US"/>
              </w:rPr>
              <w:t>(previsto)</w:t>
            </w:r>
            <w:r w:rsidR="00F71136" w:rsidRPr="00E77C12">
              <w:rPr>
                <w:rFonts w:eastAsia="Times New Roman" w:cs="Calibri"/>
                <w:sz w:val="18"/>
                <w:szCs w:val="18"/>
                <w:lang w:eastAsia="en-US"/>
              </w:rPr>
              <w:t xml:space="preserve"> </w:t>
            </w:r>
          </w:p>
        </w:tc>
        <w:tc>
          <w:tcPr>
            <w:tcW w:w="1196" w:type="dxa"/>
            <w:tcBorders>
              <w:top w:val="nil"/>
              <w:left w:val="nil"/>
              <w:bottom w:val="nil"/>
              <w:right w:val="nil"/>
            </w:tcBorders>
            <w:shd w:val="clear" w:color="auto" w:fill="auto"/>
            <w:noWrap/>
            <w:vAlign w:val="bottom"/>
            <w:hideMark/>
          </w:tcPr>
          <w:p w14:paraId="10C020DA" w14:textId="77777777" w:rsidR="00F71136" w:rsidRPr="00E77C12" w:rsidRDefault="00F71136" w:rsidP="00F7113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86,87%</w:t>
            </w:r>
          </w:p>
        </w:tc>
      </w:tr>
      <w:tr w:rsidR="00F71136" w:rsidRPr="00E77C12" w14:paraId="682B6CA2" w14:textId="77777777" w:rsidTr="00E77C12">
        <w:trPr>
          <w:trHeight w:val="290"/>
        </w:trPr>
        <w:tc>
          <w:tcPr>
            <w:tcW w:w="1418" w:type="dxa"/>
            <w:tcBorders>
              <w:top w:val="nil"/>
              <w:left w:val="nil"/>
              <w:bottom w:val="nil"/>
              <w:right w:val="nil"/>
            </w:tcBorders>
            <w:shd w:val="clear" w:color="auto" w:fill="auto"/>
            <w:noWrap/>
            <w:vAlign w:val="bottom"/>
            <w:hideMark/>
          </w:tcPr>
          <w:p w14:paraId="13D86C20"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4c</w:t>
            </w:r>
          </w:p>
        </w:tc>
        <w:tc>
          <w:tcPr>
            <w:tcW w:w="992" w:type="dxa"/>
            <w:tcBorders>
              <w:top w:val="nil"/>
              <w:left w:val="nil"/>
              <w:bottom w:val="nil"/>
              <w:right w:val="nil"/>
            </w:tcBorders>
            <w:shd w:val="clear" w:color="auto" w:fill="auto"/>
            <w:noWrap/>
            <w:vAlign w:val="bottom"/>
            <w:hideMark/>
          </w:tcPr>
          <w:p w14:paraId="70B8D1BA"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CO32</w:t>
            </w:r>
          </w:p>
        </w:tc>
        <w:tc>
          <w:tcPr>
            <w:tcW w:w="3119" w:type="dxa"/>
            <w:tcBorders>
              <w:top w:val="nil"/>
              <w:left w:val="nil"/>
              <w:bottom w:val="nil"/>
              <w:right w:val="nil"/>
            </w:tcBorders>
            <w:shd w:val="clear" w:color="auto" w:fill="auto"/>
            <w:noWrap/>
            <w:vAlign w:val="bottom"/>
            <w:hideMark/>
          </w:tcPr>
          <w:p w14:paraId="7D52BF0F"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Diminuzione del consumo annuale di energia primaria degli edifici pubblici (MWh/anno)</w:t>
            </w:r>
          </w:p>
        </w:tc>
        <w:tc>
          <w:tcPr>
            <w:tcW w:w="1417" w:type="dxa"/>
            <w:tcBorders>
              <w:top w:val="nil"/>
              <w:left w:val="nil"/>
              <w:bottom w:val="nil"/>
              <w:right w:val="nil"/>
            </w:tcBorders>
            <w:shd w:val="clear" w:color="auto" w:fill="auto"/>
            <w:noWrap/>
            <w:vAlign w:val="bottom"/>
            <w:hideMark/>
          </w:tcPr>
          <w:p w14:paraId="6A789144" w14:textId="77777777" w:rsidR="00F71136" w:rsidRPr="00E77C12" w:rsidRDefault="00F71136" w:rsidP="00F71136">
            <w:pPr>
              <w:jc w:val="right"/>
              <w:rPr>
                <w:rFonts w:eastAsia="Times New Roman" w:cs="Calibri"/>
                <w:sz w:val="18"/>
                <w:szCs w:val="18"/>
                <w:lang w:eastAsia="en-US"/>
              </w:rPr>
            </w:pPr>
            <w:r w:rsidRPr="00E77C12">
              <w:rPr>
                <w:rFonts w:eastAsia="Times New Roman" w:cs="Calibri"/>
                <w:sz w:val="18"/>
                <w:szCs w:val="18"/>
                <w:lang w:eastAsia="en-US"/>
              </w:rPr>
              <w:t xml:space="preserve">                             49.800 </w:t>
            </w:r>
          </w:p>
        </w:tc>
        <w:tc>
          <w:tcPr>
            <w:tcW w:w="1559" w:type="dxa"/>
            <w:tcBorders>
              <w:top w:val="nil"/>
              <w:left w:val="nil"/>
              <w:bottom w:val="nil"/>
              <w:right w:val="nil"/>
            </w:tcBorders>
            <w:shd w:val="clear" w:color="auto" w:fill="auto"/>
            <w:noWrap/>
            <w:vAlign w:val="bottom"/>
            <w:hideMark/>
          </w:tcPr>
          <w:p w14:paraId="2E69D06B" w14:textId="77777777" w:rsidR="00E37297" w:rsidRDefault="00F71136" w:rsidP="00F71136">
            <w:pPr>
              <w:jc w:val="right"/>
              <w:rPr>
                <w:rFonts w:eastAsia="Times New Roman" w:cs="Calibri"/>
                <w:sz w:val="18"/>
                <w:szCs w:val="18"/>
                <w:lang w:eastAsia="en-US"/>
              </w:rPr>
            </w:pPr>
            <w:r w:rsidRPr="00E77C12">
              <w:rPr>
                <w:rFonts w:eastAsia="Times New Roman" w:cs="Calibri"/>
                <w:sz w:val="18"/>
                <w:szCs w:val="18"/>
                <w:lang w:eastAsia="en-US"/>
              </w:rPr>
              <w:t xml:space="preserve">                        79.893</w:t>
            </w:r>
          </w:p>
          <w:p w14:paraId="2C6D763C" w14:textId="77777777" w:rsidR="00F71136" w:rsidRPr="00E77C12" w:rsidRDefault="00E37297" w:rsidP="00F71136">
            <w:pPr>
              <w:jc w:val="right"/>
              <w:rPr>
                <w:rFonts w:eastAsia="Times New Roman" w:cs="Calibri"/>
                <w:sz w:val="18"/>
                <w:szCs w:val="18"/>
                <w:lang w:eastAsia="en-US"/>
              </w:rPr>
            </w:pPr>
            <w:r>
              <w:rPr>
                <w:rFonts w:eastAsia="Times New Roman" w:cs="Calibri"/>
                <w:sz w:val="18"/>
                <w:szCs w:val="18"/>
                <w:lang w:eastAsia="en-US"/>
              </w:rPr>
              <w:t>(previsto)</w:t>
            </w:r>
            <w:r w:rsidR="00F71136" w:rsidRPr="00E77C12">
              <w:rPr>
                <w:rFonts w:eastAsia="Times New Roman" w:cs="Calibri"/>
                <w:sz w:val="18"/>
                <w:szCs w:val="18"/>
                <w:lang w:eastAsia="en-US"/>
              </w:rPr>
              <w:t xml:space="preserve"> </w:t>
            </w:r>
          </w:p>
        </w:tc>
        <w:tc>
          <w:tcPr>
            <w:tcW w:w="1196" w:type="dxa"/>
            <w:tcBorders>
              <w:top w:val="nil"/>
              <w:left w:val="nil"/>
              <w:bottom w:val="nil"/>
              <w:right w:val="nil"/>
            </w:tcBorders>
            <w:shd w:val="clear" w:color="auto" w:fill="auto"/>
            <w:noWrap/>
            <w:vAlign w:val="bottom"/>
            <w:hideMark/>
          </w:tcPr>
          <w:p w14:paraId="7E5D9BB5" w14:textId="77777777" w:rsidR="00F71136" w:rsidRPr="00E77C12" w:rsidRDefault="00F71136" w:rsidP="00F7113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160,43%</w:t>
            </w:r>
          </w:p>
        </w:tc>
      </w:tr>
      <w:tr w:rsidR="00F71136" w:rsidRPr="00E77C12" w14:paraId="61E770C6" w14:textId="77777777" w:rsidTr="00E77C12">
        <w:trPr>
          <w:trHeight w:val="290"/>
        </w:trPr>
        <w:tc>
          <w:tcPr>
            <w:tcW w:w="1418" w:type="dxa"/>
            <w:tcBorders>
              <w:top w:val="nil"/>
              <w:left w:val="nil"/>
              <w:bottom w:val="nil"/>
              <w:right w:val="nil"/>
            </w:tcBorders>
            <w:shd w:val="clear" w:color="auto" w:fill="auto"/>
            <w:noWrap/>
            <w:vAlign w:val="bottom"/>
            <w:hideMark/>
          </w:tcPr>
          <w:p w14:paraId="64F362AF"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4c</w:t>
            </w:r>
          </w:p>
        </w:tc>
        <w:tc>
          <w:tcPr>
            <w:tcW w:w="992" w:type="dxa"/>
            <w:tcBorders>
              <w:top w:val="nil"/>
              <w:left w:val="nil"/>
              <w:bottom w:val="nil"/>
              <w:right w:val="nil"/>
            </w:tcBorders>
            <w:shd w:val="clear" w:color="auto" w:fill="auto"/>
            <w:noWrap/>
            <w:vAlign w:val="bottom"/>
            <w:hideMark/>
          </w:tcPr>
          <w:p w14:paraId="681DB9A0"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CO34</w:t>
            </w:r>
          </w:p>
        </w:tc>
        <w:tc>
          <w:tcPr>
            <w:tcW w:w="3119" w:type="dxa"/>
            <w:tcBorders>
              <w:top w:val="nil"/>
              <w:left w:val="nil"/>
              <w:bottom w:val="nil"/>
              <w:right w:val="nil"/>
            </w:tcBorders>
            <w:shd w:val="clear" w:color="auto" w:fill="auto"/>
            <w:noWrap/>
            <w:vAlign w:val="bottom"/>
            <w:hideMark/>
          </w:tcPr>
          <w:p w14:paraId="57671819"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Diminuzione annuale stimata dei gas a effetto serra (tCO2eq/anno)</w:t>
            </w:r>
          </w:p>
        </w:tc>
        <w:tc>
          <w:tcPr>
            <w:tcW w:w="1417" w:type="dxa"/>
            <w:tcBorders>
              <w:top w:val="nil"/>
              <w:left w:val="nil"/>
              <w:bottom w:val="nil"/>
              <w:right w:val="nil"/>
            </w:tcBorders>
            <w:shd w:val="clear" w:color="auto" w:fill="auto"/>
            <w:noWrap/>
            <w:vAlign w:val="bottom"/>
            <w:hideMark/>
          </w:tcPr>
          <w:p w14:paraId="29146348" w14:textId="77777777" w:rsidR="00F71136" w:rsidRPr="00E77C12" w:rsidRDefault="00F71136" w:rsidP="00F71136">
            <w:pPr>
              <w:jc w:val="right"/>
              <w:rPr>
                <w:rFonts w:eastAsia="Times New Roman" w:cs="Calibri"/>
                <w:sz w:val="18"/>
                <w:szCs w:val="18"/>
                <w:lang w:eastAsia="en-US"/>
              </w:rPr>
            </w:pPr>
            <w:r w:rsidRPr="00E77C12">
              <w:rPr>
                <w:rFonts w:eastAsia="Times New Roman" w:cs="Calibri"/>
                <w:sz w:val="18"/>
                <w:szCs w:val="18"/>
                <w:lang w:eastAsia="en-US"/>
              </w:rPr>
              <w:t xml:space="preserve">                             19.000 </w:t>
            </w:r>
          </w:p>
        </w:tc>
        <w:tc>
          <w:tcPr>
            <w:tcW w:w="1559" w:type="dxa"/>
            <w:tcBorders>
              <w:top w:val="nil"/>
              <w:left w:val="nil"/>
              <w:bottom w:val="nil"/>
              <w:right w:val="nil"/>
            </w:tcBorders>
            <w:shd w:val="clear" w:color="auto" w:fill="auto"/>
            <w:noWrap/>
            <w:vAlign w:val="bottom"/>
            <w:hideMark/>
          </w:tcPr>
          <w:p w14:paraId="0E317FBA" w14:textId="77777777" w:rsidR="00E37297" w:rsidRDefault="00F71136" w:rsidP="00F71136">
            <w:pPr>
              <w:jc w:val="right"/>
              <w:rPr>
                <w:rFonts w:eastAsia="Times New Roman" w:cs="Calibri"/>
                <w:sz w:val="18"/>
                <w:szCs w:val="18"/>
                <w:lang w:eastAsia="en-US"/>
              </w:rPr>
            </w:pPr>
            <w:r w:rsidRPr="00E77C12">
              <w:rPr>
                <w:rFonts w:eastAsia="Times New Roman" w:cs="Calibri"/>
                <w:sz w:val="18"/>
                <w:szCs w:val="18"/>
                <w:lang w:eastAsia="en-US"/>
              </w:rPr>
              <w:t xml:space="preserve">                             16.023</w:t>
            </w:r>
          </w:p>
          <w:p w14:paraId="1BFDA963" w14:textId="77777777" w:rsidR="00F71136" w:rsidRPr="00E77C12" w:rsidRDefault="00E37297" w:rsidP="00F71136">
            <w:pPr>
              <w:jc w:val="right"/>
              <w:rPr>
                <w:rFonts w:eastAsia="Times New Roman" w:cs="Calibri"/>
                <w:sz w:val="18"/>
                <w:szCs w:val="18"/>
                <w:lang w:eastAsia="en-US"/>
              </w:rPr>
            </w:pPr>
            <w:r>
              <w:rPr>
                <w:rFonts w:eastAsia="Times New Roman" w:cs="Calibri"/>
                <w:sz w:val="18"/>
                <w:szCs w:val="18"/>
                <w:lang w:eastAsia="en-US"/>
              </w:rPr>
              <w:t>(previsto)</w:t>
            </w:r>
            <w:r w:rsidR="00F71136" w:rsidRPr="00E77C12">
              <w:rPr>
                <w:rFonts w:eastAsia="Times New Roman" w:cs="Calibri"/>
                <w:sz w:val="18"/>
                <w:szCs w:val="18"/>
                <w:lang w:eastAsia="en-US"/>
              </w:rPr>
              <w:t xml:space="preserve"> </w:t>
            </w:r>
          </w:p>
        </w:tc>
        <w:tc>
          <w:tcPr>
            <w:tcW w:w="1196" w:type="dxa"/>
            <w:tcBorders>
              <w:top w:val="nil"/>
              <w:left w:val="nil"/>
              <w:bottom w:val="nil"/>
              <w:right w:val="nil"/>
            </w:tcBorders>
            <w:shd w:val="clear" w:color="auto" w:fill="auto"/>
            <w:noWrap/>
            <w:vAlign w:val="bottom"/>
            <w:hideMark/>
          </w:tcPr>
          <w:p w14:paraId="6D57F1E3" w14:textId="77777777" w:rsidR="00F71136" w:rsidRPr="00E77C12" w:rsidRDefault="00F71136" w:rsidP="00F7113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84,33%</w:t>
            </w:r>
          </w:p>
        </w:tc>
      </w:tr>
      <w:tr w:rsidR="00F71136" w:rsidRPr="00E77C12" w14:paraId="58843C0F" w14:textId="77777777" w:rsidTr="00E77C12">
        <w:trPr>
          <w:trHeight w:val="290"/>
        </w:trPr>
        <w:tc>
          <w:tcPr>
            <w:tcW w:w="1418" w:type="dxa"/>
            <w:tcBorders>
              <w:top w:val="nil"/>
              <w:left w:val="nil"/>
              <w:bottom w:val="nil"/>
              <w:right w:val="nil"/>
            </w:tcBorders>
            <w:shd w:val="clear" w:color="auto" w:fill="auto"/>
            <w:noWrap/>
            <w:vAlign w:val="bottom"/>
            <w:hideMark/>
          </w:tcPr>
          <w:p w14:paraId="06DE3792"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4e</w:t>
            </w:r>
          </w:p>
        </w:tc>
        <w:tc>
          <w:tcPr>
            <w:tcW w:w="992" w:type="dxa"/>
            <w:tcBorders>
              <w:top w:val="nil"/>
              <w:left w:val="nil"/>
              <w:bottom w:val="nil"/>
              <w:right w:val="nil"/>
            </w:tcBorders>
            <w:shd w:val="clear" w:color="auto" w:fill="auto"/>
            <w:noWrap/>
            <w:vAlign w:val="bottom"/>
            <w:hideMark/>
          </w:tcPr>
          <w:p w14:paraId="16069523"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 xml:space="preserve">4e.2 </w:t>
            </w:r>
          </w:p>
        </w:tc>
        <w:tc>
          <w:tcPr>
            <w:tcW w:w="3119" w:type="dxa"/>
            <w:tcBorders>
              <w:top w:val="nil"/>
              <w:left w:val="nil"/>
              <w:bottom w:val="nil"/>
              <w:right w:val="nil"/>
            </w:tcBorders>
            <w:shd w:val="clear" w:color="auto" w:fill="auto"/>
            <w:noWrap/>
            <w:vAlign w:val="bottom"/>
            <w:hideMark/>
          </w:tcPr>
          <w:p w14:paraId="159422EE"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Estensione in lunghezza (piste ciclabili) (km)</w:t>
            </w:r>
          </w:p>
        </w:tc>
        <w:tc>
          <w:tcPr>
            <w:tcW w:w="1417" w:type="dxa"/>
            <w:tcBorders>
              <w:top w:val="nil"/>
              <w:left w:val="nil"/>
              <w:bottom w:val="nil"/>
              <w:right w:val="nil"/>
            </w:tcBorders>
            <w:shd w:val="clear" w:color="auto" w:fill="auto"/>
            <w:noWrap/>
            <w:vAlign w:val="bottom"/>
            <w:hideMark/>
          </w:tcPr>
          <w:p w14:paraId="6F0CB550" w14:textId="77777777" w:rsidR="00F71136" w:rsidRPr="00E77C12" w:rsidRDefault="00F71136" w:rsidP="00F71136">
            <w:pPr>
              <w:jc w:val="right"/>
              <w:rPr>
                <w:rFonts w:eastAsia="Times New Roman" w:cs="Calibri"/>
                <w:sz w:val="18"/>
                <w:szCs w:val="18"/>
                <w:lang w:eastAsia="en-US"/>
              </w:rPr>
            </w:pPr>
            <w:r w:rsidRPr="00E77C12">
              <w:rPr>
                <w:rFonts w:eastAsia="Times New Roman" w:cs="Calibri"/>
                <w:sz w:val="18"/>
                <w:szCs w:val="18"/>
                <w:lang w:eastAsia="en-US"/>
              </w:rPr>
              <w:t xml:space="preserve">                                   120 </w:t>
            </w:r>
          </w:p>
        </w:tc>
        <w:tc>
          <w:tcPr>
            <w:tcW w:w="1559" w:type="dxa"/>
            <w:tcBorders>
              <w:top w:val="nil"/>
              <w:left w:val="nil"/>
              <w:bottom w:val="nil"/>
              <w:right w:val="nil"/>
            </w:tcBorders>
            <w:shd w:val="clear" w:color="auto" w:fill="auto"/>
            <w:noWrap/>
            <w:vAlign w:val="bottom"/>
            <w:hideMark/>
          </w:tcPr>
          <w:p w14:paraId="5594A862" w14:textId="77777777" w:rsidR="00F71136" w:rsidRPr="00E77C12" w:rsidRDefault="00F71136" w:rsidP="00F71136">
            <w:pPr>
              <w:jc w:val="right"/>
              <w:rPr>
                <w:rFonts w:eastAsia="Times New Roman" w:cs="Calibri"/>
                <w:sz w:val="18"/>
                <w:szCs w:val="18"/>
                <w:lang w:eastAsia="en-US"/>
              </w:rPr>
            </w:pPr>
            <w:r w:rsidRPr="00E77C12">
              <w:rPr>
                <w:rFonts w:eastAsia="Times New Roman" w:cs="Calibri"/>
                <w:sz w:val="18"/>
                <w:szCs w:val="18"/>
                <w:lang w:eastAsia="en-US"/>
              </w:rPr>
              <w:t xml:space="preserve">                                     57 </w:t>
            </w:r>
          </w:p>
        </w:tc>
        <w:tc>
          <w:tcPr>
            <w:tcW w:w="1196" w:type="dxa"/>
            <w:tcBorders>
              <w:top w:val="nil"/>
              <w:left w:val="nil"/>
              <w:bottom w:val="nil"/>
              <w:right w:val="nil"/>
            </w:tcBorders>
            <w:shd w:val="clear" w:color="auto" w:fill="auto"/>
            <w:noWrap/>
            <w:vAlign w:val="bottom"/>
            <w:hideMark/>
          </w:tcPr>
          <w:p w14:paraId="430CAE37" w14:textId="77777777" w:rsidR="00F71136" w:rsidRPr="00E77C12" w:rsidRDefault="00F71136" w:rsidP="00F7113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47,50%</w:t>
            </w:r>
          </w:p>
        </w:tc>
      </w:tr>
      <w:tr w:rsidR="00F71136" w:rsidRPr="00E77C12" w14:paraId="7E4B46DA" w14:textId="77777777" w:rsidTr="00E77C12">
        <w:trPr>
          <w:trHeight w:val="290"/>
        </w:trPr>
        <w:tc>
          <w:tcPr>
            <w:tcW w:w="1418" w:type="dxa"/>
            <w:tcBorders>
              <w:top w:val="nil"/>
              <w:left w:val="nil"/>
              <w:bottom w:val="nil"/>
              <w:right w:val="nil"/>
            </w:tcBorders>
            <w:shd w:val="clear" w:color="auto" w:fill="auto"/>
            <w:noWrap/>
            <w:vAlign w:val="bottom"/>
            <w:hideMark/>
          </w:tcPr>
          <w:p w14:paraId="6401019C"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4e</w:t>
            </w:r>
          </w:p>
        </w:tc>
        <w:tc>
          <w:tcPr>
            <w:tcW w:w="992" w:type="dxa"/>
            <w:tcBorders>
              <w:top w:val="nil"/>
              <w:left w:val="nil"/>
              <w:bottom w:val="nil"/>
              <w:right w:val="nil"/>
            </w:tcBorders>
            <w:shd w:val="clear" w:color="auto" w:fill="auto"/>
            <w:noWrap/>
            <w:vAlign w:val="bottom"/>
            <w:hideMark/>
          </w:tcPr>
          <w:p w14:paraId="15A7A8AC"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4e.4</w:t>
            </w:r>
          </w:p>
        </w:tc>
        <w:tc>
          <w:tcPr>
            <w:tcW w:w="3119" w:type="dxa"/>
            <w:tcBorders>
              <w:top w:val="nil"/>
              <w:left w:val="nil"/>
              <w:bottom w:val="nil"/>
              <w:right w:val="nil"/>
            </w:tcBorders>
            <w:shd w:val="clear" w:color="auto" w:fill="auto"/>
            <w:noWrap/>
            <w:vAlign w:val="bottom"/>
            <w:hideMark/>
          </w:tcPr>
          <w:p w14:paraId="5BFE90A5"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Posti bici realizzati/riqualificati</w:t>
            </w:r>
          </w:p>
        </w:tc>
        <w:tc>
          <w:tcPr>
            <w:tcW w:w="1417" w:type="dxa"/>
            <w:tcBorders>
              <w:top w:val="nil"/>
              <w:left w:val="nil"/>
              <w:bottom w:val="nil"/>
              <w:right w:val="nil"/>
            </w:tcBorders>
            <w:shd w:val="clear" w:color="auto" w:fill="auto"/>
            <w:noWrap/>
            <w:vAlign w:val="bottom"/>
            <w:hideMark/>
          </w:tcPr>
          <w:p w14:paraId="4FFFF2B1" w14:textId="77777777" w:rsidR="00F71136" w:rsidRPr="00E77C12" w:rsidRDefault="00F71136" w:rsidP="00F71136">
            <w:pPr>
              <w:jc w:val="right"/>
              <w:rPr>
                <w:rFonts w:eastAsia="Times New Roman" w:cs="Calibri"/>
                <w:sz w:val="18"/>
                <w:szCs w:val="18"/>
                <w:lang w:eastAsia="en-US"/>
              </w:rPr>
            </w:pPr>
            <w:r w:rsidRPr="00E77C12">
              <w:rPr>
                <w:rFonts w:eastAsia="Times New Roman" w:cs="Calibri"/>
                <w:sz w:val="18"/>
                <w:szCs w:val="18"/>
                <w:lang w:eastAsia="en-US"/>
              </w:rPr>
              <w:t xml:space="preserve">                                1.200 </w:t>
            </w:r>
          </w:p>
        </w:tc>
        <w:tc>
          <w:tcPr>
            <w:tcW w:w="1559" w:type="dxa"/>
            <w:tcBorders>
              <w:top w:val="nil"/>
              <w:left w:val="nil"/>
              <w:bottom w:val="nil"/>
              <w:right w:val="nil"/>
            </w:tcBorders>
            <w:shd w:val="clear" w:color="auto" w:fill="auto"/>
            <w:noWrap/>
            <w:vAlign w:val="bottom"/>
            <w:hideMark/>
          </w:tcPr>
          <w:p w14:paraId="290E4798" w14:textId="77777777" w:rsidR="00F71136" w:rsidRPr="00E77C12" w:rsidRDefault="00F71136" w:rsidP="00F71136">
            <w:pPr>
              <w:jc w:val="right"/>
              <w:rPr>
                <w:rFonts w:eastAsia="Times New Roman" w:cs="Calibri"/>
                <w:sz w:val="18"/>
                <w:szCs w:val="18"/>
                <w:lang w:eastAsia="en-US"/>
              </w:rPr>
            </w:pPr>
            <w:r w:rsidRPr="00E77C12">
              <w:rPr>
                <w:rFonts w:eastAsia="Times New Roman" w:cs="Calibri"/>
                <w:sz w:val="18"/>
                <w:szCs w:val="18"/>
                <w:lang w:eastAsia="en-US"/>
              </w:rPr>
              <w:t xml:space="preserve">                                   822 </w:t>
            </w:r>
          </w:p>
        </w:tc>
        <w:tc>
          <w:tcPr>
            <w:tcW w:w="1196" w:type="dxa"/>
            <w:tcBorders>
              <w:top w:val="nil"/>
              <w:left w:val="nil"/>
              <w:bottom w:val="nil"/>
              <w:right w:val="nil"/>
            </w:tcBorders>
            <w:shd w:val="clear" w:color="auto" w:fill="auto"/>
            <w:noWrap/>
            <w:vAlign w:val="bottom"/>
            <w:hideMark/>
          </w:tcPr>
          <w:p w14:paraId="23DD5D26" w14:textId="77777777" w:rsidR="00F71136" w:rsidRPr="00E77C12" w:rsidRDefault="00F71136" w:rsidP="00F7113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68,50%</w:t>
            </w:r>
          </w:p>
        </w:tc>
      </w:tr>
      <w:tr w:rsidR="00F71136" w:rsidRPr="00E77C12" w14:paraId="52455CE5" w14:textId="77777777" w:rsidTr="00E77C12">
        <w:trPr>
          <w:trHeight w:val="290"/>
        </w:trPr>
        <w:tc>
          <w:tcPr>
            <w:tcW w:w="1418" w:type="dxa"/>
            <w:tcBorders>
              <w:top w:val="nil"/>
              <w:left w:val="nil"/>
              <w:bottom w:val="single" w:sz="4" w:space="0" w:color="305496"/>
              <w:right w:val="nil"/>
            </w:tcBorders>
            <w:shd w:val="clear" w:color="auto" w:fill="auto"/>
            <w:noWrap/>
            <w:vAlign w:val="bottom"/>
            <w:hideMark/>
          </w:tcPr>
          <w:p w14:paraId="28EA2769"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4e</w:t>
            </w:r>
          </w:p>
        </w:tc>
        <w:tc>
          <w:tcPr>
            <w:tcW w:w="992" w:type="dxa"/>
            <w:tcBorders>
              <w:top w:val="nil"/>
              <w:left w:val="nil"/>
              <w:bottom w:val="single" w:sz="4" w:space="0" w:color="305496"/>
              <w:right w:val="nil"/>
            </w:tcBorders>
            <w:shd w:val="clear" w:color="auto" w:fill="auto"/>
            <w:noWrap/>
            <w:vAlign w:val="bottom"/>
            <w:hideMark/>
          </w:tcPr>
          <w:p w14:paraId="39F6B7B1"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4e.5</w:t>
            </w:r>
          </w:p>
        </w:tc>
        <w:tc>
          <w:tcPr>
            <w:tcW w:w="3119" w:type="dxa"/>
            <w:tcBorders>
              <w:top w:val="nil"/>
              <w:left w:val="nil"/>
              <w:bottom w:val="single" w:sz="4" w:space="0" w:color="305496"/>
              <w:right w:val="nil"/>
            </w:tcBorders>
            <w:shd w:val="clear" w:color="auto" w:fill="auto"/>
            <w:noWrap/>
            <w:vAlign w:val="bottom"/>
            <w:hideMark/>
          </w:tcPr>
          <w:p w14:paraId="48F1E541" w14:textId="77777777" w:rsidR="00F71136" w:rsidRPr="00E77C12" w:rsidRDefault="00F71136" w:rsidP="00F71136">
            <w:pPr>
              <w:jc w:val="left"/>
              <w:rPr>
                <w:rFonts w:eastAsia="Times New Roman" w:cs="Calibri"/>
                <w:color w:val="000000"/>
                <w:sz w:val="18"/>
                <w:szCs w:val="18"/>
                <w:lang w:eastAsia="en-US"/>
              </w:rPr>
            </w:pPr>
            <w:r w:rsidRPr="00E77C12">
              <w:rPr>
                <w:rFonts w:eastAsia="Times New Roman" w:cs="Calibri"/>
                <w:color w:val="000000"/>
                <w:sz w:val="18"/>
                <w:szCs w:val="18"/>
                <w:lang w:eastAsia="en-US"/>
              </w:rPr>
              <w:t>Velostazioni e parcheggi per biciclette realizzati/riqualificati</w:t>
            </w:r>
          </w:p>
        </w:tc>
        <w:tc>
          <w:tcPr>
            <w:tcW w:w="1417" w:type="dxa"/>
            <w:tcBorders>
              <w:top w:val="nil"/>
              <w:left w:val="nil"/>
              <w:bottom w:val="single" w:sz="4" w:space="0" w:color="305496"/>
              <w:right w:val="nil"/>
            </w:tcBorders>
            <w:shd w:val="clear" w:color="auto" w:fill="auto"/>
            <w:noWrap/>
            <w:vAlign w:val="bottom"/>
            <w:hideMark/>
          </w:tcPr>
          <w:p w14:paraId="02F4D44C" w14:textId="77777777" w:rsidR="00F71136" w:rsidRPr="00E77C12" w:rsidRDefault="00F71136" w:rsidP="00F71136">
            <w:pPr>
              <w:jc w:val="right"/>
              <w:rPr>
                <w:rFonts w:eastAsia="Times New Roman" w:cs="Calibri"/>
                <w:sz w:val="18"/>
                <w:szCs w:val="18"/>
                <w:lang w:eastAsia="en-US"/>
              </w:rPr>
            </w:pPr>
            <w:r w:rsidRPr="00E77C12">
              <w:rPr>
                <w:rFonts w:eastAsia="Times New Roman" w:cs="Calibri"/>
                <w:sz w:val="18"/>
                <w:szCs w:val="18"/>
                <w:lang w:eastAsia="en-US"/>
              </w:rPr>
              <w:t xml:space="preserve">                                     18 </w:t>
            </w:r>
          </w:p>
        </w:tc>
        <w:tc>
          <w:tcPr>
            <w:tcW w:w="1559" w:type="dxa"/>
            <w:tcBorders>
              <w:top w:val="nil"/>
              <w:left w:val="nil"/>
              <w:bottom w:val="single" w:sz="4" w:space="0" w:color="305496"/>
              <w:right w:val="nil"/>
            </w:tcBorders>
            <w:shd w:val="clear" w:color="auto" w:fill="auto"/>
            <w:noWrap/>
            <w:vAlign w:val="bottom"/>
            <w:hideMark/>
          </w:tcPr>
          <w:p w14:paraId="05810762" w14:textId="77777777" w:rsidR="00F71136" w:rsidRPr="00E77C12" w:rsidRDefault="00F71136" w:rsidP="00F71136">
            <w:pPr>
              <w:jc w:val="right"/>
              <w:rPr>
                <w:rFonts w:eastAsia="Times New Roman" w:cs="Calibri"/>
                <w:sz w:val="18"/>
                <w:szCs w:val="18"/>
                <w:lang w:eastAsia="en-US"/>
              </w:rPr>
            </w:pPr>
            <w:r w:rsidRPr="00E77C12">
              <w:rPr>
                <w:rFonts w:eastAsia="Times New Roman" w:cs="Calibri"/>
                <w:sz w:val="18"/>
                <w:szCs w:val="18"/>
                <w:lang w:eastAsia="en-US"/>
              </w:rPr>
              <w:t xml:space="preserve">                                       4 </w:t>
            </w:r>
          </w:p>
        </w:tc>
        <w:tc>
          <w:tcPr>
            <w:tcW w:w="1196" w:type="dxa"/>
            <w:tcBorders>
              <w:top w:val="nil"/>
              <w:left w:val="nil"/>
              <w:bottom w:val="single" w:sz="4" w:space="0" w:color="305496"/>
              <w:right w:val="nil"/>
            </w:tcBorders>
            <w:shd w:val="clear" w:color="auto" w:fill="auto"/>
            <w:noWrap/>
            <w:vAlign w:val="bottom"/>
            <w:hideMark/>
          </w:tcPr>
          <w:p w14:paraId="4204EEAE" w14:textId="77777777" w:rsidR="00F71136" w:rsidRPr="00E77C12" w:rsidRDefault="00F71136" w:rsidP="00F7113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22,22%</w:t>
            </w:r>
          </w:p>
        </w:tc>
      </w:tr>
    </w:tbl>
    <w:p w14:paraId="4A09A9FD" w14:textId="77777777" w:rsidR="006B6747" w:rsidRDefault="006B6747" w:rsidP="006B6747">
      <w:pPr>
        <w:rPr>
          <w:sz w:val="18"/>
          <w:szCs w:val="18"/>
        </w:rPr>
      </w:pPr>
      <w:r>
        <w:rPr>
          <w:sz w:val="18"/>
          <w:szCs w:val="18"/>
        </w:rPr>
        <w:t>Fonte: Rapporto Annuale di Attuazione 2020, dati aggiornati al 31.12.2020.</w:t>
      </w:r>
    </w:p>
    <w:p w14:paraId="6FCB1EDB" w14:textId="77777777" w:rsidR="0081593A" w:rsidRPr="00736D99" w:rsidRDefault="0081593A" w:rsidP="0081593A">
      <w:pPr>
        <w:rPr>
          <w:sz w:val="18"/>
          <w:szCs w:val="18"/>
        </w:rPr>
      </w:pPr>
      <w:r w:rsidRPr="00736D99">
        <w:rPr>
          <w:sz w:val="18"/>
          <w:szCs w:val="18"/>
        </w:rPr>
        <w:t xml:space="preserve">Nota: </w:t>
      </w:r>
      <w:r>
        <w:rPr>
          <w:sz w:val="18"/>
          <w:szCs w:val="18"/>
        </w:rPr>
        <w:t>Nella tabella vengono riportati solamente gli indicatori che al 2020 presentano un valore realizzato maggiore di zero.</w:t>
      </w:r>
      <w:r w:rsidR="001A70B0">
        <w:rPr>
          <w:sz w:val="18"/>
          <w:szCs w:val="18"/>
        </w:rPr>
        <w:t xml:space="preserve"> Il valore al 2020 dei primi tre indicatori è tratto dall’informativa dell’Autorità Ambientale (AA), </w:t>
      </w:r>
      <w:proofErr w:type="spellStart"/>
      <w:r w:rsidR="001A70B0">
        <w:rPr>
          <w:sz w:val="18"/>
          <w:szCs w:val="18"/>
        </w:rPr>
        <w:t>CdS</w:t>
      </w:r>
      <w:proofErr w:type="spellEnd"/>
      <w:r w:rsidR="001A70B0">
        <w:rPr>
          <w:sz w:val="18"/>
          <w:szCs w:val="18"/>
        </w:rPr>
        <w:t xml:space="preserve"> del 27.05.2021.</w:t>
      </w:r>
    </w:p>
    <w:p w14:paraId="5E6BB07E" w14:textId="77777777" w:rsidR="00AF6A6D" w:rsidRDefault="00AF6A6D" w:rsidP="00AF6A6D"/>
    <w:p w14:paraId="645EB234" w14:textId="4BCF2E23" w:rsidR="00482018" w:rsidRDefault="00FF30A9" w:rsidP="00AF6A6D">
      <w:r w:rsidRPr="00FF30A9">
        <w:t xml:space="preserve">La tabella seguente riporta l’avanzamento degli indicatori di risultato </w:t>
      </w:r>
      <w:r>
        <w:t>de</w:t>
      </w:r>
      <w:r w:rsidR="001D7F71">
        <w:t>ll’</w:t>
      </w:r>
      <w:r w:rsidR="008A7F9B">
        <w:t>A</w:t>
      </w:r>
      <w:r w:rsidR="001D7F71">
        <w:t>sse IV</w:t>
      </w:r>
      <w:r>
        <w:t xml:space="preserve"> del POR FESR </w:t>
      </w:r>
      <w:r w:rsidRPr="00FF30A9">
        <w:t xml:space="preserve">a fine 2020. </w:t>
      </w:r>
      <w:r w:rsidR="00C40345">
        <w:t xml:space="preserve">Gli interventi hanno avuto gli effetti sperati per quanto riguarda la riduzione di </w:t>
      </w:r>
      <w:r w:rsidR="00592717">
        <w:t xml:space="preserve">emissioni di </w:t>
      </w:r>
      <w:r w:rsidR="00C40345">
        <w:t xml:space="preserve">PM10 </w:t>
      </w:r>
      <w:r w:rsidR="00592717">
        <w:t xml:space="preserve">nel </w:t>
      </w:r>
      <w:r w:rsidR="00C40345">
        <w:t xml:space="preserve">settore dei trasporti, indicatore per il quale </w:t>
      </w:r>
      <w:r w:rsidR="00592717">
        <w:t xml:space="preserve">è stato superato </w:t>
      </w:r>
      <w:r w:rsidR="00C40345">
        <w:t xml:space="preserve">il target al 2023. Un altro ambito dove si riscontrano buoni risultati è quello relativo all’obiettivo specifico 4c per il quale il numero di edifici pubblici di classe energetica E, F e G si sono ridotti in maniera consistente passando da 13.700 nel 2014 a 6.952 a fine 2020, molto vicino al valore target di 6.500. </w:t>
      </w:r>
      <w:r w:rsidR="00042D40">
        <w:t xml:space="preserve">Gli altri indicatori non riportano risultati altrettanto soddisfacenti, sebbene per alcuni si riscontri un </w:t>
      </w:r>
      <w:r w:rsidR="00565BF9">
        <w:t xml:space="preserve">modesto </w:t>
      </w:r>
      <w:r w:rsidR="00042D40">
        <w:t xml:space="preserve">avanzamento rispetto </w:t>
      </w:r>
      <w:r w:rsidR="00565BF9">
        <w:t>al</w:t>
      </w:r>
      <w:r w:rsidR="00042D40">
        <w:t>la baseline</w:t>
      </w:r>
      <w:r w:rsidR="00592717">
        <w:t>,</w:t>
      </w:r>
      <w:r w:rsidR="00565BF9">
        <w:t xml:space="preserve"> questi sembrano ancora troppo distanti dal valore target. Inoltre, alcuni indicatori relativi ai c</w:t>
      </w:r>
      <w:r w:rsidR="00565BF9" w:rsidRPr="00565BF9">
        <w:t>onsumi di energia elettrica delle imprese dell’industria</w:t>
      </w:r>
      <w:r w:rsidR="00565BF9">
        <w:t xml:space="preserve"> e utilizzo dei mezzi pubblici sembrano peggiorare rispetto al valore base, allontanandosi dagli obiettivi fissati per il 2023.</w:t>
      </w:r>
    </w:p>
    <w:p w14:paraId="1FE76C54" w14:textId="77777777" w:rsidR="00B962B4" w:rsidRDefault="00B962B4">
      <w:pPr>
        <w:spacing w:after="320" w:line="300" w:lineRule="auto"/>
        <w:jc w:val="left"/>
      </w:pPr>
      <w:r>
        <w:br w:type="page"/>
      </w:r>
    </w:p>
    <w:p w14:paraId="0C339A86" w14:textId="77777777" w:rsidR="00FF30A9" w:rsidRDefault="00E53D6C" w:rsidP="00E53D6C">
      <w:pPr>
        <w:pStyle w:val="Didascalia"/>
      </w:pPr>
      <w:bookmarkStart w:id="44" w:name="_Toc91081441"/>
      <w:r>
        <w:t xml:space="preserve">Tabella </w:t>
      </w:r>
      <w:r w:rsidR="004E6566">
        <w:fldChar w:fldCharType="begin"/>
      </w:r>
      <w:r>
        <w:instrText xml:space="preserve"> SEQ Tabella \* ARABIC </w:instrText>
      </w:r>
      <w:r w:rsidR="004E6566">
        <w:fldChar w:fldCharType="separate"/>
      </w:r>
      <w:r>
        <w:rPr>
          <w:noProof/>
        </w:rPr>
        <w:t>15</w:t>
      </w:r>
      <w:r w:rsidR="004E6566">
        <w:fldChar w:fldCharType="end"/>
      </w:r>
      <w:r>
        <w:t xml:space="preserve">. </w:t>
      </w:r>
      <w:r w:rsidRPr="00341982">
        <w:t>Indicatori di risultato selezionati FESR – Area territoriale</w:t>
      </w:r>
      <w:bookmarkEnd w:id="44"/>
    </w:p>
    <w:tbl>
      <w:tblPr>
        <w:tblW w:w="5000" w:type="pct"/>
        <w:tblLook w:val="04A0" w:firstRow="1" w:lastRow="0" w:firstColumn="1" w:lastColumn="0" w:noHBand="0" w:noVBand="1"/>
      </w:tblPr>
      <w:tblGrid>
        <w:gridCol w:w="976"/>
        <w:gridCol w:w="4312"/>
        <w:gridCol w:w="982"/>
        <w:gridCol w:w="1090"/>
        <w:gridCol w:w="1086"/>
        <w:gridCol w:w="1192"/>
      </w:tblGrid>
      <w:tr w:rsidR="00343683" w:rsidRPr="00E77C12" w14:paraId="444AA22C" w14:textId="77777777" w:rsidTr="001A51AA">
        <w:trPr>
          <w:trHeight w:val="582"/>
        </w:trPr>
        <w:tc>
          <w:tcPr>
            <w:tcW w:w="478" w:type="pct"/>
            <w:tcBorders>
              <w:top w:val="nil"/>
              <w:left w:val="nil"/>
              <w:bottom w:val="nil"/>
              <w:right w:val="nil"/>
            </w:tcBorders>
            <w:shd w:val="clear" w:color="auto" w:fill="669748" w:themeFill="accent2" w:themeFillShade="BF"/>
            <w:vAlign w:val="bottom"/>
            <w:hideMark/>
          </w:tcPr>
          <w:p w14:paraId="32BBCF83" w14:textId="77777777" w:rsidR="00343683" w:rsidRPr="00E77C12" w:rsidRDefault="00BE1F60" w:rsidP="0081593A">
            <w:pPr>
              <w:jc w:val="left"/>
              <w:rPr>
                <w:rFonts w:eastAsia="Times New Roman" w:cs="Calibri"/>
                <w:b/>
                <w:bCs/>
                <w:color w:val="FFFFFF"/>
                <w:sz w:val="18"/>
                <w:szCs w:val="18"/>
                <w:lang w:eastAsia="en-US"/>
              </w:rPr>
            </w:pPr>
            <w:r w:rsidRPr="00E77C12">
              <w:rPr>
                <w:rFonts w:eastAsia="Times New Roman" w:cs="Calibri"/>
                <w:b/>
                <w:bCs/>
                <w:color w:val="FFFFFF"/>
                <w:sz w:val="18"/>
                <w:szCs w:val="18"/>
                <w:lang w:eastAsia="en-US"/>
              </w:rPr>
              <w:t>Codice ind</w:t>
            </w:r>
            <w:r w:rsidR="009E6E33">
              <w:rPr>
                <w:rFonts w:eastAsia="Times New Roman" w:cs="Calibri"/>
                <w:b/>
                <w:bCs/>
                <w:color w:val="FFFFFF"/>
                <w:sz w:val="18"/>
                <w:szCs w:val="18"/>
                <w:lang w:eastAsia="en-US"/>
              </w:rPr>
              <w:t>i</w:t>
            </w:r>
            <w:r w:rsidRPr="00E77C12">
              <w:rPr>
                <w:rFonts w:eastAsia="Times New Roman" w:cs="Calibri"/>
                <w:b/>
                <w:bCs/>
                <w:color w:val="FFFFFF"/>
                <w:sz w:val="18"/>
                <w:szCs w:val="18"/>
                <w:lang w:eastAsia="en-US"/>
              </w:rPr>
              <w:t>catore</w:t>
            </w:r>
          </w:p>
        </w:tc>
        <w:tc>
          <w:tcPr>
            <w:tcW w:w="2243" w:type="pct"/>
            <w:tcBorders>
              <w:top w:val="nil"/>
              <w:left w:val="nil"/>
              <w:bottom w:val="nil"/>
              <w:right w:val="nil"/>
            </w:tcBorders>
            <w:shd w:val="clear" w:color="auto" w:fill="669748" w:themeFill="accent2" w:themeFillShade="BF"/>
            <w:vAlign w:val="bottom"/>
            <w:hideMark/>
          </w:tcPr>
          <w:p w14:paraId="6A149D58" w14:textId="77777777" w:rsidR="00343683" w:rsidRPr="00E77C12" w:rsidRDefault="00343683" w:rsidP="0081593A">
            <w:pPr>
              <w:jc w:val="left"/>
              <w:rPr>
                <w:rFonts w:eastAsia="Times New Roman" w:cs="Calibri"/>
                <w:b/>
                <w:bCs/>
                <w:color w:val="FFFFFF"/>
                <w:sz w:val="18"/>
                <w:szCs w:val="18"/>
                <w:lang w:eastAsia="en-US"/>
              </w:rPr>
            </w:pPr>
            <w:r w:rsidRPr="00E77C12">
              <w:rPr>
                <w:rFonts w:eastAsia="Times New Roman" w:cs="Calibri"/>
                <w:b/>
                <w:bCs/>
                <w:color w:val="FFFFFF"/>
                <w:sz w:val="18"/>
                <w:szCs w:val="18"/>
                <w:lang w:eastAsia="en-US"/>
              </w:rPr>
              <w:t>Indicatore di risultato</w:t>
            </w:r>
          </w:p>
        </w:tc>
        <w:tc>
          <w:tcPr>
            <w:tcW w:w="515" w:type="pct"/>
            <w:tcBorders>
              <w:top w:val="nil"/>
              <w:left w:val="nil"/>
              <w:bottom w:val="nil"/>
              <w:right w:val="nil"/>
            </w:tcBorders>
            <w:shd w:val="clear" w:color="auto" w:fill="669748" w:themeFill="accent2" w:themeFillShade="BF"/>
            <w:vAlign w:val="bottom"/>
            <w:hideMark/>
          </w:tcPr>
          <w:p w14:paraId="33E5211F" w14:textId="77777777" w:rsidR="00343683" w:rsidRPr="00E77C12" w:rsidRDefault="00343683" w:rsidP="00033A16">
            <w:pPr>
              <w:jc w:val="right"/>
              <w:rPr>
                <w:rFonts w:eastAsia="Times New Roman" w:cs="Calibri"/>
                <w:b/>
                <w:bCs/>
                <w:color w:val="FFFFFF"/>
                <w:sz w:val="18"/>
                <w:szCs w:val="18"/>
                <w:lang w:eastAsia="en-US"/>
              </w:rPr>
            </w:pPr>
            <w:r w:rsidRPr="00E77C12">
              <w:rPr>
                <w:rFonts w:eastAsia="Times New Roman" w:cs="Calibri"/>
                <w:b/>
                <w:bCs/>
                <w:color w:val="FFFFFF"/>
                <w:sz w:val="18"/>
                <w:szCs w:val="18"/>
                <w:lang w:eastAsia="en-US"/>
              </w:rPr>
              <w:t>Valore base</w:t>
            </w:r>
          </w:p>
        </w:tc>
        <w:tc>
          <w:tcPr>
            <w:tcW w:w="571" w:type="pct"/>
            <w:tcBorders>
              <w:top w:val="nil"/>
              <w:left w:val="nil"/>
              <w:bottom w:val="nil"/>
              <w:right w:val="nil"/>
            </w:tcBorders>
            <w:shd w:val="clear" w:color="auto" w:fill="669748" w:themeFill="accent2" w:themeFillShade="BF"/>
            <w:vAlign w:val="bottom"/>
            <w:hideMark/>
          </w:tcPr>
          <w:p w14:paraId="7834682B" w14:textId="77777777" w:rsidR="00343683" w:rsidRPr="00E77C12" w:rsidRDefault="00343683" w:rsidP="00033A16">
            <w:pPr>
              <w:jc w:val="right"/>
              <w:rPr>
                <w:rFonts w:eastAsia="Times New Roman" w:cs="Calibri"/>
                <w:b/>
                <w:bCs/>
                <w:color w:val="FFFFFF"/>
                <w:sz w:val="18"/>
                <w:szCs w:val="18"/>
                <w:lang w:eastAsia="en-US"/>
              </w:rPr>
            </w:pPr>
            <w:r w:rsidRPr="00E77C12">
              <w:rPr>
                <w:rFonts w:eastAsia="Times New Roman" w:cs="Calibri"/>
                <w:b/>
                <w:bCs/>
                <w:color w:val="FFFFFF"/>
                <w:sz w:val="18"/>
                <w:szCs w:val="18"/>
                <w:lang w:eastAsia="en-US"/>
              </w:rPr>
              <w:t>Anno di riferimento del valore base</w:t>
            </w:r>
          </w:p>
        </w:tc>
        <w:tc>
          <w:tcPr>
            <w:tcW w:w="569" w:type="pct"/>
            <w:tcBorders>
              <w:top w:val="nil"/>
              <w:left w:val="nil"/>
              <w:bottom w:val="nil"/>
              <w:right w:val="nil"/>
            </w:tcBorders>
            <w:shd w:val="clear" w:color="auto" w:fill="669748" w:themeFill="accent2" w:themeFillShade="BF"/>
            <w:vAlign w:val="bottom"/>
            <w:hideMark/>
          </w:tcPr>
          <w:p w14:paraId="0D8D2585" w14:textId="77777777" w:rsidR="00343683" w:rsidRPr="00E77C12" w:rsidRDefault="00343683" w:rsidP="00033A16">
            <w:pPr>
              <w:jc w:val="right"/>
              <w:rPr>
                <w:rFonts w:eastAsia="Times New Roman" w:cs="Calibri"/>
                <w:b/>
                <w:bCs/>
                <w:color w:val="FFFFFF"/>
                <w:sz w:val="18"/>
                <w:szCs w:val="18"/>
                <w:lang w:eastAsia="en-US"/>
              </w:rPr>
            </w:pPr>
            <w:r w:rsidRPr="00E77C12">
              <w:rPr>
                <w:rFonts w:eastAsia="Times New Roman" w:cs="Calibri"/>
                <w:b/>
                <w:bCs/>
                <w:color w:val="FFFFFF"/>
                <w:sz w:val="18"/>
                <w:szCs w:val="18"/>
                <w:lang w:eastAsia="en-US"/>
              </w:rPr>
              <w:t>Valore obiettivo (2023)</w:t>
            </w:r>
          </w:p>
        </w:tc>
        <w:tc>
          <w:tcPr>
            <w:tcW w:w="624" w:type="pct"/>
            <w:tcBorders>
              <w:top w:val="nil"/>
              <w:left w:val="nil"/>
              <w:bottom w:val="nil"/>
              <w:right w:val="nil"/>
            </w:tcBorders>
            <w:shd w:val="clear" w:color="auto" w:fill="669748" w:themeFill="accent2" w:themeFillShade="BF"/>
            <w:vAlign w:val="bottom"/>
            <w:hideMark/>
          </w:tcPr>
          <w:p w14:paraId="7AE5285E" w14:textId="77777777" w:rsidR="00343683" w:rsidRPr="00E77C12" w:rsidRDefault="00343683" w:rsidP="00033A16">
            <w:pPr>
              <w:jc w:val="right"/>
              <w:rPr>
                <w:rFonts w:eastAsia="Times New Roman" w:cs="Calibri"/>
                <w:b/>
                <w:bCs/>
                <w:color w:val="FFFFFF"/>
                <w:sz w:val="18"/>
                <w:szCs w:val="18"/>
                <w:lang w:eastAsia="en-US"/>
              </w:rPr>
            </w:pPr>
            <w:r w:rsidRPr="00E77C12">
              <w:rPr>
                <w:rFonts w:eastAsia="Times New Roman" w:cs="Calibri"/>
                <w:b/>
                <w:bCs/>
                <w:color w:val="FFFFFF"/>
                <w:sz w:val="18"/>
                <w:szCs w:val="18"/>
                <w:lang w:eastAsia="en-US"/>
              </w:rPr>
              <w:t>Ul</w:t>
            </w:r>
            <w:r w:rsidR="00E77C12">
              <w:rPr>
                <w:rFonts w:eastAsia="Times New Roman" w:cs="Calibri"/>
                <w:b/>
                <w:bCs/>
                <w:color w:val="FFFFFF"/>
                <w:sz w:val="18"/>
                <w:szCs w:val="18"/>
                <w:lang w:eastAsia="en-US"/>
              </w:rPr>
              <w:t>t</w:t>
            </w:r>
            <w:r w:rsidRPr="00E77C12">
              <w:rPr>
                <w:rFonts w:eastAsia="Times New Roman" w:cs="Calibri"/>
                <w:b/>
                <w:bCs/>
                <w:color w:val="FFFFFF"/>
                <w:sz w:val="18"/>
                <w:szCs w:val="18"/>
                <w:lang w:eastAsia="en-US"/>
              </w:rPr>
              <w:t>imo dato disponibile</w:t>
            </w:r>
          </w:p>
        </w:tc>
      </w:tr>
      <w:tr w:rsidR="00343683" w:rsidRPr="00E77C12" w14:paraId="097792EB" w14:textId="77777777" w:rsidTr="00343683">
        <w:trPr>
          <w:trHeight w:val="309"/>
        </w:trPr>
        <w:tc>
          <w:tcPr>
            <w:tcW w:w="478" w:type="pct"/>
            <w:tcBorders>
              <w:top w:val="nil"/>
              <w:left w:val="nil"/>
              <w:bottom w:val="single" w:sz="4" w:space="0" w:color="305496"/>
              <w:right w:val="nil"/>
            </w:tcBorders>
            <w:shd w:val="clear" w:color="000000" w:fill="E7E6E6"/>
            <w:vAlign w:val="bottom"/>
            <w:hideMark/>
          </w:tcPr>
          <w:p w14:paraId="7E3C4DEB" w14:textId="77777777" w:rsidR="00343683" w:rsidRPr="00E77C12" w:rsidRDefault="00343683" w:rsidP="00FF30A9">
            <w:pPr>
              <w:jc w:val="left"/>
              <w:rPr>
                <w:rFonts w:eastAsia="Times New Roman" w:cs="Calibri"/>
                <w:b/>
                <w:bCs/>
                <w:color w:val="000000"/>
                <w:sz w:val="18"/>
                <w:szCs w:val="18"/>
                <w:lang w:eastAsia="en-US"/>
              </w:rPr>
            </w:pPr>
            <w:r w:rsidRPr="00E77C12">
              <w:rPr>
                <w:rFonts w:eastAsia="Times New Roman" w:cs="Calibri"/>
                <w:b/>
                <w:bCs/>
                <w:color w:val="000000"/>
                <w:sz w:val="18"/>
                <w:szCs w:val="18"/>
                <w:lang w:eastAsia="en-US"/>
              </w:rPr>
              <w:t>Asse IV</w:t>
            </w:r>
          </w:p>
        </w:tc>
        <w:tc>
          <w:tcPr>
            <w:tcW w:w="2243" w:type="pct"/>
            <w:tcBorders>
              <w:top w:val="nil"/>
              <w:left w:val="nil"/>
              <w:bottom w:val="single" w:sz="4" w:space="0" w:color="305496"/>
              <w:right w:val="nil"/>
            </w:tcBorders>
            <w:shd w:val="clear" w:color="000000" w:fill="E7E6E6"/>
            <w:vAlign w:val="bottom"/>
            <w:hideMark/>
          </w:tcPr>
          <w:p w14:paraId="6A862BB3" w14:textId="77777777" w:rsidR="00343683" w:rsidRPr="00E77C12" w:rsidRDefault="00343683" w:rsidP="00FF30A9">
            <w:pPr>
              <w:jc w:val="left"/>
              <w:rPr>
                <w:rFonts w:eastAsia="Times New Roman" w:cs="Calibri"/>
                <w:b/>
                <w:bCs/>
                <w:color w:val="000000"/>
                <w:sz w:val="18"/>
                <w:szCs w:val="18"/>
                <w:lang w:eastAsia="en-US"/>
              </w:rPr>
            </w:pPr>
            <w:r w:rsidRPr="00E77C12">
              <w:rPr>
                <w:rFonts w:eastAsia="Times New Roman" w:cs="Calibri"/>
                <w:b/>
                <w:bCs/>
                <w:color w:val="000000"/>
                <w:sz w:val="18"/>
                <w:szCs w:val="18"/>
                <w:lang w:eastAsia="en-US"/>
              </w:rPr>
              <w:t> </w:t>
            </w:r>
          </w:p>
        </w:tc>
        <w:tc>
          <w:tcPr>
            <w:tcW w:w="515" w:type="pct"/>
            <w:tcBorders>
              <w:top w:val="nil"/>
              <w:left w:val="nil"/>
              <w:bottom w:val="single" w:sz="4" w:space="0" w:color="305496"/>
              <w:right w:val="nil"/>
            </w:tcBorders>
            <w:shd w:val="clear" w:color="000000" w:fill="E7E6E6"/>
            <w:vAlign w:val="bottom"/>
            <w:hideMark/>
          </w:tcPr>
          <w:p w14:paraId="384771A2" w14:textId="77777777" w:rsidR="00343683" w:rsidRPr="00E77C12" w:rsidRDefault="00343683" w:rsidP="00033A16">
            <w:pPr>
              <w:jc w:val="right"/>
              <w:rPr>
                <w:rFonts w:eastAsia="Times New Roman" w:cs="Calibri"/>
                <w:b/>
                <w:bCs/>
                <w:color w:val="000000"/>
                <w:sz w:val="18"/>
                <w:szCs w:val="18"/>
                <w:lang w:eastAsia="en-US"/>
              </w:rPr>
            </w:pPr>
            <w:r w:rsidRPr="00E77C12">
              <w:rPr>
                <w:rFonts w:eastAsia="Times New Roman" w:cs="Calibri"/>
                <w:b/>
                <w:bCs/>
                <w:color w:val="000000"/>
                <w:sz w:val="18"/>
                <w:szCs w:val="18"/>
                <w:lang w:eastAsia="en-US"/>
              </w:rPr>
              <w:t> </w:t>
            </w:r>
          </w:p>
        </w:tc>
        <w:tc>
          <w:tcPr>
            <w:tcW w:w="571" w:type="pct"/>
            <w:tcBorders>
              <w:top w:val="nil"/>
              <w:left w:val="nil"/>
              <w:bottom w:val="single" w:sz="4" w:space="0" w:color="305496"/>
              <w:right w:val="nil"/>
            </w:tcBorders>
            <w:shd w:val="clear" w:color="000000" w:fill="E7E6E6"/>
            <w:vAlign w:val="bottom"/>
            <w:hideMark/>
          </w:tcPr>
          <w:p w14:paraId="27DF1424" w14:textId="77777777" w:rsidR="00343683" w:rsidRPr="00E77C12" w:rsidRDefault="00343683" w:rsidP="00033A16">
            <w:pPr>
              <w:jc w:val="right"/>
              <w:rPr>
                <w:rFonts w:eastAsia="Times New Roman" w:cs="Calibri"/>
                <w:b/>
                <w:bCs/>
                <w:color w:val="000000"/>
                <w:sz w:val="18"/>
                <w:szCs w:val="18"/>
                <w:lang w:eastAsia="en-US"/>
              </w:rPr>
            </w:pPr>
            <w:r w:rsidRPr="00E77C12">
              <w:rPr>
                <w:rFonts w:eastAsia="Times New Roman" w:cs="Calibri"/>
                <w:b/>
                <w:bCs/>
                <w:color w:val="000000"/>
                <w:sz w:val="18"/>
                <w:szCs w:val="18"/>
                <w:lang w:eastAsia="en-US"/>
              </w:rPr>
              <w:t> </w:t>
            </w:r>
          </w:p>
        </w:tc>
        <w:tc>
          <w:tcPr>
            <w:tcW w:w="569" w:type="pct"/>
            <w:tcBorders>
              <w:top w:val="nil"/>
              <w:left w:val="nil"/>
              <w:bottom w:val="single" w:sz="4" w:space="0" w:color="305496"/>
              <w:right w:val="nil"/>
            </w:tcBorders>
            <w:shd w:val="clear" w:color="000000" w:fill="E7E6E6"/>
            <w:vAlign w:val="bottom"/>
            <w:hideMark/>
          </w:tcPr>
          <w:p w14:paraId="34147D13" w14:textId="77777777" w:rsidR="00343683" w:rsidRPr="00E77C12" w:rsidRDefault="00343683" w:rsidP="00033A16">
            <w:pPr>
              <w:jc w:val="right"/>
              <w:rPr>
                <w:rFonts w:eastAsia="Times New Roman" w:cs="Calibri"/>
                <w:b/>
                <w:bCs/>
                <w:color w:val="000000"/>
                <w:sz w:val="18"/>
                <w:szCs w:val="18"/>
                <w:lang w:eastAsia="en-US"/>
              </w:rPr>
            </w:pPr>
            <w:r w:rsidRPr="00E77C12">
              <w:rPr>
                <w:rFonts w:eastAsia="Times New Roman" w:cs="Calibri"/>
                <w:b/>
                <w:bCs/>
                <w:color w:val="000000"/>
                <w:sz w:val="18"/>
                <w:szCs w:val="18"/>
                <w:lang w:eastAsia="en-US"/>
              </w:rPr>
              <w:t> </w:t>
            </w:r>
          </w:p>
        </w:tc>
        <w:tc>
          <w:tcPr>
            <w:tcW w:w="624" w:type="pct"/>
            <w:tcBorders>
              <w:top w:val="nil"/>
              <w:left w:val="nil"/>
              <w:bottom w:val="single" w:sz="4" w:space="0" w:color="305496"/>
              <w:right w:val="nil"/>
            </w:tcBorders>
            <w:shd w:val="clear" w:color="000000" w:fill="E7E6E6"/>
            <w:vAlign w:val="bottom"/>
            <w:hideMark/>
          </w:tcPr>
          <w:p w14:paraId="110F0D22" w14:textId="77777777" w:rsidR="00343683" w:rsidRPr="00E77C12" w:rsidRDefault="00343683" w:rsidP="00033A16">
            <w:pPr>
              <w:jc w:val="right"/>
              <w:rPr>
                <w:rFonts w:eastAsia="Times New Roman" w:cs="Calibri"/>
                <w:b/>
                <w:bCs/>
                <w:color w:val="000000"/>
                <w:sz w:val="18"/>
                <w:szCs w:val="18"/>
                <w:lang w:eastAsia="en-US"/>
              </w:rPr>
            </w:pPr>
            <w:r w:rsidRPr="00E77C12">
              <w:rPr>
                <w:rFonts w:eastAsia="Times New Roman" w:cs="Calibri"/>
                <w:b/>
                <w:bCs/>
                <w:color w:val="000000"/>
                <w:sz w:val="18"/>
                <w:szCs w:val="18"/>
                <w:lang w:eastAsia="en-US"/>
              </w:rPr>
              <w:t> </w:t>
            </w:r>
          </w:p>
        </w:tc>
      </w:tr>
      <w:tr w:rsidR="00343683" w:rsidRPr="00E77C12" w14:paraId="003E7C58" w14:textId="77777777" w:rsidTr="00E77C12">
        <w:trPr>
          <w:trHeight w:val="469"/>
        </w:trPr>
        <w:tc>
          <w:tcPr>
            <w:tcW w:w="478" w:type="pct"/>
            <w:tcBorders>
              <w:top w:val="nil"/>
              <w:left w:val="nil"/>
              <w:bottom w:val="nil"/>
              <w:right w:val="nil"/>
            </w:tcBorders>
            <w:shd w:val="clear" w:color="auto" w:fill="auto"/>
            <w:vAlign w:val="bottom"/>
            <w:hideMark/>
          </w:tcPr>
          <w:p w14:paraId="4B4BF260" w14:textId="77777777" w:rsidR="00343683" w:rsidRPr="00E77C12" w:rsidRDefault="00343683" w:rsidP="00FF30A9">
            <w:pPr>
              <w:jc w:val="left"/>
              <w:rPr>
                <w:rFonts w:eastAsia="Times New Roman" w:cs="Calibri"/>
                <w:color w:val="000000"/>
                <w:sz w:val="18"/>
                <w:szCs w:val="18"/>
                <w:lang w:eastAsia="en-US"/>
              </w:rPr>
            </w:pPr>
            <w:r w:rsidRPr="00E77C12">
              <w:rPr>
                <w:rFonts w:eastAsia="Times New Roman" w:cs="Calibri"/>
                <w:color w:val="000000"/>
                <w:sz w:val="18"/>
                <w:szCs w:val="18"/>
                <w:lang w:eastAsia="en-US"/>
              </w:rPr>
              <w:t>4b.1</w:t>
            </w:r>
          </w:p>
        </w:tc>
        <w:tc>
          <w:tcPr>
            <w:tcW w:w="2243" w:type="pct"/>
            <w:tcBorders>
              <w:top w:val="nil"/>
              <w:left w:val="nil"/>
              <w:bottom w:val="nil"/>
              <w:right w:val="nil"/>
            </w:tcBorders>
            <w:shd w:val="clear" w:color="auto" w:fill="auto"/>
            <w:vAlign w:val="bottom"/>
            <w:hideMark/>
          </w:tcPr>
          <w:p w14:paraId="3B9E1EC6" w14:textId="77777777" w:rsidR="00343683" w:rsidRPr="00E77C12" w:rsidRDefault="00343683" w:rsidP="00FF30A9">
            <w:pPr>
              <w:jc w:val="left"/>
              <w:rPr>
                <w:rFonts w:eastAsia="Times New Roman" w:cs="Calibri"/>
                <w:color w:val="000000"/>
                <w:sz w:val="18"/>
                <w:szCs w:val="18"/>
                <w:lang w:eastAsia="en-US"/>
              </w:rPr>
            </w:pPr>
            <w:r w:rsidRPr="00E77C12">
              <w:rPr>
                <w:rFonts w:eastAsia="Times New Roman" w:cs="Calibri"/>
                <w:color w:val="000000"/>
                <w:sz w:val="18"/>
                <w:szCs w:val="18"/>
                <w:lang w:eastAsia="en-US"/>
              </w:rPr>
              <w:t>Consumi di energia elettrica delle imprese dell’industria (GWh per milioni di euro)</w:t>
            </w:r>
          </w:p>
        </w:tc>
        <w:tc>
          <w:tcPr>
            <w:tcW w:w="515" w:type="pct"/>
            <w:tcBorders>
              <w:top w:val="nil"/>
              <w:left w:val="nil"/>
              <w:bottom w:val="nil"/>
              <w:right w:val="nil"/>
            </w:tcBorders>
            <w:shd w:val="clear" w:color="auto" w:fill="auto"/>
            <w:vAlign w:val="bottom"/>
            <w:hideMark/>
          </w:tcPr>
          <w:p w14:paraId="3C0F59DD"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35,20</w:t>
            </w:r>
          </w:p>
        </w:tc>
        <w:tc>
          <w:tcPr>
            <w:tcW w:w="571" w:type="pct"/>
            <w:tcBorders>
              <w:top w:val="nil"/>
              <w:left w:val="nil"/>
              <w:bottom w:val="nil"/>
              <w:right w:val="nil"/>
            </w:tcBorders>
            <w:shd w:val="clear" w:color="auto" w:fill="auto"/>
            <w:vAlign w:val="bottom"/>
            <w:hideMark/>
          </w:tcPr>
          <w:p w14:paraId="33F73526"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2017</w:t>
            </w:r>
          </w:p>
        </w:tc>
        <w:tc>
          <w:tcPr>
            <w:tcW w:w="569" w:type="pct"/>
            <w:tcBorders>
              <w:top w:val="nil"/>
              <w:left w:val="nil"/>
              <w:bottom w:val="nil"/>
              <w:right w:val="nil"/>
            </w:tcBorders>
            <w:shd w:val="clear" w:color="auto" w:fill="auto"/>
            <w:vAlign w:val="bottom"/>
            <w:hideMark/>
          </w:tcPr>
          <w:p w14:paraId="2DBEBFAF"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34,20</w:t>
            </w:r>
          </w:p>
        </w:tc>
        <w:tc>
          <w:tcPr>
            <w:tcW w:w="624" w:type="pct"/>
            <w:tcBorders>
              <w:top w:val="nil"/>
              <w:left w:val="nil"/>
              <w:bottom w:val="nil"/>
              <w:right w:val="nil"/>
            </w:tcBorders>
            <w:shd w:val="clear" w:color="auto" w:fill="auto"/>
            <w:vAlign w:val="bottom"/>
            <w:hideMark/>
          </w:tcPr>
          <w:p w14:paraId="09CC5DFE"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38,94</w:t>
            </w:r>
          </w:p>
        </w:tc>
      </w:tr>
      <w:tr w:rsidR="00343683" w:rsidRPr="00E77C12" w14:paraId="0EB991D9" w14:textId="77777777" w:rsidTr="00343683">
        <w:trPr>
          <w:trHeight w:val="582"/>
        </w:trPr>
        <w:tc>
          <w:tcPr>
            <w:tcW w:w="478" w:type="pct"/>
            <w:tcBorders>
              <w:top w:val="nil"/>
              <w:left w:val="nil"/>
              <w:bottom w:val="nil"/>
              <w:right w:val="nil"/>
            </w:tcBorders>
            <w:shd w:val="clear" w:color="auto" w:fill="auto"/>
            <w:vAlign w:val="bottom"/>
            <w:hideMark/>
          </w:tcPr>
          <w:p w14:paraId="7834EFBE" w14:textId="77777777" w:rsidR="00343683" w:rsidRPr="00E77C12" w:rsidRDefault="00343683" w:rsidP="00FF30A9">
            <w:pPr>
              <w:jc w:val="left"/>
              <w:rPr>
                <w:rFonts w:eastAsia="Times New Roman" w:cs="Calibri"/>
                <w:color w:val="000000"/>
                <w:sz w:val="18"/>
                <w:szCs w:val="18"/>
                <w:lang w:eastAsia="en-US"/>
              </w:rPr>
            </w:pPr>
            <w:r w:rsidRPr="00E77C12">
              <w:rPr>
                <w:rFonts w:eastAsia="Times New Roman" w:cs="Calibri"/>
                <w:color w:val="000000"/>
                <w:sz w:val="18"/>
                <w:szCs w:val="18"/>
                <w:lang w:eastAsia="en-US"/>
              </w:rPr>
              <w:t>4c.1b</w:t>
            </w:r>
          </w:p>
        </w:tc>
        <w:tc>
          <w:tcPr>
            <w:tcW w:w="2243" w:type="pct"/>
            <w:tcBorders>
              <w:top w:val="nil"/>
              <w:left w:val="nil"/>
              <w:bottom w:val="nil"/>
              <w:right w:val="nil"/>
            </w:tcBorders>
            <w:shd w:val="clear" w:color="auto" w:fill="auto"/>
            <w:vAlign w:val="bottom"/>
            <w:hideMark/>
          </w:tcPr>
          <w:p w14:paraId="21DE3992" w14:textId="77777777" w:rsidR="00343683" w:rsidRPr="00E77C12" w:rsidRDefault="00343683" w:rsidP="00FF30A9">
            <w:pPr>
              <w:jc w:val="left"/>
              <w:rPr>
                <w:rFonts w:eastAsia="Times New Roman" w:cs="Calibri"/>
                <w:color w:val="000000"/>
                <w:sz w:val="18"/>
                <w:szCs w:val="18"/>
                <w:lang w:eastAsia="en-US"/>
              </w:rPr>
            </w:pPr>
            <w:r w:rsidRPr="00E77C12">
              <w:rPr>
                <w:rFonts w:eastAsia="Times New Roman" w:cs="Calibri"/>
                <w:color w:val="000000"/>
                <w:sz w:val="18"/>
                <w:szCs w:val="18"/>
                <w:lang w:eastAsia="en-US"/>
              </w:rPr>
              <w:t xml:space="preserve">Consumi di energia elettrica per illuminazione pubblica per superficie dei centri abitati (valori espressi in </w:t>
            </w:r>
            <w:r w:rsidR="00787744" w:rsidRPr="00E77C12">
              <w:rPr>
                <w:rFonts w:eastAsia="Times New Roman" w:cs="Calibri"/>
                <w:color w:val="000000"/>
                <w:sz w:val="18"/>
                <w:szCs w:val="18"/>
                <w:lang w:eastAsia="en-US"/>
              </w:rPr>
              <w:t>centinaia) (GWh</w:t>
            </w:r>
            <w:r w:rsidRPr="00E77C12">
              <w:rPr>
                <w:rFonts w:eastAsia="Times New Roman" w:cs="Calibri"/>
                <w:color w:val="000000"/>
                <w:sz w:val="18"/>
                <w:szCs w:val="18"/>
                <w:lang w:eastAsia="en-US"/>
              </w:rPr>
              <w:t>/km2)</w:t>
            </w:r>
          </w:p>
        </w:tc>
        <w:tc>
          <w:tcPr>
            <w:tcW w:w="515" w:type="pct"/>
            <w:tcBorders>
              <w:top w:val="nil"/>
              <w:left w:val="nil"/>
              <w:bottom w:val="nil"/>
              <w:right w:val="nil"/>
            </w:tcBorders>
            <w:shd w:val="clear" w:color="auto" w:fill="auto"/>
            <w:vAlign w:val="bottom"/>
            <w:hideMark/>
          </w:tcPr>
          <w:p w14:paraId="65536D54"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31,20</w:t>
            </w:r>
          </w:p>
        </w:tc>
        <w:tc>
          <w:tcPr>
            <w:tcW w:w="571" w:type="pct"/>
            <w:tcBorders>
              <w:top w:val="nil"/>
              <w:left w:val="nil"/>
              <w:bottom w:val="nil"/>
              <w:right w:val="nil"/>
            </w:tcBorders>
            <w:shd w:val="clear" w:color="auto" w:fill="auto"/>
            <w:vAlign w:val="bottom"/>
            <w:hideMark/>
          </w:tcPr>
          <w:p w14:paraId="4C9620CF"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2012</w:t>
            </w:r>
          </w:p>
        </w:tc>
        <w:tc>
          <w:tcPr>
            <w:tcW w:w="569" w:type="pct"/>
            <w:tcBorders>
              <w:top w:val="nil"/>
              <w:left w:val="nil"/>
              <w:bottom w:val="nil"/>
              <w:right w:val="nil"/>
            </w:tcBorders>
            <w:shd w:val="clear" w:color="auto" w:fill="auto"/>
            <w:vAlign w:val="bottom"/>
            <w:hideMark/>
          </w:tcPr>
          <w:p w14:paraId="36757141"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21,40</w:t>
            </w:r>
          </w:p>
        </w:tc>
        <w:tc>
          <w:tcPr>
            <w:tcW w:w="624" w:type="pct"/>
            <w:tcBorders>
              <w:top w:val="nil"/>
              <w:left w:val="nil"/>
              <w:bottom w:val="nil"/>
              <w:right w:val="nil"/>
            </w:tcBorders>
            <w:shd w:val="clear" w:color="auto" w:fill="auto"/>
            <w:vAlign w:val="bottom"/>
            <w:hideMark/>
          </w:tcPr>
          <w:p w14:paraId="52868C1A"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28,37</w:t>
            </w:r>
          </w:p>
        </w:tc>
      </w:tr>
      <w:tr w:rsidR="00343683" w:rsidRPr="00E77C12" w14:paraId="331A7C04" w14:textId="77777777" w:rsidTr="00343683">
        <w:trPr>
          <w:trHeight w:val="582"/>
        </w:trPr>
        <w:tc>
          <w:tcPr>
            <w:tcW w:w="478" w:type="pct"/>
            <w:tcBorders>
              <w:top w:val="nil"/>
              <w:left w:val="nil"/>
              <w:bottom w:val="nil"/>
              <w:right w:val="nil"/>
            </w:tcBorders>
            <w:shd w:val="clear" w:color="auto" w:fill="auto"/>
            <w:vAlign w:val="bottom"/>
            <w:hideMark/>
          </w:tcPr>
          <w:p w14:paraId="001CE17E" w14:textId="77777777" w:rsidR="00343683" w:rsidRPr="00E77C12" w:rsidRDefault="00343683" w:rsidP="00FF30A9">
            <w:pPr>
              <w:jc w:val="left"/>
              <w:rPr>
                <w:rFonts w:eastAsia="Times New Roman" w:cs="Calibri"/>
                <w:color w:val="000000"/>
                <w:sz w:val="18"/>
                <w:szCs w:val="18"/>
                <w:lang w:eastAsia="en-US"/>
              </w:rPr>
            </w:pPr>
            <w:r w:rsidRPr="00E77C12">
              <w:rPr>
                <w:rFonts w:eastAsia="Times New Roman" w:cs="Calibri"/>
                <w:color w:val="000000"/>
                <w:sz w:val="18"/>
                <w:szCs w:val="18"/>
                <w:lang w:eastAsia="en-US"/>
              </w:rPr>
              <w:t>4c.1c</w:t>
            </w:r>
          </w:p>
        </w:tc>
        <w:tc>
          <w:tcPr>
            <w:tcW w:w="2243" w:type="pct"/>
            <w:tcBorders>
              <w:top w:val="nil"/>
              <w:left w:val="nil"/>
              <w:bottom w:val="nil"/>
              <w:right w:val="nil"/>
            </w:tcBorders>
            <w:shd w:val="clear" w:color="auto" w:fill="auto"/>
            <w:vAlign w:val="bottom"/>
            <w:hideMark/>
          </w:tcPr>
          <w:p w14:paraId="6F033FF7" w14:textId="77777777" w:rsidR="00343683" w:rsidRPr="00E77C12" w:rsidRDefault="00343683" w:rsidP="00FF30A9">
            <w:pPr>
              <w:jc w:val="left"/>
              <w:rPr>
                <w:rFonts w:eastAsia="Times New Roman" w:cs="Calibri"/>
                <w:color w:val="000000"/>
                <w:sz w:val="18"/>
                <w:szCs w:val="18"/>
                <w:lang w:eastAsia="en-US"/>
              </w:rPr>
            </w:pPr>
            <w:r w:rsidRPr="00E77C12">
              <w:rPr>
                <w:rFonts w:eastAsia="Times New Roman" w:cs="Calibri"/>
                <w:color w:val="000000"/>
                <w:sz w:val="18"/>
                <w:szCs w:val="18"/>
                <w:lang w:eastAsia="en-US"/>
              </w:rPr>
              <w:t>Emissioni di CO2 annuali delle infrastrutture di illuminazione pubblica calcolate sulla base del consumo di energia elettrica per illuminazione pubblica (KtonCO2eq)</w:t>
            </w:r>
          </w:p>
        </w:tc>
        <w:tc>
          <w:tcPr>
            <w:tcW w:w="515" w:type="pct"/>
            <w:tcBorders>
              <w:top w:val="nil"/>
              <w:left w:val="nil"/>
              <w:bottom w:val="nil"/>
              <w:right w:val="nil"/>
            </w:tcBorders>
            <w:shd w:val="clear" w:color="auto" w:fill="auto"/>
            <w:vAlign w:val="bottom"/>
            <w:hideMark/>
          </w:tcPr>
          <w:p w14:paraId="6AB9D27A"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400,00</w:t>
            </w:r>
          </w:p>
        </w:tc>
        <w:tc>
          <w:tcPr>
            <w:tcW w:w="571" w:type="pct"/>
            <w:tcBorders>
              <w:top w:val="nil"/>
              <w:left w:val="nil"/>
              <w:bottom w:val="nil"/>
              <w:right w:val="nil"/>
            </w:tcBorders>
            <w:shd w:val="clear" w:color="auto" w:fill="auto"/>
            <w:vAlign w:val="bottom"/>
            <w:hideMark/>
          </w:tcPr>
          <w:p w14:paraId="75CC822F"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2014</w:t>
            </w:r>
          </w:p>
        </w:tc>
        <w:tc>
          <w:tcPr>
            <w:tcW w:w="569" w:type="pct"/>
            <w:tcBorders>
              <w:top w:val="nil"/>
              <w:left w:val="nil"/>
              <w:bottom w:val="nil"/>
              <w:right w:val="nil"/>
            </w:tcBorders>
            <w:shd w:val="clear" w:color="auto" w:fill="auto"/>
            <w:vAlign w:val="bottom"/>
            <w:hideMark/>
          </w:tcPr>
          <w:p w14:paraId="41AB4C8B"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282,00</w:t>
            </w:r>
          </w:p>
        </w:tc>
        <w:tc>
          <w:tcPr>
            <w:tcW w:w="624" w:type="pct"/>
            <w:tcBorders>
              <w:top w:val="nil"/>
              <w:left w:val="nil"/>
              <w:bottom w:val="nil"/>
              <w:right w:val="nil"/>
            </w:tcBorders>
            <w:shd w:val="clear" w:color="auto" w:fill="auto"/>
            <w:vAlign w:val="bottom"/>
            <w:hideMark/>
          </w:tcPr>
          <w:p w14:paraId="63A459EB"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393,22</w:t>
            </w:r>
          </w:p>
        </w:tc>
      </w:tr>
      <w:tr w:rsidR="00343683" w:rsidRPr="00E77C12" w14:paraId="21067E1D" w14:textId="77777777" w:rsidTr="00E77C12">
        <w:trPr>
          <w:trHeight w:val="310"/>
        </w:trPr>
        <w:tc>
          <w:tcPr>
            <w:tcW w:w="478" w:type="pct"/>
            <w:tcBorders>
              <w:top w:val="nil"/>
              <w:left w:val="nil"/>
              <w:bottom w:val="nil"/>
              <w:right w:val="nil"/>
            </w:tcBorders>
            <w:shd w:val="clear" w:color="auto" w:fill="auto"/>
            <w:vAlign w:val="bottom"/>
            <w:hideMark/>
          </w:tcPr>
          <w:p w14:paraId="1A1471A8" w14:textId="77777777" w:rsidR="00343683" w:rsidRPr="00E77C12" w:rsidRDefault="00343683" w:rsidP="00FF30A9">
            <w:pPr>
              <w:jc w:val="left"/>
              <w:rPr>
                <w:rFonts w:eastAsia="Times New Roman" w:cs="Calibri"/>
                <w:color w:val="000000"/>
                <w:sz w:val="18"/>
                <w:szCs w:val="18"/>
                <w:lang w:eastAsia="en-US"/>
              </w:rPr>
            </w:pPr>
            <w:r w:rsidRPr="00E77C12">
              <w:rPr>
                <w:rFonts w:eastAsia="Times New Roman" w:cs="Calibri"/>
                <w:color w:val="000000"/>
                <w:sz w:val="18"/>
                <w:szCs w:val="18"/>
                <w:lang w:eastAsia="en-US"/>
              </w:rPr>
              <w:t>4c.1d</w:t>
            </w:r>
          </w:p>
        </w:tc>
        <w:tc>
          <w:tcPr>
            <w:tcW w:w="2243" w:type="pct"/>
            <w:tcBorders>
              <w:top w:val="nil"/>
              <w:left w:val="nil"/>
              <w:bottom w:val="nil"/>
              <w:right w:val="nil"/>
            </w:tcBorders>
            <w:shd w:val="clear" w:color="auto" w:fill="auto"/>
            <w:vAlign w:val="bottom"/>
            <w:hideMark/>
          </w:tcPr>
          <w:p w14:paraId="1D590975" w14:textId="77777777" w:rsidR="00343683" w:rsidRPr="00E77C12" w:rsidRDefault="00343683" w:rsidP="00FF30A9">
            <w:pPr>
              <w:jc w:val="left"/>
              <w:rPr>
                <w:rFonts w:eastAsia="Times New Roman" w:cs="Calibri"/>
                <w:color w:val="000000"/>
                <w:sz w:val="18"/>
                <w:szCs w:val="18"/>
                <w:lang w:eastAsia="en-US"/>
              </w:rPr>
            </w:pPr>
            <w:r w:rsidRPr="00E77C12">
              <w:rPr>
                <w:rFonts w:eastAsia="Times New Roman" w:cs="Calibri"/>
                <w:color w:val="000000"/>
                <w:sz w:val="18"/>
                <w:szCs w:val="18"/>
                <w:lang w:eastAsia="en-US"/>
              </w:rPr>
              <w:t>Edifici pubblici in classe energetica E, F, G</w:t>
            </w:r>
          </w:p>
        </w:tc>
        <w:tc>
          <w:tcPr>
            <w:tcW w:w="515" w:type="pct"/>
            <w:tcBorders>
              <w:top w:val="nil"/>
              <w:left w:val="nil"/>
              <w:bottom w:val="nil"/>
              <w:right w:val="nil"/>
            </w:tcBorders>
            <w:shd w:val="clear" w:color="auto" w:fill="auto"/>
            <w:vAlign w:val="bottom"/>
            <w:hideMark/>
          </w:tcPr>
          <w:p w14:paraId="7BCC95A8"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13.700,00</w:t>
            </w:r>
          </w:p>
        </w:tc>
        <w:tc>
          <w:tcPr>
            <w:tcW w:w="571" w:type="pct"/>
            <w:tcBorders>
              <w:top w:val="nil"/>
              <w:left w:val="nil"/>
              <w:bottom w:val="nil"/>
              <w:right w:val="nil"/>
            </w:tcBorders>
            <w:shd w:val="clear" w:color="auto" w:fill="auto"/>
            <w:vAlign w:val="bottom"/>
            <w:hideMark/>
          </w:tcPr>
          <w:p w14:paraId="72964B29"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2014</w:t>
            </w:r>
          </w:p>
        </w:tc>
        <w:tc>
          <w:tcPr>
            <w:tcW w:w="569" w:type="pct"/>
            <w:tcBorders>
              <w:top w:val="nil"/>
              <w:left w:val="nil"/>
              <w:bottom w:val="nil"/>
              <w:right w:val="nil"/>
            </w:tcBorders>
            <w:shd w:val="clear" w:color="auto" w:fill="auto"/>
            <w:vAlign w:val="bottom"/>
            <w:hideMark/>
          </w:tcPr>
          <w:p w14:paraId="0ACE4AED"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6.500,00</w:t>
            </w:r>
          </w:p>
        </w:tc>
        <w:tc>
          <w:tcPr>
            <w:tcW w:w="624" w:type="pct"/>
            <w:tcBorders>
              <w:top w:val="nil"/>
              <w:left w:val="nil"/>
              <w:bottom w:val="nil"/>
              <w:right w:val="nil"/>
            </w:tcBorders>
            <w:shd w:val="clear" w:color="auto" w:fill="auto"/>
            <w:vAlign w:val="bottom"/>
            <w:hideMark/>
          </w:tcPr>
          <w:p w14:paraId="271D1049"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6.952,00</w:t>
            </w:r>
          </w:p>
        </w:tc>
      </w:tr>
      <w:tr w:rsidR="00343683" w:rsidRPr="00E77C12" w14:paraId="790792F1" w14:textId="77777777" w:rsidTr="00E77C12">
        <w:trPr>
          <w:trHeight w:val="418"/>
        </w:trPr>
        <w:tc>
          <w:tcPr>
            <w:tcW w:w="478" w:type="pct"/>
            <w:tcBorders>
              <w:top w:val="nil"/>
              <w:left w:val="nil"/>
              <w:bottom w:val="nil"/>
              <w:right w:val="nil"/>
            </w:tcBorders>
            <w:shd w:val="clear" w:color="auto" w:fill="auto"/>
            <w:vAlign w:val="bottom"/>
            <w:hideMark/>
          </w:tcPr>
          <w:p w14:paraId="1120DDDA" w14:textId="77777777" w:rsidR="00343683" w:rsidRPr="00E77C12" w:rsidRDefault="00343683" w:rsidP="00FF30A9">
            <w:pPr>
              <w:jc w:val="left"/>
              <w:rPr>
                <w:rFonts w:eastAsia="Times New Roman" w:cs="Calibri"/>
                <w:color w:val="000000"/>
                <w:sz w:val="18"/>
                <w:szCs w:val="18"/>
                <w:lang w:eastAsia="en-US"/>
              </w:rPr>
            </w:pPr>
            <w:r w:rsidRPr="00E77C12">
              <w:rPr>
                <w:rFonts w:eastAsia="Times New Roman" w:cs="Calibri"/>
                <w:color w:val="000000"/>
                <w:sz w:val="18"/>
                <w:szCs w:val="18"/>
                <w:lang w:eastAsia="en-US"/>
              </w:rPr>
              <w:t>4c.1e</w:t>
            </w:r>
          </w:p>
        </w:tc>
        <w:tc>
          <w:tcPr>
            <w:tcW w:w="2243" w:type="pct"/>
            <w:tcBorders>
              <w:top w:val="nil"/>
              <w:left w:val="nil"/>
              <w:bottom w:val="nil"/>
              <w:right w:val="nil"/>
            </w:tcBorders>
            <w:shd w:val="clear" w:color="auto" w:fill="auto"/>
            <w:vAlign w:val="bottom"/>
            <w:hideMark/>
          </w:tcPr>
          <w:p w14:paraId="34EBBA54" w14:textId="77777777" w:rsidR="00343683" w:rsidRPr="00E77C12" w:rsidRDefault="00343683" w:rsidP="00FF30A9">
            <w:pPr>
              <w:jc w:val="left"/>
              <w:rPr>
                <w:rFonts w:eastAsia="Times New Roman" w:cs="Calibri"/>
                <w:color w:val="000000"/>
                <w:sz w:val="18"/>
                <w:szCs w:val="18"/>
                <w:lang w:eastAsia="en-US"/>
              </w:rPr>
            </w:pPr>
            <w:r w:rsidRPr="00E77C12">
              <w:rPr>
                <w:rFonts w:eastAsia="Times New Roman" w:cs="Calibri"/>
                <w:color w:val="000000"/>
                <w:sz w:val="18"/>
                <w:szCs w:val="18"/>
                <w:lang w:eastAsia="en-US"/>
              </w:rPr>
              <w:t>Fabbisogno di energia primaria non rinnovabile (</w:t>
            </w:r>
            <w:proofErr w:type="spellStart"/>
            <w:r w:rsidRPr="00E77C12">
              <w:rPr>
                <w:rFonts w:eastAsia="Times New Roman" w:cs="Calibri"/>
                <w:color w:val="000000"/>
                <w:sz w:val="18"/>
                <w:szCs w:val="18"/>
                <w:lang w:eastAsia="en-US"/>
              </w:rPr>
              <w:t>Epgl,nren</w:t>
            </w:r>
            <w:proofErr w:type="spellEnd"/>
            <w:r w:rsidRPr="00E77C12">
              <w:rPr>
                <w:rFonts w:eastAsia="Times New Roman" w:cs="Calibri"/>
                <w:color w:val="000000"/>
                <w:sz w:val="18"/>
                <w:szCs w:val="18"/>
                <w:lang w:eastAsia="en-US"/>
              </w:rPr>
              <w:t>) (GWh/a)</w:t>
            </w:r>
          </w:p>
        </w:tc>
        <w:tc>
          <w:tcPr>
            <w:tcW w:w="515" w:type="pct"/>
            <w:tcBorders>
              <w:top w:val="nil"/>
              <w:left w:val="nil"/>
              <w:bottom w:val="nil"/>
              <w:right w:val="nil"/>
            </w:tcBorders>
            <w:shd w:val="clear" w:color="auto" w:fill="auto"/>
            <w:vAlign w:val="bottom"/>
            <w:hideMark/>
          </w:tcPr>
          <w:p w14:paraId="525802F4"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9.480,00</w:t>
            </w:r>
          </w:p>
        </w:tc>
        <w:tc>
          <w:tcPr>
            <w:tcW w:w="571" w:type="pct"/>
            <w:tcBorders>
              <w:top w:val="nil"/>
              <w:left w:val="nil"/>
              <w:bottom w:val="nil"/>
              <w:right w:val="nil"/>
            </w:tcBorders>
            <w:shd w:val="clear" w:color="auto" w:fill="auto"/>
            <w:vAlign w:val="bottom"/>
            <w:hideMark/>
          </w:tcPr>
          <w:p w14:paraId="15762DB3"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2014</w:t>
            </w:r>
          </w:p>
        </w:tc>
        <w:tc>
          <w:tcPr>
            <w:tcW w:w="569" w:type="pct"/>
            <w:tcBorders>
              <w:top w:val="nil"/>
              <w:left w:val="nil"/>
              <w:bottom w:val="nil"/>
              <w:right w:val="nil"/>
            </w:tcBorders>
            <w:shd w:val="clear" w:color="auto" w:fill="auto"/>
            <w:vAlign w:val="bottom"/>
            <w:hideMark/>
          </w:tcPr>
          <w:p w14:paraId="71C3E472"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7.580,00</w:t>
            </w:r>
          </w:p>
        </w:tc>
        <w:tc>
          <w:tcPr>
            <w:tcW w:w="624" w:type="pct"/>
            <w:tcBorders>
              <w:top w:val="nil"/>
              <w:left w:val="nil"/>
              <w:bottom w:val="nil"/>
              <w:right w:val="nil"/>
            </w:tcBorders>
            <w:shd w:val="clear" w:color="auto" w:fill="auto"/>
            <w:vAlign w:val="bottom"/>
            <w:hideMark/>
          </w:tcPr>
          <w:p w14:paraId="031FE101"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9.480,00*</w:t>
            </w:r>
          </w:p>
        </w:tc>
      </w:tr>
      <w:tr w:rsidR="00343683" w:rsidRPr="00E77C12" w14:paraId="55754539" w14:textId="77777777" w:rsidTr="00343683">
        <w:trPr>
          <w:trHeight w:val="582"/>
        </w:trPr>
        <w:tc>
          <w:tcPr>
            <w:tcW w:w="478" w:type="pct"/>
            <w:tcBorders>
              <w:top w:val="nil"/>
              <w:left w:val="nil"/>
              <w:bottom w:val="nil"/>
              <w:right w:val="nil"/>
            </w:tcBorders>
            <w:shd w:val="clear" w:color="auto" w:fill="auto"/>
            <w:vAlign w:val="bottom"/>
            <w:hideMark/>
          </w:tcPr>
          <w:p w14:paraId="329D0E81" w14:textId="77777777" w:rsidR="00343683" w:rsidRPr="00E77C12" w:rsidRDefault="00343683" w:rsidP="00FF30A9">
            <w:pPr>
              <w:jc w:val="left"/>
              <w:rPr>
                <w:rFonts w:eastAsia="Times New Roman" w:cs="Calibri"/>
                <w:color w:val="000000"/>
                <w:sz w:val="18"/>
                <w:szCs w:val="18"/>
                <w:lang w:eastAsia="en-US"/>
              </w:rPr>
            </w:pPr>
            <w:r w:rsidRPr="00E77C12">
              <w:rPr>
                <w:rFonts w:eastAsia="Times New Roman" w:cs="Calibri"/>
                <w:color w:val="000000"/>
                <w:sz w:val="18"/>
                <w:szCs w:val="18"/>
                <w:lang w:eastAsia="en-US"/>
              </w:rPr>
              <w:t>4e.1a</w:t>
            </w:r>
          </w:p>
        </w:tc>
        <w:tc>
          <w:tcPr>
            <w:tcW w:w="2243" w:type="pct"/>
            <w:tcBorders>
              <w:top w:val="nil"/>
              <w:left w:val="nil"/>
              <w:bottom w:val="nil"/>
              <w:right w:val="nil"/>
            </w:tcBorders>
            <w:shd w:val="clear" w:color="auto" w:fill="auto"/>
            <w:vAlign w:val="bottom"/>
            <w:hideMark/>
          </w:tcPr>
          <w:p w14:paraId="4E424B72" w14:textId="77777777" w:rsidR="00343683" w:rsidRPr="00E77C12" w:rsidRDefault="00343683" w:rsidP="00FF30A9">
            <w:pPr>
              <w:jc w:val="left"/>
              <w:rPr>
                <w:rFonts w:eastAsia="Times New Roman" w:cs="Calibri"/>
                <w:color w:val="000000"/>
                <w:sz w:val="18"/>
                <w:szCs w:val="18"/>
                <w:lang w:eastAsia="en-US"/>
              </w:rPr>
            </w:pPr>
            <w:r w:rsidRPr="00E77C12">
              <w:rPr>
                <w:rFonts w:eastAsia="Times New Roman" w:cs="Calibri"/>
                <w:color w:val="000000"/>
                <w:sz w:val="18"/>
                <w:szCs w:val="18"/>
                <w:lang w:eastAsia="en-US"/>
              </w:rPr>
              <w:t>Utilizzo di mezzi pubblici di trasporto da parte di occupati, studenti, scolari e utenti di mezzi pubblici (totale) (%)</w:t>
            </w:r>
          </w:p>
        </w:tc>
        <w:tc>
          <w:tcPr>
            <w:tcW w:w="515" w:type="pct"/>
            <w:tcBorders>
              <w:top w:val="nil"/>
              <w:left w:val="nil"/>
              <w:bottom w:val="nil"/>
              <w:right w:val="nil"/>
            </w:tcBorders>
            <w:shd w:val="clear" w:color="auto" w:fill="auto"/>
            <w:vAlign w:val="bottom"/>
            <w:hideMark/>
          </w:tcPr>
          <w:p w14:paraId="6055336C"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22,20%</w:t>
            </w:r>
          </w:p>
        </w:tc>
        <w:tc>
          <w:tcPr>
            <w:tcW w:w="571" w:type="pct"/>
            <w:tcBorders>
              <w:top w:val="nil"/>
              <w:left w:val="nil"/>
              <w:bottom w:val="nil"/>
              <w:right w:val="nil"/>
            </w:tcBorders>
            <w:shd w:val="clear" w:color="auto" w:fill="auto"/>
            <w:vAlign w:val="bottom"/>
            <w:hideMark/>
          </w:tcPr>
          <w:p w14:paraId="3FA29C5D"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2012</w:t>
            </w:r>
          </w:p>
        </w:tc>
        <w:tc>
          <w:tcPr>
            <w:tcW w:w="569" w:type="pct"/>
            <w:tcBorders>
              <w:top w:val="nil"/>
              <w:left w:val="nil"/>
              <w:bottom w:val="nil"/>
              <w:right w:val="nil"/>
            </w:tcBorders>
            <w:shd w:val="clear" w:color="auto" w:fill="auto"/>
            <w:vAlign w:val="bottom"/>
            <w:hideMark/>
          </w:tcPr>
          <w:p w14:paraId="5C55655D"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25,00%</w:t>
            </w:r>
          </w:p>
        </w:tc>
        <w:tc>
          <w:tcPr>
            <w:tcW w:w="624" w:type="pct"/>
            <w:tcBorders>
              <w:top w:val="nil"/>
              <w:left w:val="nil"/>
              <w:bottom w:val="nil"/>
              <w:right w:val="nil"/>
            </w:tcBorders>
            <w:shd w:val="clear" w:color="auto" w:fill="auto"/>
            <w:vAlign w:val="bottom"/>
            <w:hideMark/>
          </w:tcPr>
          <w:p w14:paraId="531E88DC"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23,48%</w:t>
            </w:r>
          </w:p>
        </w:tc>
      </w:tr>
      <w:tr w:rsidR="00343683" w:rsidRPr="00E77C12" w14:paraId="023F70A4" w14:textId="77777777" w:rsidTr="00E77C12">
        <w:trPr>
          <w:trHeight w:val="308"/>
        </w:trPr>
        <w:tc>
          <w:tcPr>
            <w:tcW w:w="478" w:type="pct"/>
            <w:tcBorders>
              <w:top w:val="nil"/>
              <w:left w:val="nil"/>
              <w:bottom w:val="nil"/>
              <w:right w:val="nil"/>
            </w:tcBorders>
            <w:shd w:val="clear" w:color="auto" w:fill="auto"/>
            <w:vAlign w:val="bottom"/>
            <w:hideMark/>
          </w:tcPr>
          <w:p w14:paraId="0EED8BBA" w14:textId="77777777" w:rsidR="00343683" w:rsidRPr="00E77C12" w:rsidRDefault="00343683" w:rsidP="00FF30A9">
            <w:pPr>
              <w:jc w:val="left"/>
              <w:rPr>
                <w:rFonts w:eastAsia="Times New Roman" w:cs="Calibri"/>
                <w:color w:val="000000"/>
                <w:sz w:val="18"/>
                <w:szCs w:val="18"/>
                <w:lang w:eastAsia="en-US"/>
              </w:rPr>
            </w:pPr>
            <w:r w:rsidRPr="00E77C12">
              <w:rPr>
                <w:rFonts w:eastAsia="Times New Roman" w:cs="Calibri"/>
                <w:color w:val="000000"/>
                <w:sz w:val="18"/>
                <w:szCs w:val="18"/>
                <w:lang w:eastAsia="en-US"/>
              </w:rPr>
              <w:t>4e.1b</w:t>
            </w:r>
          </w:p>
        </w:tc>
        <w:tc>
          <w:tcPr>
            <w:tcW w:w="2243" w:type="pct"/>
            <w:tcBorders>
              <w:top w:val="nil"/>
              <w:left w:val="nil"/>
              <w:bottom w:val="nil"/>
              <w:right w:val="nil"/>
            </w:tcBorders>
            <w:shd w:val="clear" w:color="auto" w:fill="auto"/>
            <w:vAlign w:val="bottom"/>
            <w:hideMark/>
          </w:tcPr>
          <w:p w14:paraId="4A162740" w14:textId="77777777" w:rsidR="00343683" w:rsidRPr="00E77C12" w:rsidRDefault="00343683" w:rsidP="00FF30A9">
            <w:pPr>
              <w:jc w:val="left"/>
              <w:rPr>
                <w:rFonts w:eastAsia="Times New Roman" w:cs="Calibri"/>
                <w:color w:val="000000"/>
                <w:sz w:val="18"/>
                <w:szCs w:val="18"/>
                <w:lang w:eastAsia="en-US"/>
              </w:rPr>
            </w:pPr>
            <w:r w:rsidRPr="00E77C12">
              <w:rPr>
                <w:rFonts w:eastAsia="Times New Roman" w:cs="Calibri"/>
                <w:color w:val="000000"/>
                <w:sz w:val="18"/>
                <w:szCs w:val="18"/>
                <w:lang w:eastAsia="en-US"/>
              </w:rPr>
              <w:t>Emissioni di PM10 dal settore dei trasporti (t/a)</w:t>
            </w:r>
          </w:p>
        </w:tc>
        <w:tc>
          <w:tcPr>
            <w:tcW w:w="515" w:type="pct"/>
            <w:tcBorders>
              <w:top w:val="nil"/>
              <w:left w:val="nil"/>
              <w:bottom w:val="nil"/>
              <w:right w:val="nil"/>
            </w:tcBorders>
            <w:shd w:val="clear" w:color="auto" w:fill="auto"/>
            <w:vAlign w:val="bottom"/>
            <w:hideMark/>
          </w:tcPr>
          <w:p w14:paraId="4EECA36E"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6.034,00</w:t>
            </w:r>
          </w:p>
        </w:tc>
        <w:tc>
          <w:tcPr>
            <w:tcW w:w="571" w:type="pct"/>
            <w:tcBorders>
              <w:top w:val="nil"/>
              <w:left w:val="nil"/>
              <w:bottom w:val="nil"/>
              <w:right w:val="nil"/>
            </w:tcBorders>
            <w:shd w:val="clear" w:color="auto" w:fill="auto"/>
            <w:vAlign w:val="bottom"/>
            <w:hideMark/>
          </w:tcPr>
          <w:p w14:paraId="6746A35A"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2010</w:t>
            </w:r>
          </w:p>
        </w:tc>
        <w:tc>
          <w:tcPr>
            <w:tcW w:w="569" w:type="pct"/>
            <w:tcBorders>
              <w:top w:val="nil"/>
              <w:left w:val="nil"/>
              <w:bottom w:val="nil"/>
              <w:right w:val="nil"/>
            </w:tcBorders>
            <w:shd w:val="clear" w:color="auto" w:fill="auto"/>
            <w:vAlign w:val="bottom"/>
            <w:hideMark/>
          </w:tcPr>
          <w:p w14:paraId="1BF59F38"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5.395,00</w:t>
            </w:r>
          </w:p>
        </w:tc>
        <w:tc>
          <w:tcPr>
            <w:tcW w:w="624" w:type="pct"/>
            <w:tcBorders>
              <w:top w:val="nil"/>
              <w:left w:val="nil"/>
              <w:bottom w:val="nil"/>
              <w:right w:val="nil"/>
            </w:tcBorders>
            <w:shd w:val="clear" w:color="auto" w:fill="auto"/>
            <w:vAlign w:val="bottom"/>
            <w:hideMark/>
          </w:tcPr>
          <w:p w14:paraId="38E9F3EC"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4.072,00</w:t>
            </w:r>
          </w:p>
        </w:tc>
      </w:tr>
      <w:tr w:rsidR="00343683" w:rsidRPr="00E77C12" w14:paraId="5F338F0C" w14:textId="77777777" w:rsidTr="00E77C12">
        <w:trPr>
          <w:trHeight w:val="438"/>
        </w:trPr>
        <w:tc>
          <w:tcPr>
            <w:tcW w:w="478" w:type="pct"/>
            <w:tcBorders>
              <w:top w:val="nil"/>
              <w:left w:val="nil"/>
              <w:bottom w:val="single" w:sz="4" w:space="0" w:color="305496"/>
              <w:right w:val="nil"/>
            </w:tcBorders>
            <w:shd w:val="clear" w:color="auto" w:fill="auto"/>
            <w:vAlign w:val="bottom"/>
            <w:hideMark/>
          </w:tcPr>
          <w:p w14:paraId="56D0F721" w14:textId="77777777" w:rsidR="00343683" w:rsidRPr="00E77C12" w:rsidRDefault="00343683" w:rsidP="00FF30A9">
            <w:pPr>
              <w:jc w:val="left"/>
              <w:rPr>
                <w:rFonts w:eastAsia="Times New Roman" w:cs="Calibri"/>
                <w:color w:val="000000"/>
                <w:sz w:val="18"/>
                <w:szCs w:val="18"/>
                <w:lang w:eastAsia="en-US"/>
              </w:rPr>
            </w:pPr>
            <w:r w:rsidRPr="00E77C12">
              <w:rPr>
                <w:rFonts w:eastAsia="Times New Roman" w:cs="Calibri"/>
                <w:color w:val="000000"/>
                <w:sz w:val="18"/>
                <w:szCs w:val="18"/>
                <w:lang w:eastAsia="en-US"/>
              </w:rPr>
              <w:t>4e.1c</w:t>
            </w:r>
          </w:p>
        </w:tc>
        <w:tc>
          <w:tcPr>
            <w:tcW w:w="2243" w:type="pct"/>
            <w:tcBorders>
              <w:top w:val="nil"/>
              <w:left w:val="nil"/>
              <w:bottom w:val="single" w:sz="4" w:space="0" w:color="305496"/>
              <w:right w:val="nil"/>
            </w:tcBorders>
            <w:shd w:val="clear" w:color="auto" w:fill="auto"/>
            <w:vAlign w:val="bottom"/>
            <w:hideMark/>
          </w:tcPr>
          <w:p w14:paraId="29A585A2" w14:textId="77777777" w:rsidR="00343683" w:rsidRPr="00E77C12" w:rsidRDefault="00343683" w:rsidP="00FF30A9">
            <w:pPr>
              <w:jc w:val="left"/>
              <w:rPr>
                <w:rFonts w:eastAsia="Times New Roman" w:cs="Calibri"/>
                <w:color w:val="000000"/>
                <w:sz w:val="18"/>
                <w:szCs w:val="18"/>
                <w:lang w:eastAsia="en-US"/>
              </w:rPr>
            </w:pPr>
            <w:r w:rsidRPr="00E77C12">
              <w:rPr>
                <w:rFonts w:eastAsia="Times New Roman" w:cs="Calibri"/>
                <w:color w:val="000000"/>
                <w:sz w:val="18"/>
                <w:szCs w:val="18"/>
                <w:lang w:eastAsia="en-US"/>
              </w:rPr>
              <w:t>Emissioni di CO2 nel settore del trasporto su strada (</w:t>
            </w:r>
            <w:proofErr w:type="spellStart"/>
            <w:r w:rsidRPr="00E77C12">
              <w:rPr>
                <w:rFonts w:eastAsia="Times New Roman" w:cs="Calibri"/>
                <w:color w:val="000000"/>
                <w:sz w:val="18"/>
                <w:szCs w:val="18"/>
                <w:lang w:eastAsia="en-US"/>
              </w:rPr>
              <w:t>kt</w:t>
            </w:r>
            <w:proofErr w:type="spellEnd"/>
            <w:r w:rsidRPr="00E77C12">
              <w:rPr>
                <w:rFonts w:eastAsia="Times New Roman" w:cs="Calibri"/>
                <w:color w:val="000000"/>
                <w:sz w:val="18"/>
                <w:szCs w:val="18"/>
                <w:lang w:eastAsia="en-US"/>
              </w:rPr>
              <w:t>/anno)</w:t>
            </w:r>
          </w:p>
        </w:tc>
        <w:tc>
          <w:tcPr>
            <w:tcW w:w="515" w:type="pct"/>
            <w:tcBorders>
              <w:top w:val="nil"/>
              <w:left w:val="nil"/>
              <w:bottom w:val="single" w:sz="4" w:space="0" w:color="305496"/>
              <w:right w:val="nil"/>
            </w:tcBorders>
            <w:shd w:val="clear" w:color="auto" w:fill="auto"/>
            <w:vAlign w:val="bottom"/>
            <w:hideMark/>
          </w:tcPr>
          <w:p w14:paraId="4E045DC2"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17.880,00</w:t>
            </w:r>
          </w:p>
        </w:tc>
        <w:tc>
          <w:tcPr>
            <w:tcW w:w="571" w:type="pct"/>
            <w:tcBorders>
              <w:top w:val="nil"/>
              <w:left w:val="nil"/>
              <w:bottom w:val="single" w:sz="4" w:space="0" w:color="305496"/>
              <w:right w:val="nil"/>
            </w:tcBorders>
            <w:shd w:val="clear" w:color="auto" w:fill="auto"/>
            <w:vAlign w:val="bottom"/>
            <w:hideMark/>
          </w:tcPr>
          <w:p w14:paraId="188DC760"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2012</w:t>
            </w:r>
          </w:p>
        </w:tc>
        <w:tc>
          <w:tcPr>
            <w:tcW w:w="569" w:type="pct"/>
            <w:tcBorders>
              <w:top w:val="nil"/>
              <w:left w:val="nil"/>
              <w:bottom w:val="single" w:sz="4" w:space="0" w:color="305496"/>
              <w:right w:val="nil"/>
            </w:tcBorders>
            <w:shd w:val="clear" w:color="auto" w:fill="auto"/>
            <w:vAlign w:val="bottom"/>
            <w:hideMark/>
          </w:tcPr>
          <w:p w14:paraId="122676EF"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15.880,00</w:t>
            </w:r>
          </w:p>
        </w:tc>
        <w:tc>
          <w:tcPr>
            <w:tcW w:w="624" w:type="pct"/>
            <w:tcBorders>
              <w:top w:val="nil"/>
              <w:left w:val="nil"/>
              <w:bottom w:val="single" w:sz="4" w:space="0" w:color="305496"/>
              <w:right w:val="nil"/>
            </w:tcBorders>
            <w:shd w:val="clear" w:color="auto" w:fill="auto"/>
            <w:vAlign w:val="bottom"/>
            <w:hideMark/>
          </w:tcPr>
          <w:p w14:paraId="68AD661F" w14:textId="77777777" w:rsidR="00343683" w:rsidRPr="00E77C12" w:rsidRDefault="00343683" w:rsidP="00033A16">
            <w:pPr>
              <w:jc w:val="right"/>
              <w:rPr>
                <w:rFonts w:eastAsia="Times New Roman" w:cs="Calibri"/>
                <w:color w:val="000000"/>
                <w:sz w:val="18"/>
                <w:szCs w:val="18"/>
                <w:lang w:eastAsia="en-US"/>
              </w:rPr>
            </w:pPr>
            <w:r w:rsidRPr="00E77C12">
              <w:rPr>
                <w:rFonts w:eastAsia="Times New Roman" w:cs="Calibri"/>
                <w:color w:val="000000"/>
                <w:sz w:val="18"/>
                <w:szCs w:val="18"/>
                <w:lang w:eastAsia="en-US"/>
              </w:rPr>
              <w:t>17.566,35</w:t>
            </w:r>
          </w:p>
        </w:tc>
      </w:tr>
    </w:tbl>
    <w:p w14:paraId="5803ACC1" w14:textId="6ED45903" w:rsidR="005D6B8F" w:rsidRDefault="005D6B8F" w:rsidP="005D6B8F">
      <w:pPr>
        <w:rPr>
          <w:sz w:val="18"/>
          <w:szCs w:val="18"/>
        </w:rPr>
      </w:pPr>
      <w:r>
        <w:rPr>
          <w:sz w:val="18"/>
          <w:szCs w:val="18"/>
        </w:rPr>
        <w:t xml:space="preserve">Fonte: </w:t>
      </w:r>
      <w:r w:rsidR="00E37297">
        <w:rPr>
          <w:sz w:val="18"/>
          <w:szCs w:val="18"/>
        </w:rPr>
        <w:t>Informazioni fornite</w:t>
      </w:r>
      <w:r>
        <w:rPr>
          <w:sz w:val="18"/>
          <w:szCs w:val="18"/>
        </w:rPr>
        <w:t xml:space="preserve"> da Regione Lombardia aggiornat</w:t>
      </w:r>
      <w:r w:rsidR="00E37297">
        <w:rPr>
          <w:sz w:val="18"/>
          <w:szCs w:val="18"/>
        </w:rPr>
        <w:t>e</w:t>
      </w:r>
      <w:r>
        <w:rPr>
          <w:sz w:val="18"/>
          <w:szCs w:val="18"/>
        </w:rPr>
        <w:t xml:space="preserve"> al 31.12.2020</w:t>
      </w:r>
      <w:r w:rsidR="00E37297">
        <w:rPr>
          <w:sz w:val="18"/>
          <w:szCs w:val="18"/>
        </w:rPr>
        <w:t xml:space="preserve">; le fonti dei dati includono: banche dati di Regione Lombardia, nonché </w:t>
      </w:r>
      <w:r w:rsidR="00E37297" w:rsidRPr="00E37297">
        <w:rPr>
          <w:sz w:val="18"/>
          <w:szCs w:val="18"/>
        </w:rPr>
        <w:t xml:space="preserve">diverse banche dati esterne (ISTAT, Terna, CENED, </w:t>
      </w:r>
      <w:proofErr w:type="spellStart"/>
      <w:r w:rsidR="00E37297" w:rsidRPr="00E37297">
        <w:rPr>
          <w:sz w:val="18"/>
          <w:szCs w:val="18"/>
        </w:rPr>
        <w:t>Inemar</w:t>
      </w:r>
      <w:proofErr w:type="spellEnd"/>
      <w:r w:rsidR="00E37297" w:rsidRPr="00E37297">
        <w:rPr>
          <w:sz w:val="18"/>
          <w:szCs w:val="18"/>
        </w:rPr>
        <w:t>)</w:t>
      </w:r>
      <w:r>
        <w:rPr>
          <w:sz w:val="18"/>
          <w:szCs w:val="18"/>
        </w:rPr>
        <w:t>.</w:t>
      </w:r>
    </w:p>
    <w:p w14:paraId="20074973" w14:textId="77777777" w:rsidR="0081593A" w:rsidRPr="00736D99" w:rsidRDefault="0081593A" w:rsidP="0081593A">
      <w:pPr>
        <w:rPr>
          <w:sz w:val="18"/>
          <w:szCs w:val="18"/>
        </w:rPr>
      </w:pPr>
      <w:r w:rsidRPr="00736D99">
        <w:rPr>
          <w:sz w:val="18"/>
          <w:szCs w:val="18"/>
        </w:rPr>
        <w:t xml:space="preserve">Nota: </w:t>
      </w:r>
      <w:r w:rsidR="00DE23D8">
        <w:rPr>
          <w:sz w:val="18"/>
          <w:szCs w:val="18"/>
        </w:rPr>
        <w:t>Nella tabella vengono riportati solamente gli indicatori che riportano un target e che al 2020 presentano un valore realizzato maggiore di zero</w:t>
      </w:r>
    </w:p>
    <w:p w14:paraId="52997261" w14:textId="77777777" w:rsidR="00FF30A9" w:rsidRDefault="00EB7F08" w:rsidP="00AF6A6D">
      <w:pPr>
        <w:rPr>
          <w:sz w:val="18"/>
          <w:szCs w:val="18"/>
        </w:rPr>
      </w:pPr>
      <w:r w:rsidRPr="00624B2A">
        <w:rPr>
          <w:sz w:val="18"/>
          <w:szCs w:val="18"/>
        </w:rPr>
        <w:t xml:space="preserve">*L’Autorità Ambientale ha stimato una </w:t>
      </w:r>
      <w:r w:rsidR="001A70B0" w:rsidRPr="00624B2A">
        <w:rPr>
          <w:sz w:val="18"/>
          <w:szCs w:val="18"/>
        </w:rPr>
        <w:t xml:space="preserve">riduzione dei consumi annuali di energia primaria degli edifici pubblici pari a </w:t>
      </w:r>
      <w:r w:rsidRPr="00624B2A">
        <w:rPr>
          <w:sz w:val="18"/>
          <w:szCs w:val="18"/>
        </w:rPr>
        <w:t>‐ 4,76 GWh</w:t>
      </w:r>
      <w:r w:rsidR="001A70B0" w:rsidRPr="00624B2A">
        <w:rPr>
          <w:sz w:val="18"/>
          <w:szCs w:val="18"/>
        </w:rPr>
        <w:t>/</w:t>
      </w:r>
      <w:r w:rsidRPr="00624B2A">
        <w:rPr>
          <w:sz w:val="18"/>
          <w:szCs w:val="18"/>
        </w:rPr>
        <w:t>anno</w:t>
      </w:r>
      <w:r w:rsidR="001A70B0" w:rsidRPr="00624B2A">
        <w:rPr>
          <w:sz w:val="18"/>
          <w:szCs w:val="18"/>
        </w:rPr>
        <w:t xml:space="preserve"> (</w:t>
      </w:r>
      <w:r w:rsidR="001A70B0">
        <w:rPr>
          <w:sz w:val="18"/>
          <w:szCs w:val="18"/>
        </w:rPr>
        <w:t xml:space="preserve">Informativa dell’AA, </w:t>
      </w:r>
      <w:proofErr w:type="spellStart"/>
      <w:r w:rsidR="001A70B0">
        <w:rPr>
          <w:sz w:val="18"/>
          <w:szCs w:val="18"/>
        </w:rPr>
        <w:t>CdS</w:t>
      </w:r>
      <w:proofErr w:type="spellEnd"/>
      <w:r w:rsidR="001A70B0">
        <w:rPr>
          <w:sz w:val="18"/>
          <w:szCs w:val="18"/>
        </w:rPr>
        <w:t xml:space="preserve"> 27.05.2021).</w:t>
      </w:r>
    </w:p>
    <w:p w14:paraId="63C5D684" w14:textId="77777777" w:rsidR="00B027A4" w:rsidRDefault="00B027A4" w:rsidP="00B027A4"/>
    <w:p w14:paraId="37C379A5" w14:textId="6367B58F" w:rsidR="003A138C" w:rsidRPr="00456825" w:rsidRDefault="00BC0A97" w:rsidP="003A138C">
      <w:pPr>
        <w:widowControl w:val="0"/>
        <w:autoSpaceDE w:val="0"/>
        <w:autoSpaceDN w:val="0"/>
        <w:adjustRightInd w:val="0"/>
        <w:rPr>
          <w:rFonts w:eastAsia="Times New Roman"/>
          <w:bCs/>
          <w:iCs/>
          <w:color w:val="000000"/>
          <w:szCs w:val="22"/>
        </w:rPr>
      </w:pPr>
      <w:bookmarkStart w:id="45" w:name="_Hlk79157940"/>
      <w:r>
        <w:rPr>
          <w:rFonts w:eastAsia="Times New Roman"/>
          <w:bCs/>
          <w:color w:val="000000"/>
          <w:szCs w:val="22"/>
        </w:rPr>
        <w:t xml:space="preserve">Per quanto riguarda le iniziative finanziate dal </w:t>
      </w:r>
      <w:r w:rsidRPr="00414FD8">
        <w:rPr>
          <w:rFonts w:eastAsia="Times New Roman"/>
          <w:b/>
          <w:color w:val="000000"/>
          <w:szCs w:val="22"/>
        </w:rPr>
        <w:t>PSR FEASR</w:t>
      </w:r>
      <w:r>
        <w:rPr>
          <w:rFonts w:eastAsia="Times New Roman"/>
          <w:bCs/>
          <w:color w:val="000000"/>
          <w:szCs w:val="22"/>
        </w:rPr>
        <w:t>, la tabella che segue illustra i principali indicatori</w:t>
      </w:r>
      <w:r w:rsidRPr="00414FD8">
        <w:rPr>
          <w:rFonts w:eastAsia="Times New Roman"/>
          <w:bCs/>
          <w:color w:val="000000"/>
          <w:szCs w:val="22"/>
        </w:rPr>
        <w:t xml:space="preserve"> </w:t>
      </w:r>
      <w:r>
        <w:rPr>
          <w:rFonts w:eastAsia="Times New Roman"/>
          <w:bCs/>
          <w:color w:val="000000"/>
          <w:szCs w:val="22"/>
        </w:rPr>
        <w:t xml:space="preserve">relativi </w:t>
      </w:r>
      <w:r w:rsidRPr="00456825">
        <w:rPr>
          <w:rFonts w:eastAsia="Times New Roman"/>
          <w:bCs/>
          <w:color w:val="000000"/>
          <w:szCs w:val="22"/>
        </w:rPr>
        <w:t xml:space="preserve">all’avanzamento </w:t>
      </w:r>
      <w:r>
        <w:rPr>
          <w:rFonts w:eastAsia="Times New Roman"/>
          <w:bCs/>
          <w:color w:val="000000"/>
          <w:szCs w:val="22"/>
        </w:rPr>
        <w:t>della Priorità</w:t>
      </w:r>
      <w:r w:rsidRPr="00164FC9">
        <w:rPr>
          <w:rFonts w:eastAsia="Times New Roman"/>
          <w:bCs/>
          <w:color w:val="000000"/>
          <w:szCs w:val="22"/>
        </w:rPr>
        <w:t xml:space="preserve"> </w:t>
      </w:r>
      <w:r w:rsidR="003A138C" w:rsidRPr="00456825">
        <w:rPr>
          <w:rFonts w:eastAsia="Times New Roman"/>
          <w:bCs/>
          <w:iCs/>
          <w:color w:val="000000"/>
          <w:szCs w:val="22"/>
        </w:rPr>
        <w:t>4</w:t>
      </w:r>
      <w:r w:rsidR="003A138C">
        <w:rPr>
          <w:rFonts w:eastAsia="Times New Roman"/>
          <w:bCs/>
          <w:iCs/>
          <w:color w:val="000000"/>
          <w:szCs w:val="22"/>
        </w:rPr>
        <w:t xml:space="preserve"> </w:t>
      </w:r>
      <w:r w:rsidR="003A138C" w:rsidRPr="000935EA">
        <w:rPr>
          <w:rFonts w:eastAsia="Times New Roman"/>
          <w:i/>
          <w:iCs/>
          <w:color w:val="000000"/>
          <w:szCs w:val="22"/>
        </w:rPr>
        <w:t>Preservare, ripristinare e valorizzare gli ecosistemi connessi all'agricoltura e alla silvicoltura</w:t>
      </w:r>
      <w:r w:rsidR="000935EA">
        <w:rPr>
          <w:rFonts w:eastAsia="Times New Roman"/>
          <w:iCs/>
          <w:color w:val="000000"/>
          <w:szCs w:val="22"/>
        </w:rPr>
        <w:t>.</w:t>
      </w:r>
      <w:r w:rsidR="003A138C" w:rsidRPr="00456825">
        <w:rPr>
          <w:rFonts w:eastAsia="Times New Roman"/>
          <w:bCs/>
          <w:iCs/>
          <w:color w:val="000000"/>
          <w:szCs w:val="22"/>
        </w:rPr>
        <w:t xml:space="preserve"> </w:t>
      </w:r>
      <w:r w:rsidR="000935EA">
        <w:rPr>
          <w:rFonts w:eastAsia="Times New Roman"/>
          <w:bCs/>
          <w:iCs/>
          <w:color w:val="000000"/>
          <w:szCs w:val="22"/>
        </w:rPr>
        <w:t>S</w:t>
      </w:r>
      <w:r w:rsidR="003A138C" w:rsidRPr="00456825">
        <w:rPr>
          <w:rFonts w:eastAsia="Times New Roman"/>
          <w:bCs/>
          <w:iCs/>
          <w:color w:val="000000"/>
          <w:szCs w:val="22"/>
        </w:rPr>
        <w:t xml:space="preserve">i </w:t>
      </w:r>
      <w:r w:rsidR="003A138C">
        <w:rPr>
          <w:rFonts w:eastAsia="Times New Roman"/>
          <w:bCs/>
          <w:iCs/>
          <w:color w:val="000000"/>
          <w:szCs w:val="22"/>
        </w:rPr>
        <w:t>può</w:t>
      </w:r>
      <w:r w:rsidR="003A138C" w:rsidRPr="00456825">
        <w:rPr>
          <w:rFonts w:eastAsia="Times New Roman"/>
          <w:bCs/>
          <w:iCs/>
          <w:color w:val="000000"/>
          <w:szCs w:val="22"/>
        </w:rPr>
        <w:t xml:space="preserve"> registrare il superamento del target di Programma</w:t>
      </w:r>
      <w:r w:rsidR="003A138C">
        <w:rPr>
          <w:rFonts w:eastAsia="Times New Roman"/>
          <w:b/>
          <w:bCs/>
          <w:iCs/>
          <w:color w:val="000000"/>
          <w:szCs w:val="22"/>
        </w:rPr>
        <w:t xml:space="preserve"> </w:t>
      </w:r>
      <w:r w:rsidR="003A138C">
        <w:rPr>
          <w:rFonts w:eastAsia="Times New Roman"/>
          <w:bCs/>
          <w:iCs/>
          <w:color w:val="000000"/>
          <w:szCs w:val="22"/>
        </w:rPr>
        <w:t>per l’indicatore T</w:t>
      </w:r>
      <w:r w:rsidR="00661EED">
        <w:rPr>
          <w:rFonts w:eastAsia="Times New Roman"/>
          <w:bCs/>
          <w:iCs/>
          <w:color w:val="000000"/>
          <w:szCs w:val="22"/>
        </w:rPr>
        <w:t>9</w:t>
      </w:r>
      <w:r w:rsidR="003A138C">
        <w:rPr>
          <w:rFonts w:eastAsia="Times New Roman"/>
          <w:bCs/>
          <w:iCs/>
          <w:color w:val="000000"/>
          <w:szCs w:val="22"/>
        </w:rPr>
        <w:t>, mentre il T10 è prossimo al 100% di realizzazione. Relativamente all’indicatore di output O1, vanno registrati i buoni risultati della Misure 10, 11 e 13 che portano nel complesso il valore dello stesso indicatore al 79</w:t>
      </w:r>
      <w:r w:rsidR="005A6ED9">
        <w:rPr>
          <w:rFonts w:eastAsia="Times New Roman"/>
          <w:bCs/>
          <w:iCs/>
          <w:color w:val="000000"/>
          <w:szCs w:val="22"/>
        </w:rPr>
        <w:t>.6</w:t>
      </w:r>
      <w:r w:rsidR="003A138C">
        <w:rPr>
          <w:rFonts w:eastAsia="Times New Roman"/>
          <w:bCs/>
          <w:iCs/>
          <w:color w:val="000000"/>
          <w:szCs w:val="22"/>
        </w:rPr>
        <w:t>% per l’intera Priorità.</w:t>
      </w:r>
    </w:p>
    <w:p w14:paraId="611E73CC" w14:textId="77777777" w:rsidR="003A138C" w:rsidRPr="00BC0A97" w:rsidRDefault="00BC0A97" w:rsidP="00BC0A97">
      <w:pPr>
        <w:pStyle w:val="Didascalia"/>
      </w:pPr>
      <w:bookmarkStart w:id="46" w:name="_Toc91081442"/>
      <w:r>
        <w:t xml:space="preserve">Tabella </w:t>
      </w:r>
      <w:r w:rsidR="004E6566">
        <w:fldChar w:fldCharType="begin"/>
      </w:r>
      <w:r>
        <w:instrText xml:space="preserve"> SEQ Tabella \* ARABIC </w:instrText>
      </w:r>
      <w:r w:rsidR="004E6566">
        <w:fldChar w:fldCharType="separate"/>
      </w:r>
      <w:r w:rsidR="00E53D6C">
        <w:rPr>
          <w:noProof/>
        </w:rPr>
        <w:t>16</w:t>
      </w:r>
      <w:r w:rsidR="004E6566">
        <w:fldChar w:fldCharType="end"/>
      </w:r>
      <w:r>
        <w:t xml:space="preserve">. </w:t>
      </w:r>
      <w:r w:rsidRPr="00E961DE">
        <w:t xml:space="preserve">Indicatori target relativi alla Priorità </w:t>
      </w:r>
      <w:r>
        <w:t>4</w:t>
      </w:r>
      <w:r w:rsidRPr="00E961DE">
        <w:t xml:space="preserve"> del PSR FEASR</w:t>
      </w:r>
      <w:bookmarkEnd w:id="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1559"/>
        <w:gridCol w:w="1417"/>
        <w:gridCol w:w="1134"/>
        <w:gridCol w:w="1418"/>
        <w:gridCol w:w="1134"/>
        <w:gridCol w:w="1412"/>
      </w:tblGrid>
      <w:tr w:rsidR="009E6E33" w:rsidRPr="009E6E33" w14:paraId="659432D0" w14:textId="77777777" w:rsidTr="009E6E33">
        <w:trPr>
          <w:trHeight w:val="451"/>
        </w:trPr>
        <w:tc>
          <w:tcPr>
            <w:tcW w:w="1555" w:type="dxa"/>
            <w:shd w:val="clear" w:color="auto" w:fill="669748" w:themeFill="accent2" w:themeFillShade="BF"/>
            <w:noWrap/>
          </w:tcPr>
          <w:p w14:paraId="684D568A" w14:textId="77777777" w:rsidR="009E6E33" w:rsidRPr="009E6E33" w:rsidRDefault="009E6E33" w:rsidP="009E6E33">
            <w:pPr>
              <w:rPr>
                <w:rFonts w:eastAsia="Times New Roman" w:cs="Calibri"/>
                <w:b/>
                <w:bCs/>
                <w:color w:val="FFFFFF" w:themeColor="background1"/>
                <w:sz w:val="18"/>
                <w:szCs w:val="18"/>
              </w:rPr>
            </w:pPr>
            <w:r w:rsidRPr="009E6E33">
              <w:rPr>
                <w:b/>
                <w:bCs/>
                <w:color w:val="FFFFFF" w:themeColor="background1"/>
                <w:sz w:val="18"/>
                <w:szCs w:val="18"/>
              </w:rPr>
              <w:t>Focus Area/Misura</w:t>
            </w:r>
          </w:p>
        </w:tc>
        <w:tc>
          <w:tcPr>
            <w:tcW w:w="1559" w:type="dxa"/>
            <w:shd w:val="clear" w:color="auto" w:fill="669748" w:themeFill="accent2" w:themeFillShade="BF"/>
          </w:tcPr>
          <w:p w14:paraId="79FDC884" w14:textId="77777777" w:rsidR="009E6E33" w:rsidRPr="009E6E33" w:rsidRDefault="009E6E33" w:rsidP="009E6E33">
            <w:pPr>
              <w:rPr>
                <w:rFonts w:eastAsia="Times New Roman" w:cs="Calibri"/>
                <w:b/>
                <w:bCs/>
                <w:i/>
                <w:iCs/>
                <w:color w:val="FFFFFF" w:themeColor="background1"/>
                <w:sz w:val="18"/>
                <w:szCs w:val="18"/>
              </w:rPr>
            </w:pPr>
            <w:r w:rsidRPr="009E6E33">
              <w:rPr>
                <w:b/>
                <w:bCs/>
                <w:color w:val="FFFFFF" w:themeColor="background1"/>
                <w:sz w:val="18"/>
                <w:szCs w:val="18"/>
              </w:rPr>
              <w:t>Indicatori</w:t>
            </w:r>
          </w:p>
        </w:tc>
        <w:tc>
          <w:tcPr>
            <w:tcW w:w="1417" w:type="dxa"/>
            <w:shd w:val="clear" w:color="auto" w:fill="669748" w:themeFill="accent2" w:themeFillShade="BF"/>
          </w:tcPr>
          <w:p w14:paraId="18026EBC" w14:textId="77777777" w:rsidR="009E6E33" w:rsidRPr="009E6E33" w:rsidRDefault="009E6E33" w:rsidP="009E6E33">
            <w:pPr>
              <w:jc w:val="center"/>
              <w:rPr>
                <w:rFonts w:eastAsia="Times New Roman" w:cs="Calibri"/>
                <w:b/>
                <w:bCs/>
                <w:i/>
                <w:iCs/>
                <w:color w:val="FFFFFF" w:themeColor="background1"/>
                <w:sz w:val="18"/>
                <w:szCs w:val="18"/>
              </w:rPr>
            </w:pPr>
            <w:r w:rsidRPr="009E6E33">
              <w:rPr>
                <w:b/>
                <w:bCs/>
                <w:color w:val="FFFFFF" w:themeColor="background1"/>
                <w:sz w:val="18"/>
                <w:szCs w:val="18"/>
              </w:rPr>
              <w:t>In base all'approvato</w:t>
            </w:r>
          </w:p>
        </w:tc>
        <w:tc>
          <w:tcPr>
            <w:tcW w:w="1134" w:type="dxa"/>
            <w:shd w:val="clear" w:color="auto" w:fill="669748" w:themeFill="accent2" w:themeFillShade="BF"/>
          </w:tcPr>
          <w:p w14:paraId="305EE2A9" w14:textId="77777777" w:rsidR="009E6E33" w:rsidRPr="009E6E33" w:rsidRDefault="009E6E33" w:rsidP="009E6E33">
            <w:pPr>
              <w:jc w:val="center"/>
              <w:rPr>
                <w:rFonts w:eastAsia="Times New Roman" w:cs="Calibri"/>
                <w:b/>
                <w:bCs/>
                <w:i/>
                <w:iCs/>
                <w:color w:val="FFFFFF" w:themeColor="background1"/>
                <w:sz w:val="18"/>
                <w:szCs w:val="18"/>
              </w:rPr>
            </w:pPr>
            <w:r w:rsidRPr="009E6E33">
              <w:rPr>
                <w:b/>
                <w:bCs/>
                <w:color w:val="FFFFFF" w:themeColor="background1"/>
                <w:sz w:val="18"/>
                <w:szCs w:val="18"/>
              </w:rPr>
              <w:t>Utilizzazione (%)</w:t>
            </w:r>
          </w:p>
        </w:tc>
        <w:tc>
          <w:tcPr>
            <w:tcW w:w="1418" w:type="dxa"/>
            <w:shd w:val="clear" w:color="auto" w:fill="669748" w:themeFill="accent2" w:themeFillShade="BF"/>
          </w:tcPr>
          <w:p w14:paraId="432A485C" w14:textId="77777777" w:rsidR="009E6E33" w:rsidRPr="009E6E33" w:rsidRDefault="009E6E33" w:rsidP="009E6E33">
            <w:pPr>
              <w:jc w:val="center"/>
              <w:rPr>
                <w:rFonts w:eastAsia="Times New Roman" w:cs="Calibri"/>
                <w:b/>
                <w:bCs/>
                <w:color w:val="FFFFFF" w:themeColor="background1"/>
                <w:sz w:val="18"/>
                <w:szCs w:val="18"/>
              </w:rPr>
            </w:pPr>
            <w:r w:rsidRPr="009E6E33">
              <w:rPr>
                <w:b/>
                <w:bCs/>
                <w:color w:val="FFFFFF" w:themeColor="background1"/>
                <w:sz w:val="18"/>
                <w:szCs w:val="18"/>
              </w:rPr>
              <w:t>Realizzato</w:t>
            </w:r>
          </w:p>
        </w:tc>
        <w:tc>
          <w:tcPr>
            <w:tcW w:w="1134" w:type="dxa"/>
            <w:shd w:val="clear" w:color="auto" w:fill="669748" w:themeFill="accent2" w:themeFillShade="BF"/>
          </w:tcPr>
          <w:p w14:paraId="4826B887" w14:textId="77777777" w:rsidR="009E6E33" w:rsidRPr="009E6E33" w:rsidRDefault="009E6E33" w:rsidP="009E6E33">
            <w:pPr>
              <w:jc w:val="center"/>
              <w:rPr>
                <w:rFonts w:eastAsia="Times New Roman" w:cs="Calibri"/>
                <w:b/>
                <w:bCs/>
                <w:color w:val="FFFFFF" w:themeColor="background1"/>
                <w:sz w:val="18"/>
                <w:szCs w:val="18"/>
              </w:rPr>
            </w:pPr>
            <w:r w:rsidRPr="009E6E33">
              <w:rPr>
                <w:b/>
                <w:bCs/>
                <w:color w:val="FFFFFF" w:themeColor="background1"/>
                <w:sz w:val="18"/>
                <w:szCs w:val="18"/>
              </w:rPr>
              <w:t>Utilizzazione (%)</w:t>
            </w:r>
          </w:p>
        </w:tc>
        <w:tc>
          <w:tcPr>
            <w:tcW w:w="1412" w:type="dxa"/>
            <w:shd w:val="clear" w:color="auto" w:fill="669748" w:themeFill="accent2" w:themeFillShade="BF"/>
          </w:tcPr>
          <w:p w14:paraId="1081FB59" w14:textId="77777777" w:rsidR="009E6E33" w:rsidRPr="009E6E33" w:rsidRDefault="009E6E33" w:rsidP="009E6E33">
            <w:pPr>
              <w:jc w:val="center"/>
              <w:rPr>
                <w:rFonts w:eastAsia="Times New Roman" w:cs="Calibri"/>
                <w:b/>
                <w:bCs/>
                <w:color w:val="FFFFFF" w:themeColor="background1"/>
                <w:sz w:val="18"/>
                <w:szCs w:val="18"/>
              </w:rPr>
            </w:pPr>
            <w:r w:rsidRPr="009E6E33">
              <w:rPr>
                <w:b/>
                <w:bCs/>
                <w:color w:val="FFFFFF" w:themeColor="background1"/>
                <w:sz w:val="18"/>
                <w:szCs w:val="18"/>
              </w:rPr>
              <w:t>Target Finale 2023</w:t>
            </w:r>
          </w:p>
        </w:tc>
      </w:tr>
      <w:tr w:rsidR="009E6E33" w:rsidRPr="003A138C" w14:paraId="10E1E59C" w14:textId="77777777" w:rsidTr="009E6E33">
        <w:trPr>
          <w:trHeight w:val="1320"/>
        </w:trPr>
        <w:tc>
          <w:tcPr>
            <w:tcW w:w="1555" w:type="dxa"/>
            <w:shd w:val="clear" w:color="auto" w:fill="auto"/>
            <w:noWrap/>
            <w:vAlign w:val="center"/>
            <w:hideMark/>
          </w:tcPr>
          <w:p w14:paraId="016E3939" w14:textId="77777777" w:rsidR="009E6E33" w:rsidRPr="003A138C" w:rsidRDefault="009E6E33" w:rsidP="009E6E33">
            <w:pPr>
              <w:rPr>
                <w:rFonts w:eastAsia="Times New Roman" w:cs="Calibri"/>
                <w:color w:val="000000"/>
                <w:sz w:val="18"/>
                <w:szCs w:val="18"/>
              </w:rPr>
            </w:pPr>
            <w:r w:rsidRPr="003A138C">
              <w:rPr>
                <w:rFonts w:eastAsia="Times New Roman" w:cs="Calibri"/>
                <w:color w:val="000000"/>
                <w:sz w:val="18"/>
                <w:szCs w:val="18"/>
              </w:rPr>
              <w:t>4A) Salvaguardia, ripristino e miglioramento della biodiversità, compreso nelle zone Natura 2000 e nelle zone soggette a vincoli naturali o ad altri vincoli specifici, nell'agricoltura ad alto valore naturalistico, nonché dell'assetto paesaggistico dell'Europa</w:t>
            </w:r>
          </w:p>
        </w:tc>
        <w:tc>
          <w:tcPr>
            <w:tcW w:w="1559" w:type="dxa"/>
            <w:shd w:val="clear" w:color="auto" w:fill="auto"/>
            <w:vAlign w:val="center"/>
            <w:hideMark/>
          </w:tcPr>
          <w:p w14:paraId="7C95E325" w14:textId="77777777" w:rsidR="009E6E33" w:rsidRPr="003A138C" w:rsidRDefault="009E6E33" w:rsidP="009E6E33">
            <w:pPr>
              <w:rPr>
                <w:rFonts w:eastAsia="Times New Roman" w:cs="Calibri"/>
                <w:i/>
                <w:iCs/>
                <w:color w:val="000000"/>
                <w:sz w:val="18"/>
                <w:szCs w:val="18"/>
              </w:rPr>
            </w:pPr>
            <w:r w:rsidRPr="003A138C">
              <w:rPr>
                <w:rFonts w:eastAsia="Times New Roman" w:cs="Calibri"/>
                <w:i/>
                <w:iCs/>
                <w:color w:val="000000"/>
                <w:sz w:val="18"/>
                <w:szCs w:val="18"/>
              </w:rPr>
              <w:t>T12: percentuale di terreni agricoli oggetto di contratti di gestione volti a migliorare la gestione del suolo e/o a prevenire l'erosione del suolo</w:t>
            </w:r>
          </w:p>
        </w:tc>
        <w:tc>
          <w:tcPr>
            <w:tcW w:w="1417" w:type="dxa"/>
            <w:shd w:val="clear" w:color="auto" w:fill="auto"/>
            <w:vAlign w:val="center"/>
            <w:hideMark/>
          </w:tcPr>
          <w:p w14:paraId="1D37FF6D" w14:textId="77777777" w:rsidR="009E6E33" w:rsidRPr="003A138C" w:rsidRDefault="009E6E33" w:rsidP="009E6E33">
            <w:pPr>
              <w:jc w:val="center"/>
              <w:rPr>
                <w:rFonts w:eastAsia="Times New Roman" w:cs="Calibri"/>
                <w:b/>
                <w:bCs/>
                <w:i/>
                <w:iCs/>
                <w:color w:val="000000"/>
                <w:sz w:val="18"/>
                <w:szCs w:val="18"/>
              </w:rPr>
            </w:pPr>
            <w:r w:rsidRPr="003A138C">
              <w:rPr>
                <w:rFonts w:eastAsia="Times New Roman" w:cs="Calibri"/>
                <w:b/>
                <w:bCs/>
                <w:i/>
                <w:iCs/>
                <w:color w:val="000000"/>
                <w:sz w:val="18"/>
                <w:szCs w:val="18"/>
              </w:rPr>
              <w:t> </w:t>
            </w:r>
          </w:p>
        </w:tc>
        <w:tc>
          <w:tcPr>
            <w:tcW w:w="1134" w:type="dxa"/>
            <w:shd w:val="clear" w:color="auto" w:fill="auto"/>
            <w:vAlign w:val="center"/>
            <w:hideMark/>
          </w:tcPr>
          <w:p w14:paraId="084EB6B8" w14:textId="77777777" w:rsidR="009E6E33" w:rsidRPr="003A138C" w:rsidRDefault="009E6E33" w:rsidP="009E6E33">
            <w:pPr>
              <w:jc w:val="center"/>
              <w:rPr>
                <w:rFonts w:eastAsia="Times New Roman" w:cs="Calibri"/>
                <w:b/>
                <w:bCs/>
                <w:i/>
                <w:iCs/>
                <w:color w:val="000000"/>
                <w:sz w:val="18"/>
                <w:szCs w:val="18"/>
              </w:rPr>
            </w:pPr>
            <w:r w:rsidRPr="003A138C">
              <w:rPr>
                <w:rFonts w:eastAsia="Times New Roman" w:cs="Calibri"/>
                <w:b/>
                <w:bCs/>
                <w:i/>
                <w:iCs/>
                <w:color w:val="000000"/>
                <w:sz w:val="18"/>
                <w:szCs w:val="18"/>
              </w:rPr>
              <w:t> </w:t>
            </w:r>
          </w:p>
        </w:tc>
        <w:tc>
          <w:tcPr>
            <w:tcW w:w="1418" w:type="dxa"/>
            <w:shd w:val="clear" w:color="auto" w:fill="auto"/>
            <w:vAlign w:val="center"/>
            <w:hideMark/>
          </w:tcPr>
          <w:p w14:paraId="4EC45436" w14:textId="77777777" w:rsidR="009E6E33" w:rsidRPr="003A138C" w:rsidRDefault="009E6E33" w:rsidP="009E6E33">
            <w:pPr>
              <w:jc w:val="center"/>
              <w:rPr>
                <w:rFonts w:eastAsia="Times New Roman" w:cs="Calibri"/>
                <w:color w:val="000000"/>
                <w:sz w:val="18"/>
                <w:szCs w:val="18"/>
              </w:rPr>
            </w:pPr>
            <w:r w:rsidRPr="003A138C">
              <w:rPr>
                <w:rFonts w:eastAsia="Times New Roman" w:cs="Calibri"/>
                <w:color w:val="000000"/>
                <w:sz w:val="18"/>
                <w:szCs w:val="18"/>
              </w:rPr>
              <w:t>0,78</w:t>
            </w:r>
          </w:p>
        </w:tc>
        <w:tc>
          <w:tcPr>
            <w:tcW w:w="1134" w:type="dxa"/>
            <w:shd w:val="clear" w:color="auto" w:fill="auto"/>
            <w:vAlign w:val="center"/>
            <w:hideMark/>
          </w:tcPr>
          <w:p w14:paraId="5CDF6B44" w14:textId="1CAD1754" w:rsidR="009E6E33" w:rsidRPr="003A138C" w:rsidRDefault="009E6E33" w:rsidP="009E6E33">
            <w:pPr>
              <w:jc w:val="center"/>
              <w:rPr>
                <w:rFonts w:eastAsia="Times New Roman" w:cs="Calibri"/>
                <w:color w:val="000000"/>
                <w:sz w:val="18"/>
                <w:szCs w:val="18"/>
              </w:rPr>
            </w:pPr>
            <w:r w:rsidRPr="003A138C">
              <w:rPr>
                <w:rFonts w:eastAsia="Times New Roman" w:cs="Calibri"/>
                <w:color w:val="000000"/>
                <w:sz w:val="18"/>
                <w:szCs w:val="18"/>
              </w:rPr>
              <w:t>34,9</w:t>
            </w:r>
            <w:r w:rsidR="00661EED">
              <w:rPr>
                <w:rFonts w:eastAsia="Times New Roman" w:cs="Calibri"/>
                <w:color w:val="000000"/>
                <w:sz w:val="18"/>
                <w:szCs w:val="18"/>
              </w:rPr>
              <w:t>8</w:t>
            </w:r>
          </w:p>
        </w:tc>
        <w:tc>
          <w:tcPr>
            <w:tcW w:w="1412" w:type="dxa"/>
            <w:shd w:val="clear" w:color="99FF99" w:fill="auto"/>
            <w:vAlign w:val="center"/>
            <w:hideMark/>
          </w:tcPr>
          <w:p w14:paraId="0222ECC5" w14:textId="77777777" w:rsidR="009E6E33" w:rsidRPr="003A138C" w:rsidRDefault="009E6E33" w:rsidP="009E6E33">
            <w:pPr>
              <w:jc w:val="center"/>
              <w:rPr>
                <w:rFonts w:eastAsia="Times New Roman" w:cs="Calibri"/>
                <w:color w:val="000000"/>
                <w:sz w:val="18"/>
                <w:szCs w:val="18"/>
              </w:rPr>
            </w:pPr>
            <w:r w:rsidRPr="003A138C">
              <w:rPr>
                <w:rFonts w:eastAsia="Times New Roman" w:cs="Calibri"/>
                <w:color w:val="000000"/>
                <w:sz w:val="18"/>
                <w:szCs w:val="18"/>
              </w:rPr>
              <w:t>2,23</w:t>
            </w:r>
          </w:p>
        </w:tc>
      </w:tr>
      <w:tr w:rsidR="009E6E33" w:rsidRPr="003A138C" w14:paraId="37E16D26" w14:textId="77777777" w:rsidTr="009E6E33">
        <w:trPr>
          <w:trHeight w:val="1100"/>
        </w:trPr>
        <w:tc>
          <w:tcPr>
            <w:tcW w:w="1555" w:type="dxa"/>
            <w:shd w:val="clear" w:color="auto" w:fill="auto"/>
            <w:vAlign w:val="center"/>
            <w:hideMark/>
          </w:tcPr>
          <w:p w14:paraId="45325350" w14:textId="77777777" w:rsidR="009E6E33" w:rsidRPr="003A138C" w:rsidRDefault="009E6E33" w:rsidP="009E6E33">
            <w:pPr>
              <w:rPr>
                <w:rFonts w:eastAsia="Times New Roman" w:cs="Calibri"/>
                <w:color w:val="000000"/>
                <w:sz w:val="18"/>
                <w:szCs w:val="18"/>
              </w:rPr>
            </w:pPr>
            <w:r w:rsidRPr="003A138C">
              <w:rPr>
                <w:rFonts w:eastAsia="Times New Roman" w:cs="Calibri"/>
                <w:color w:val="000000"/>
                <w:sz w:val="18"/>
                <w:szCs w:val="18"/>
              </w:rPr>
              <w:t>4B) Migliore gestione delle risorse idriche, compresa la gestione dei fertilizzanti e dei pesticidi</w:t>
            </w:r>
          </w:p>
        </w:tc>
        <w:tc>
          <w:tcPr>
            <w:tcW w:w="1559" w:type="dxa"/>
            <w:shd w:val="clear" w:color="auto" w:fill="auto"/>
            <w:vAlign w:val="center"/>
            <w:hideMark/>
          </w:tcPr>
          <w:p w14:paraId="36B2F30A" w14:textId="77777777" w:rsidR="009E6E33" w:rsidRPr="003A138C" w:rsidRDefault="009E6E33" w:rsidP="009E6E33">
            <w:pPr>
              <w:rPr>
                <w:rFonts w:eastAsia="Times New Roman" w:cs="Calibri"/>
                <w:color w:val="000000"/>
                <w:sz w:val="18"/>
                <w:szCs w:val="18"/>
              </w:rPr>
            </w:pPr>
            <w:r w:rsidRPr="003A138C">
              <w:rPr>
                <w:rFonts w:eastAsia="Times New Roman" w:cs="Calibri"/>
                <w:color w:val="000000"/>
                <w:sz w:val="18"/>
                <w:szCs w:val="18"/>
              </w:rPr>
              <w:t>T10: percentuale di terreni agricoli oggetto di contratti di gestione volti a migliorare la gestione idrica</w:t>
            </w:r>
          </w:p>
        </w:tc>
        <w:tc>
          <w:tcPr>
            <w:tcW w:w="1417" w:type="dxa"/>
            <w:shd w:val="clear" w:color="auto" w:fill="auto"/>
            <w:noWrap/>
            <w:vAlign w:val="center"/>
            <w:hideMark/>
          </w:tcPr>
          <w:p w14:paraId="0A228B58" w14:textId="77777777" w:rsidR="009E6E33" w:rsidRPr="003A138C" w:rsidRDefault="009E6E33" w:rsidP="009E6E33">
            <w:pPr>
              <w:jc w:val="center"/>
              <w:rPr>
                <w:rFonts w:eastAsia="Times New Roman" w:cs="Calibri"/>
                <w:color w:val="000000"/>
                <w:sz w:val="18"/>
                <w:szCs w:val="18"/>
              </w:rPr>
            </w:pPr>
            <w:r w:rsidRPr="003A138C">
              <w:rPr>
                <w:rFonts w:eastAsia="Times New Roman" w:cs="Calibri"/>
                <w:color w:val="000000"/>
                <w:sz w:val="18"/>
                <w:szCs w:val="18"/>
              </w:rPr>
              <w:t> </w:t>
            </w:r>
          </w:p>
        </w:tc>
        <w:tc>
          <w:tcPr>
            <w:tcW w:w="1134" w:type="dxa"/>
            <w:shd w:val="clear" w:color="auto" w:fill="auto"/>
            <w:noWrap/>
            <w:vAlign w:val="center"/>
            <w:hideMark/>
          </w:tcPr>
          <w:p w14:paraId="6A487819" w14:textId="77777777" w:rsidR="009E6E33" w:rsidRPr="003A138C" w:rsidRDefault="009E6E33" w:rsidP="009E6E33">
            <w:pPr>
              <w:jc w:val="center"/>
              <w:rPr>
                <w:rFonts w:eastAsia="Times New Roman" w:cs="Calibri"/>
                <w:color w:val="000000"/>
                <w:sz w:val="18"/>
                <w:szCs w:val="18"/>
              </w:rPr>
            </w:pPr>
            <w:r w:rsidRPr="003A138C">
              <w:rPr>
                <w:rFonts w:eastAsia="Times New Roman" w:cs="Calibri"/>
                <w:color w:val="000000"/>
                <w:sz w:val="18"/>
                <w:szCs w:val="18"/>
              </w:rPr>
              <w:t> </w:t>
            </w:r>
          </w:p>
        </w:tc>
        <w:tc>
          <w:tcPr>
            <w:tcW w:w="1418" w:type="dxa"/>
            <w:shd w:val="clear" w:color="auto" w:fill="F8943F" w:themeFill="accent6"/>
            <w:noWrap/>
            <w:vAlign w:val="center"/>
            <w:hideMark/>
          </w:tcPr>
          <w:p w14:paraId="79343BB5" w14:textId="77777777" w:rsidR="009E6E33" w:rsidRPr="003A138C" w:rsidRDefault="009E6E33" w:rsidP="009E6E33">
            <w:pPr>
              <w:jc w:val="center"/>
              <w:rPr>
                <w:rFonts w:eastAsia="Times New Roman" w:cs="Calibri"/>
                <w:color w:val="000000"/>
                <w:sz w:val="18"/>
                <w:szCs w:val="18"/>
              </w:rPr>
            </w:pPr>
            <w:r w:rsidRPr="003A138C">
              <w:rPr>
                <w:rFonts w:eastAsia="Times New Roman" w:cs="Calibri"/>
                <w:color w:val="000000"/>
                <w:sz w:val="18"/>
                <w:szCs w:val="18"/>
              </w:rPr>
              <w:t>2,72</w:t>
            </w:r>
          </w:p>
        </w:tc>
        <w:tc>
          <w:tcPr>
            <w:tcW w:w="1134" w:type="dxa"/>
            <w:shd w:val="clear" w:color="auto" w:fill="F8943F" w:themeFill="accent6"/>
            <w:noWrap/>
            <w:vAlign w:val="center"/>
            <w:hideMark/>
          </w:tcPr>
          <w:p w14:paraId="63E38CC8" w14:textId="3764A5F7" w:rsidR="009E6E33" w:rsidRPr="003A138C" w:rsidRDefault="009E6E33" w:rsidP="009E6E33">
            <w:pPr>
              <w:jc w:val="center"/>
              <w:rPr>
                <w:rFonts w:eastAsia="Times New Roman" w:cs="Calibri"/>
                <w:color w:val="000000"/>
                <w:sz w:val="18"/>
                <w:szCs w:val="18"/>
              </w:rPr>
            </w:pPr>
            <w:r w:rsidRPr="003A138C">
              <w:rPr>
                <w:rFonts w:eastAsia="Times New Roman" w:cs="Calibri"/>
                <w:color w:val="000000"/>
                <w:sz w:val="18"/>
                <w:szCs w:val="18"/>
              </w:rPr>
              <w:t>99,</w:t>
            </w:r>
            <w:r w:rsidR="00661EED">
              <w:rPr>
                <w:rFonts w:eastAsia="Times New Roman" w:cs="Calibri"/>
                <w:color w:val="000000"/>
                <w:sz w:val="18"/>
                <w:szCs w:val="18"/>
              </w:rPr>
              <w:t>27</w:t>
            </w:r>
          </w:p>
        </w:tc>
        <w:tc>
          <w:tcPr>
            <w:tcW w:w="1412" w:type="dxa"/>
            <w:shd w:val="clear" w:color="auto" w:fill="F8943F" w:themeFill="accent6"/>
            <w:noWrap/>
            <w:vAlign w:val="center"/>
            <w:hideMark/>
          </w:tcPr>
          <w:p w14:paraId="2B9CC294" w14:textId="77777777" w:rsidR="009E6E33" w:rsidRPr="003A138C" w:rsidRDefault="009E6E33" w:rsidP="009E6E33">
            <w:pPr>
              <w:jc w:val="center"/>
              <w:rPr>
                <w:rFonts w:eastAsia="Times New Roman" w:cs="Calibri"/>
                <w:color w:val="000000"/>
                <w:sz w:val="18"/>
                <w:szCs w:val="18"/>
              </w:rPr>
            </w:pPr>
            <w:r w:rsidRPr="003A138C">
              <w:rPr>
                <w:rFonts w:eastAsia="Times New Roman" w:cs="Calibri"/>
                <w:color w:val="000000"/>
                <w:sz w:val="18"/>
                <w:szCs w:val="18"/>
              </w:rPr>
              <w:t>2,74</w:t>
            </w:r>
          </w:p>
        </w:tc>
      </w:tr>
      <w:tr w:rsidR="009E6E33" w:rsidRPr="003A138C" w14:paraId="1F5349F0" w14:textId="77777777" w:rsidTr="009E6E33">
        <w:trPr>
          <w:trHeight w:val="1100"/>
        </w:trPr>
        <w:tc>
          <w:tcPr>
            <w:tcW w:w="1555" w:type="dxa"/>
            <w:shd w:val="clear" w:color="auto" w:fill="auto"/>
            <w:vAlign w:val="center"/>
            <w:hideMark/>
          </w:tcPr>
          <w:p w14:paraId="5E252C49" w14:textId="77777777" w:rsidR="009E6E33" w:rsidRPr="003A138C" w:rsidRDefault="009E6E33" w:rsidP="009E6E33">
            <w:pPr>
              <w:rPr>
                <w:rFonts w:eastAsia="Times New Roman" w:cs="Calibri"/>
                <w:color w:val="000000"/>
                <w:sz w:val="18"/>
                <w:szCs w:val="18"/>
              </w:rPr>
            </w:pPr>
            <w:r w:rsidRPr="003A138C">
              <w:rPr>
                <w:rFonts w:eastAsia="Times New Roman" w:cs="Calibri"/>
                <w:color w:val="000000"/>
                <w:sz w:val="18"/>
                <w:szCs w:val="18"/>
              </w:rPr>
              <w:t>4C) Prevenzione dell'erosione dei suoli e migliore gestione degli stessi</w:t>
            </w:r>
          </w:p>
        </w:tc>
        <w:tc>
          <w:tcPr>
            <w:tcW w:w="1559" w:type="dxa"/>
            <w:shd w:val="clear" w:color="auto" w:fill="auto"/>
            <w:vAlign w:val="center"/>
            <w:hideMark/>
          </w:tcPr>
          <w:p w14:paraId="5320D26C" w14:textId="77777777" w:rsidR="009E6E33" w:rsidRPr="003A138C" w:rsidRDefault="009E6E33" w:rsidP="009E6E33">
            <w:pPr>
              <w:rPr>
                <w:rFonts w:eastAsia="Times New Roman" w:cs="Calibri"/>
                <w:color w:val="000000"/>
                <w:sz w:val="18"/>
                <w:szCs w:val="18"/>
              </w:rPr>
            </w:pPr>
            <w:r w:rsidRPr="003A138C">
              <w:rPr>
                <w:rFonts w:eastAsia="Times New Roman" w:cs="Calibri"/>
                <w:color w:val="000000"/>
                <w:sz w:val="18"/>
                <w:szCs w:val="18"/>
              </w:rPr>
              <w:t>T9: percentuale di terreni agricoli oggetto di contratti di gestione a sostegno della biodiversità e/o dei paesaggi</w:t>
            </w:r>
          </w:p>
        </w:tc>
        <w:tc>
          <w:tcPr>
            <w:tcW w:w="1417" w:type="dxa"/>
            <w:shd w:val="clear" w:color="auto" w:fill="auto"/>
            <w:vAlign w:val="center"/>
            <w:hideMark/>
          </w:tcPr>
          <w:p w14:paraId="2D355446" w14:textId="77777777" w:rsidR="009E6E33" w:rsidRPr="003A138C" w:rsidRDefault="009E6E33" w:rsidP="009E6E33">
            <w:pPr>
              <w:jc w:val="center"/>
              <w:rPr>
                <w:rFonts w:eastAsia="Times New Roman" w:cs="Calibri"/>
                <w:color w:val="000000"/>
                <w:sz w:val="18"/>
                <w:szCs w:val="18"/>
              </w:rPr>
            </w:pPr>
            <w:r w:rsidRPr="003A138C">
              <w:rPr>
                <w:rFonts w:eastAsia="Times New Roman" w:cs="Calibri"/>
                <w:color w:val="000000"/>
                <w:sz w:val="18"/>
                <w:szCs w:val="18"/>
              </w:rPr>
              <w:t> </w:t>
            </w:r>
          </w:p>
        </w:tc>
        <w:tc>
          <w:tcPr>
            <w:tcW w:w="1134" w:type="dxa"/>
            <w:shd w:val="clear" w:color="auto" w:fill="auto"/>
            <w:noWrap/>
            <w:vAlign w:val="center"/>
            <w:hideMark/>
          </w:tcPr>
          <w:p w14:paraId="71EECF81" w14:textId="77777777" w:rsidR="009E6E33" w:rsidRPr="003A138C" w:rsidRDefault="009E6E33" w:rsidP="009E6E33">
            <w:pPr>
              <w:jc w:val="center"/>
              <w:rPr>
                <w:rFonts w:eastAsia="Times New Roman" w:cs="Calibri"/>
                <w:color w:val="000000"/>
                <w:sz w:val="18"/>
                <w:szCs w:val="18"/>
              </w:rPr>
            </w:pPr>
            <w:r w:rsidRPr="003A138C">
              <w:rPr>
                <w:rFonts w:eastAsia="Times New Roman" w:cs="Calibri"/>
                <w:color w:val="000000"/>
                <w:sz w:val="18"/>
                <w:szCs w:val="18"/>
              </w:rPr>
              <w:t> </w:t>
            </w:r>
          </w:p>
        </w:tc>
        <w:tc>
          <w:tcPr>
            <w:tcW w:w="1418" w:type="dxa"/>
            <w:shd w:val="clear" w:color="auto" w:fill="F8943F" w:themeFill="accent6"/>
            <w:noWrap/>
            <w:vAlign w:val="center"/>
            <w:hideMark/>
          </w:tcPr>
          <w:p w14:paraId="719B6C0A" w14:textId="77777777" w:rsidR="009E6E33" w:rsidRPr="003A138C" w:rsidRDefault="009E6E33" w:rsidP="009E6E33">
            <w:pPr>
              <w:jc w:val="center"/>
              <w:rPr>
                <w:rFonts w:eastAsia="Times New Roman" w:cs="Calibri"/>
                <w:color w:val="000000"/>
                <w:sz w:val="18"/>
                <w:szCs w:val="18"/>
              </w:rPr>
            </w:pPr>
            <w:r w:rsidRPr="003A138C">
              <w:rPr>
                <w:rFonts w:eastAsia="Times New Roman" w:cs="Calibri"/>
                <w:color w:val="000000"/>
                <w:sz w:val="18"/>
                <w:szCs w:val="18"/>
              </w:rPr>
              <w:t>11,65</w:t>
            </w:r>
          </w:p>
        </w:tc>
        <w:tc>
          <w:tcPr>
            <w:tcW w:w="1134" w:type="dxa"/>
            <w:shd w:val="clear" w:color="auto" w:fill="F8943F" w:themeFill="accent6"/>
            <w:noWrap/>
            <w:vAlign w:val="center"/>
            <w:hideMark/>
          </w:tcPr>
          <w:p w14:paraId="728CB64A" w14:textId="2B3FD444" w:rsidR="009E6E33" w:rsidRPr="003A138C" w:rsidRDefault="009E6E33" w:rsidP="009E6E33">
            <w:pPr>
              <w:jc w:val="center"/>
              <w:rPr>
                <w:rFonts w:eastAsia="Times New Roman" w:cs="Calibri"/>
                <w:color w:val="000000"/>
                <w:sz w:val="18"/>
                <w:szCs w:val="18"/>
              </w:rPr>
            </w:pPr>
            <w:r w:rsidRPr="003A138C">
              <w:rPr>
                <w:rFonts w:eastAsia="Times New Roman" w:cs="Calibri"/>
                <w:color w:val="000000"/>
                <w:sz w:val="18"/>
                <w:szCs w:val="18"/>
              </w:rPr>
              <w:t>217,</w:t>
            </w:r>
            <w:r w:rsidR="00661EED">
              <w:rPr>
                <w:rFonts w:eastAsia="Times New Roman" w:cs="Calibri"/>
                <w:color w:val="000000"/>
                <w:sz w:val="18"/>
                <w:szCs w:val="18"/>
              </w:rPr>
              <w:t>3</w:t>
            </w:r>
            <w:r w:rsidRPr="003A138C">
              <w:rPr>
                <w:rFonts w:eastAsia="Times New Roman" w:cs="Calibri"/>
                <w:color w:val="000000"/>
                <w:sz w:val="18"/>
                <w:szCs w:val="18"/>
              </w:rPr>
              <w:t>5</w:t>
            </w:r>
          </w:p>
        </w:tc>
        <w:tc>
          <w:tcPr>
            <w:tcW w:w="1412" w:type="dxa"/>
            <w:shd w:val="clear" w:color="auto" w:fill="F8943F" w:themeFill="accent6"/>
            <w:noWrap/>
            <w:vAlign w:val="center"/>
            <w:hideMark/>
          </w:tcPr>
          <w:p w14:paraId="1B3A1C10" w14:textId="77777777" w:rsidR="009E6E33" w:rsidRPr="003A138C" w:rsidRDefault="009E6E33" w:rsidP="009E6E33">
            <w:pPr>
              <w:jc w:val="center"/>
              <w:rPr>
                <w:rFonts w:eastAsia="Times New Roman" w:cs="Calibri"/>
                <w:color w:val="000000"/>
                <w:sz w:val="18"/>
                <w:szCs w:val="18"/>
              </w:rPr>
            </w:pPr>
            <w:r w:rsidRPr="003A138C">
              <w:rPr>
                <w:rFonts w:eastAsia="Times New Roman" w:cs="Calibri"/>
                <w:color w:val="000000"/>
                <w:sz w:val="18"/>
                <w:szCs w:val="18"/>
              </w:rPr>
              <w:t>5,36</w:t>
            </w:r>
          </w:p>
        </w:tc>
      </w:tr>
      <w:tr w:rsidR="009E6E33" w:rsidRPr="003A138C" w14:paraId="571C4F4C" w14:textId="77777777" w:rsidTr="009E6E33">
        <w:trPr>
          <w:trHeight w:val="60"/>
        </w:trPr>
        <w:tc>
          <w:tcPr>
            <w:tcW w:w="1555" w:type="dxa"/>
            <w:shd w:val="clear" w:color="auto" w:fill="auto"/>
            <w:noWrap/>
            <w:vAlign w:val="center"/>
            <w:hideMark/>
          </w:tcPr>
          <w:p w14:paraId="59483189" w14:textId="77777777" w:rsidR="009E6E33" w:rsidRPr="003A138C" w:rsidRDefault="009E6E33" w:rsidP="009E6E33">
            <w:pPr>
              <w:rPr>
                <w:rFonts w:eastAsia="Times New Roman" w:cs="Calibri"/>
                <w:color w:val="000000"/>
                <w:sz w:val="18"/>
                <w:szCs w:val="18"/>
              </w:rPr>
            </w:pPr>
            <w:r w:rsidRPr="003A138C">
              <w:rPr>
                <w:rFonts w:eastAsia="Times New Roman" w:cs="Calibri"/>
                <w:color w:val="000000"/>
                <w:sz w:val="18"/>
                <w:szCs w:val="18"/>
              </w:rPr>
              <w:t>M1</w:t>
            </w:r>
          </w:p>
        </w:tc>
        <w:tc>
          <w:tcPr>
            <w:tcW w:w="1559" w:type="dxa"/>
            <w:vMerge w:val="restart"/>
            <w:shd w:val="clear" w:color="auto" w:fill="auto"/>
            <w:vAlign w:val="center"/>
            <w:hideMark/>
          </w:tcPr>
          <w:p w14:paraId="41A13B32" w14:textId="77777777" w:rsidR="009E6E33" w:rsidRPr="003A138C" w:rsidRDefault="009E6E33" w:rsidP="009E6E33">
            <w:pPr>
              <w:jc w:val="left"/>
              <w:rPr>
                <w:rFonts w:eastAsia="Times New Roman" w:cs="Calibri"/>
                <w:color w:val="000000"/>
                <w:sz w:val="18"/>
                <w:szCs w:val="18"/>
              </w:rPr>
            </w:pPr>
            <w:r w:rsidRPr="003A138C">
              <w:rPr>
                <w:rFonts w:eastAsia="Times New Roman" w:cs="Calibri"/>
                <w:color w:val="000000"/>
                <w:sz w:val="18"/>
                <w:szCs w:val="18"/>
              </w:rPr>
              <w:t>O1 - Spesa pubblica totale</w:t>
            </w:r>
          </w:p>
        </w:tc>
        <w:tc>
          <w:tcPr>
            <w:tcW w:w="1417" w:type="dxa"/>
            <w:shd w:val="clear" w:color="auto" w:fill="auto"/>
            <w:vAlign w:val="center"/>
            <w:hideMark/>
          </w:tcPr>
          <w:p w14:paraId="6168D29E"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1.611.745,28</w:t>
            </w:r>
          </w:p>
        </w:tc>
        <w:tc>
          <w:tcPr>
            <w:tcW w:w="1134" w:type="dxa"/>
            <w:shd w:val="clear" w:color="auto" w:fill="auto"/>
            <w:vAlign w:val="center"/>
            <w:hideMark/>
          </w:tcPr>
          <w:p w14:paraId="0D64CEFE"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268,62</w:t>
            </w:r>
          </w:p>
        </w:tc>
        <w:tc>
          <w:tcPr>
            <w:tcW w:w="1418" w:type="dxa"/>
            <w:shd w:val="clear" w:color="auto" w:fill="auto"/>
            <w:vAlign w:val="center"/>
            <w:hideMark/>
          </w:tcPr>
          <w:p w14:paraId="6F65A6B6"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292.305,85</w:t>
            </w:r>
          </w:p>
        </w:tc>
        <w:tc>
          <w:tcPr>
            <w:tcW w:w="1134" w:type="dxa"/>
            <w:shd w:val="clear" w:color="auto" w:fill="auto"/>
            <w:vAlign w:val="center"/>
            <w:hideMark/>
          </w:tcPr>
          <w:p w14:paraId="29B9760D"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48,72</w:t>
            </w:r>
          </w:p>
        </w:tc>
        <w:tc>
          <w:tcPr>
            <w:tcW w:w="1412" w:type="dxa"/>
            <w:shd w:val="clear" w:color="auto" w:fill="auto"/>
            <w:noWrap/>
            <w:vAlign w:val="center"/>
            <w:hideMark/>
          </w:tcPr>
          <w:p w14:paraId="4AF293C8"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600.000,00</w:t>
            </w:r>
          </w:p>
        </w:tc>
      </w:tr>
      <w:tr w:rsidR="009E6E33" w:rsidRPr="003A138C" w14:paraId="0554B65C" w14:textId="77777777" w:rsidTr="009E6E33">
        <w:trPr>
          <w:trHeight w:val="60"/>
        </w:trPr>
        <w:tc>
          <w:tcPr>
            <w:tcW w:w="1555" w:type="dxa"/>
            <w:shd w:val="clear" w:color="auto" w:fill="auto"/>
            <w:noWrap/>
            <w:vAlign w:val="center"/>
            <w:hideMark/>
          </w:tcPr>
          <w:p w14:paraId="741B092C" w14:textId="77777777" w:rsidR="009E6E33" w:rsidRPr="003A138C" w:rsidRDefault="009E6E33" w:rsidP="009E6E33">
            <w:pPr>
              <w:rPr>
                <w:rFonts w:eastAsia="Times New Roman" w:cs="Calibri"/>
                <w:color w:val="000000"/>
                <w:sz w:val="18"/>
                <w:szCs w:val="18"/>
              </w:rPr>
            </w:pPr>
            <w:r w:rsidRPr="003A138C">
              <w:rPr>
                <w:rFonts w:eastAsia="Times New Roman" w:cs="Calibri"/>
                <w:color w:val="000000"/>
                <w:sz w:val="18"/>
                <w:szCs w:val="18"/>
              </w:rPr>
              <w:t>M2</w:t>
            </w:r>
          </w:p>
        </w:tc>
        <w:tc>
          <w:tcPr>
            <w:tcW w:w="1559" w:type="dxa"/>
            <w:vMerge/>
            <w:shd w:val="clear" w:color="auto" w:fill="auto"/>
            <w:vAlign w:val="center"/>
            <w:hideMark/>
          </w:tcPr>
          <w:p w14:paraId="4C3BD2C5" w14:textId="77777777" w:rsidR="009E6E33" w:rsidRPr="003A138C" w:rsidRDefault="009E6E33" w:rsidP="009E6E33">
            <w:pPr>
              <w:jc w:val="left"/>
              <w:rPr>
                <w:rFonts w:eastAsia="Times New Roman" w:cs="Calibri"/>
                <w:color w:val="000000"/>
                <w:sz w:val="18"/>
                <w:szCs w:val="18"/>
              </w:rPr>
            </w:pPr>
          </w:p>
        </w:tc>
        <w:tc>
          <w:tcPr>
            <w:tcW w:w="1417" w:type="dxa"/>
            <w:shd w:val="clear" w:color="auto" w:fill="auto"/>
            <w:vAlign w:val="center"/>
            <w:hideMark/>
          </w:tcPr>
          <w:p w14:paraId="2E11BE16"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544.061,57</w:t>
            </w:r>
          </w:p>
        </w:tc>
        <w:tc>
          <w:tcPr>
            <w:tcW w:w="1134" w:type="dxa"/>
            <w:shd w:val="clear" w:color="auto" w:fill="auto"/>
            <w:vAlign w:val="center"/>
            <w:hideMark/>
          </w:tcPr>
          <w:p w14:paraId="79B628C2"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136,02</w:t>
            </w:r>
          </w:p>
        </w:tc>
        <w:tc>
          <w:tcPr>
            <w:tcW w:w="1418" w:type="dxa"/>
            <w:shd w:val="clear" w:color="auto" w:fill="auto"/>
            <w:noWrap/>
            <w:vAlign w:val="center"/>
            <w:hideMark/>
          </w:tcPr>
          <w:p w14:paraId="5C46815A"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 </w:t>
            </w:r>
          </w:p>
        </w:tc>
        <w:tc>
          <w:tcPr>
            <w:tcW w:w="1134" w:type="dxa"/>
            <w:shd w:val="clear" w:color="auto" w:fill="auto"/>
            <w:noWrap/>
            <w:vAlign w:val="center"/>
            <w:hideMark/>
          </w:tcPr>
          <w:p w14:paraId="17DD42AC"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 </w:t>
            </w:r>
          </w:p>
        </w:tc>
        <w:tc>
          <w:tcPr>
            <w:tcW w:w="1412" w:type="dxa"/>
            <w:shd w:val="clear" w:color="auto" w:fill="auto"/>
            <w:noWrap/>
            <w:vAlign w:val="center"/>
            <w:hideMark/>
          </w:tcPr>
          <w:p w14:paraId="1E538652"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400.000,00</w:t>
            </w:r>
          </w:p>
        </w:tc>
      </w:tr>
      <w:tr w:rsidR="009E6E33" w:rsidRPr="003A138C" w14:paraId="1524CB46" w14:textId="77777777" w:rsidTr="009E6E33">
        <w:trPr>
          <w:trHeight w:val="60"/>
        </w:trPr>
        <w:tc>
          <w:tcPr>
            <w:tcW w:w="1555" w:type="dxa"/>
            <w:shd w:val="clear" w:color="auto" w:fill="auto"/>
            <w:noWrap/>
            <w:vAlign w:val="center"/>
            <w:hideMark/>
          </w:tcPr>
          <w:p w14:paraId="1DE48E3D" w14:textId="77777777" w:rsidR="009E6E33" w:rsidRPr="003A138C" w:rsidRDefault="009E6E33" w:rsidP="009E6E33">
            <w:pPr>
              <w:rPr>
                <w:rFonts w:eastAsia="Times New Roman" w:cs="Calibri"/>
                <w:color w:val="000000"/>
                <w:sz w:val="18"/>
                <w:szCs w:val="18"/>
              </w:rPr>
            </w:pPr>
            <w:r w:rsidRPr="003A138C">
              <w:rPr>
                <w:rFonts w:eastAsia="Times New Roman" w:cs="Calibri"/>
                <w:color w:val="000000"/>
                <w:sz w:val="18"/>
                <w:szCs w:val="18"/>
              </w:rPr>
              <w:t>M4</w:t>
            </w:r>
          </w:p>
        </w:tc>
        <w:tc>
          <w:tcPr>
            <w:tcW w:w="1559" w:type="dxa"/>
            <w:vMerge/>
            <w:shd w:val="clear" w:color="auto" w:fill="auto"/>
            <w:vAlign w:val="center"/>
            <w:hideMark/>
          </w:tcPr>
          <w:p w14:paraId="64317115" w14:textId="77777777" w:rsidR="009E6E33" w:rsidRPr="003A138C" w:rsidRDefault="009E6E33" w:rsidP="009E6E33">
            <w:pPr>
              <w:jc w:val="left"/>
              <w:rPr>
                <w:rFonts w:eastAsia="Times New Roman" w:cs="Calibri"/>
                <w:color w:val="000000"/>
                <w:sz w:val="18"/>
                <w:szCs w:val="18"/>
              </w:rPr>
            </w:pPr>
          </w:p>
        </w:tc>
        <w:tc>
          <w:tcPr>
            <w:tcW w:w="1417" w:type="dxa"/>
            <w:shd w:val="clear" w:color="auto" w:fill="auto"/>
            <w:vAlign w:val="center"/>
            <w:hideMark/>
          </w:tcPr>
          <w:p w14:paraId="57CC11F0"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7.762.163,99</w:t>
            </w:r>
          </w:p>
        </w:tc>
        <w:tc>
          <w:tcPr>
            <w:tcW w:w="1134" w:type="dxa"/>
            <w:shd w:val="clear" w:color="auto" w:fill="auto"/>
            <w:vAlign w:val="center"/>
            <w:hideMark/>
          </w:tcPr>
          <w:p w14:paraId="4AD8FFD3"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95,83</w:t>
            </w:r>
          </w:p>
        </w:tc>
        <w:tc>
          <w:tcPr>
            <w:tcW w:w="1418" w:type="dxa"/>
            <w:shd w:val="clear" w:color="auto" w:fill="auto"/>
            <w:vAlign w:val="center"/>
            <w:hideMark/>
          </w:tcPr>
          <w:p w14:paraId="01DB211D"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1.801.236,37</w:t>
            </w:r>
          </w:p>
        </w:tc>
        <w:tc>
          <w:tcPr>
            <w:tcW w:w="1134" w:type="dxa"/>
            <w:shd w:val="clear" w:color="auto" w:fill="auto"/>
            <w:vAlign w:val="center"/>
            <w:hideMark/>
          </w:tcPr>
          <w:p w14:paraId="4E9218BF"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22,24</w:t>
            </w:r>
          </w:p>
        </w:tc>
        <w:tc>
          <w:tcPr>
            <w:tcW w:w="1412" w:type="dxa"/>
            <w:shd w:val="clear" w:color="auto" w:fill="auto"/>
            <w:noWrap/>
            <w:vAlign w:val="center"/>
            <w:hideMark/>
          </w:tcPr>
          <w:p w14:paraId="55CC2E9B"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8.100.000,00</w:t>
            </w:r>
          </w:p>
        </w:tc>
      </w:tr>
      <w:tr w:rsidR="009E6E33" w:rsidRPr="003A138C" w14:paraId="01ABD72F" w14:textId="77777777" w:rsidTr="009E6E33">
        <w:trPr>
          <w:trHeight w:val="60"/>
        </w:trPr>
        <w:tc>
          <w:tcPr>
            <w:tcW w:w="1555" w:type="dxa"/>
            <w:shd w:val="clear" w:color="auto" w:fill="auto"/>
            <w:noWrap/>
            <w:vAlign w:val="center"/>
            <w:hideMark/>
          </w:tcPr>
          <w:p w14:paraId="3F970389" w14:textId="77777777" w:rsidR="009E6E33" w:rsidRPr="003A138C" w:rsidRDefault="009E6E33" w:rsidP="009E6E33">
            <w:pPr>
              <w:rPr>
                <w:rFonts w:eastAsia="Times New Roman" w:cs="Calibri"/>
                <w:color w:val="000000"/>
                <w:sz w:val="18"/>
                <w:szCs w:val="18"/>
              </w:rPr>
            </w:pPr>
            <w:r w:rsidRPr="003A138C">
              <w:rPr>
                <w:rFonts w:eastAsia="Times New Roman" w:cs="Calibri"/>
                <w:color w:val="000000"/>
                <w:sz w:val="18"/>
                <w:szCs w:val="18"/>
              </w:rPr>
              <w:t>M8</w:t>
            </w:r>
          </w:p>
        </w:tc>
        <w:tc>
          <w:tcPr>
            <w:tcW w:w="1559" w:type="dxa"/>
            <w:vMerge/>
            <w:shd w:val="clear" w:color="auto" w:fill="auto"/>
            <w:vAlign w:val="center"/>
            <w:hideMark/>
          </w:tcPr>
          <w:p w14:paraId="1F6F8712" w14:textId="77777777" w:rsidR="009E6E33" w:rsidRPr="003A138C" w:rsidRDefault="009E6E33" w:rsidP="009E6E33">
            <w:pPr>
              <w:jc w:val="left"/>
              <w:rPr>
                <w:rFonts w:eastAsia="Times New Roman" w:cs="Calibri"/>
                <w:color w:val="000000"/>
                <w:sz w:val="18"/>
                <w:szCs w:val="18"/>
              </w:rPr>
            </w:pPr>
          </w:p>
        </w:tc>
        <w:tc>
          <w:tcPr>
            <w:tcW w:w="1417" w:type="dxa"/>
            <w:shd w:val="clear" w:color="auto" w:fill="auto"/>
            <w:vAlign w:val="center"/>
            <w:hideMark/>
          </w:tcPr>
          <w:p w14:paraId="149D9163"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26.422.167,67</w:t>
            </w:r>
          </w:p>
        </w:tc>
        <w:tc>
          <w:tcPr>
            <w:tcW w:w="1134" w:type="dxa"/>
            <w:shd w:val="clear" w:color="auto" w:fill="auto"/>
            <w:vAlign w:val="center"/>
            <w:hideMark/>
          </w:tcPr>
          <w:p w14:paraId="7BDF4041"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62,91</w:t>
            </w:r>
          </w:p>
        </w:tc>
        <w:tc>
          <w:tcPr>
            <w:tcW w:w="1418" w:type="dxa"/>
            <w:shd w:val="clear" w:color="auto" w:fill="auto"/>
            <w:vAlign w:val="center"/>
            <w:hideMark/>
          </w:tcPr>
          <w:p w14:paraId="3EB0EDC8"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4.617.543,72</w:t>
            </w:r>
          </w:p>
        </w:tc>
        <w:tc>
          <w:tcPr>
            <w:tcW w:w="1134" w:type="dxa"/>
            <w:shd w:val="clear" w:color="auto" w:fill="auto"/>
            <w:vAlign w:val="center"/>
            <w:hideMark/>
          </w:tcPr>
          <w:p w14:paraId="249EE85A"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10,99</w:t>
            </w:r>
          </w:p>
        </w:tc>
        <w:tc>
          <w:tcPr>
            <w:tcW w:w="1412" w:type="dxa"/>
            <w:shd w:val="clear" w:color="auto" w:fill="auto"/>
            <w:noWrap/>
            <w:vAlign w:val="center"/>
            <w:hideMark/>
          </w:tcPr>
          <w:p w14:paraId="7F447E3D"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42.000.000,00</w:t>
            </w:r>
          </w:p>
        </w:tc>
      </w:tr>
      <w:tr w:rsidR="009E6E33" w:rsidRPr="003A138C" w14:paraId="070B9DBE" w14:textId="77777777" w:rsidTr="009E6E33">
        <w:trPr>
          <w:trHeight w:val="60"/>
        </w:trPr>
        <w:tc>
          <w:tcPr>
            <w:tcW w:w="1555" w:type="dxa"/>
            <w:shd w:val="clear" w:color="auto" w:fill="auto"/>
            <w:noWrap/>
            <w:vAlign w:val="center"/>
            <w:hideMark/>
          </w:tcPr>
          <w:p w14:paraId="386AE4A4" w14:textId="77777777" w:rsidR="009E6E33" w:rsidRPr="003A138C" w:rsidRDefault="009E6E33" w:rsidP="009E6E33">
            <w:pPr>
              <w:rPr>
                <w:rFonts w:eastAsia="Times New Roman" w:cs="Calibri"/>
                <w:color w:val="000000"/>
                <w:sz w:val="18"/>
                <w:szCs w:val="18"/>
              </w:rPr>
            </w:pPr>
            <w:r w:rsidRPr="003A138C">
              <w:rPr>
                <w:rFonts w:eastAsia="Times New Roman" w:cs="Calibri"/>
                <w:color w:val="000000"/>
                <w:sz w:val="18"/>
                <w:szCs w:val="18"/>
              </w:rPr>
              <w:t>M10</w:t>
            </w:r>
          </w:p>
        </w:tc>
        <w:tc>
          <w:tcPr>
            <w:tcW w:w="1559" w:type="dxa"/>
            <w:vMerge/>
            <w:shd w:val="clear" w:color="auto" w:fill="auto"/>
            <w:vAlign w:val="center"/>
            <w:hideMark/>
          </w:tcPr>
          <w:p w14:paraId="77D234C1" w14:textId="77777777" w:rsidR="009E6E33" w:rsidRPr="003A138C" w:rsidRDefault="009E6E33" w:rsidP="009E6E33">
            <w:pPr>
              <w:jc w:val="left"/>
              <w:rPr>
                <w:rFonts w:eastAsia="Times New Roman" w:cs="Calibri"/>
                <w:color w:val="000000"/>
                <w:sz w:val="18"/>
                <w:szCs w:val="18"/>
              </w:rPr>
            </w:pPr>
          </w:p>
        </w:tc>
        <w:tc>
          <w:tcPr>
            <w:tcW w:w="1417" w:type="dxa"/>
            <w:shd w:val="clear" w:color="auto" w:fill="auto"/>
            <w:vAlign w:val="center"/>
            <w:hideMark/>
          </w:tcPr>
          <w:p w14:paraId="563EC467"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135.016.865,92</w:t>
            </w:r>
          </w:p>
        </w:tc>
        <w:tc>
          <w:tcPr>
            <w:tcW w:w="1134" w:type="dxa"/>
            <w:shd w:val="clear" w:color="auto" w:fill="auto"/>
            <w:vAlign w:val="center"/>
            <w:hideMark/>
          </w:tcPr>
          <w:p w14:paraId="410179A9"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91,91</w:t>
            </w:r>
          </w:p>
        </w:tc>
        <w:tc>
          <w:tcPr>
            <w:tcW w:w="1418" w:type="dxa"/>
            <w:shd w:val="clear" w:color="auto" w:fill="auto"/>
            <w:vAlign w:val="center"/>
            <w:hideMark/>
          </w:tcPr>
          <w:p w14:paraId="70A524DA" w14:textId="1C44F733" w:rsidR="009E6E33" w:rsidRPr="003A138C" w:rsidRDefault="00CE5BCF" w:rsidP="009E6E33">
            <w:pPr>
              <w:jc w:val="right"/>
              <w:rPr>
                <w:rFonts w:eastAsia="Times New Roman" w:cs="Calibri"/>
                <w:color w:val="000000"/>
                <w:sz w:val="18"/>
                <w:szCs w:val="18"/>
              </w:rPr>
            </w:pPr>
            <w:r w:rsidRPr="00CE5BCF">
              <w:rPr>
                <w:rFonts w:eastAsia="Times New Roman" w:cs="Calibri"/>
                <w:color w:val="000000"/>
                <w:sz w:val="18"/>
                <w:szCs w:val="18"/>
              </w:rPr>
              <w:t>117.627.856,15</w:t>
            </w:r>
          </w:p>
        </w:tc>
        <w:tc>
          <w:tcPr>
            <w:tcW w:w="1134" w:type="dxa"/>
            <w:shd w:val="clear" w:color="auto" w:fill="auto"/>
            <w:vAlign w:val="center"/>
            <w:hideMark/>
          </w:tcPr>
          <w:p w14:paraId="0A83C4F2" w14:textId="5E88A1EF" w:rsidR="009E6E33" w:rsidRPr="003A138C" w:rsidRDefault="00CE5BCF" w:rsidP="00CE5BCF">
            <w:pPr>
              <w:jc w:val="right"/>
              <w:rPr>
                <w:rFonts w:eastAsia="Times New Roman" w:cs="Calibri"/>
                <w:color w:val="000000"/>
                <w:sz w:val="18"/>
                <w:szCs w:val="18"/>
              </w:rPr>
            </w:pPr>
            <w:r w:rsidRPr="00CE5BCF">
              <w:rPr>
                <w:rFonts w:eastAsia="Times New Roman" w:cs="Calibri"/>
                <w:color w:val="000000"/>
                <w:sz w:val="18"/>
                <w:szCs w:val="18"/>
              </w:rPr>
              <w:t>80,07</w:t>
            </w:r>
          </w:p>
        </w:tc>
        <w:tc>
          <w:tcPr>
            <w:tcW w:w="1412" w:type="dxa"/>
            <w:shd w:val="clear" w:color="auto" w:fill="auto"/>
            <w:noWrap/>
            <w:vAlign w:val="center"/>
            <w:hideMark/>
          </w:tcPr>
          <w:p w14:paraId="7C27343A"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146.900.000,00</w:t>
            </w:r>
          </w:p>
        </w:tc>
      </w:tr>
      <w:tr w:rsidR="009E6E33" w:rsidRPr="003A138C" w14:paraId="429E24AD" w14:textId="77777777" w:rsidTr="009E6E33">
        <w:trPr>
          <w:trHeight w:val="60"/>
        </w:trPr>
        <w:tc>
          <w:tcPr>
            <w:tcW w:w="1555" w:type="dxa"/>
            <w:shd w:val="clear" w:color="auto" w:fill="auto"/>
            <w:noWrap/>
            <w:vAlign w:val="center"/>
            <w:hideMark/>
          </w:tcPr>
          <w:p w14:paraId="63AF417C" w14:textId="77777777" w:rsidR="009E6E33" w:rsidRPr="003A138C" w:rsidRDefault="009E6E33" w:rsidP="009E6E33">
            <w:pPr>
              <w:rPr>
                <w:rFonts w:eastAsia="Times New Roman" w:cs="Calibri"/>
                <w:color w:val="000000"/>
                <w:sz w:val="18"/>
                <w:szCs w:val="18"/>
              </w:rPr>
            </w:pPr>
            <w:r w:rsidRPr="003A138C">
              <w:rPr>
                <w:rFonts w:eastAsia="Times New Roman" w:cs="Calibri"/>
                <w:color w:val="000000"/>
                <w:sz w:val="18"/>
                <w:szCs w:val="18"/>
              </w:rPr>
              <w:t>M11</w:t>
            </w:r>
          </w:p>
        </w:tc>
        <w:tc>
          <w:tcPr>
            <w:tcW w:w="1559" w:type="dxa"/>
            <w:vMerge/>
            <w:shd w:val="clear" w:color="auto" w:fill="auto"/>
            <w:vAlign w:val="center"/>
            <w:hideMark/>
          </w:tcPr>
          <w:p w14:paraId="55702C7B" w14:textId="77777777" w:rsidR="009E6E33" w:rsidRPr="003A138C" w:rsidRDefault="009E6E33" w:rsidP="009E6E33">
            <w:pPr>
              <w:jc w:val="left"/>
              <w:rPr>
                <w:rFonts w:eastAsia="Times New Roman" w:cs="Calibri"/>
                <w:color w:val="000000"/>
                <w:sz w:val="18"/>
                <w:szCs w:val="18"/>
              </w:rPr>
            </w:pPr>
          </w:p>
        </w:tc>
        <w:tc>
          <w:tcPr>
            <w:tcW w:w="1417" w:type="dxa"/>
            <w:shd w:val="clear" w:color="auto" w:fill="auto"/>
            <w:vAlign w:val="center"/>
            <w:hideMark/>
          </w:tcPr>
          <w:p w14:paraId="4B673CE1"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61.524.398,40</w:t>
            </w:r>
          </w:p>
        </w:tc>
        <w:tc>
          <w:tcPr>
            <w:tcW w:w="1134" w:type="dxa"/>
            <w:shd w:val="clear" w:color="auto" w:fill="auto"/>
            <w:vAlign w:val="center"/>
            <w:hideMark/>
          </w:tcPr>
          <w:p w14:paraId="5297678B"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136,72</w:t>
            </w:r>
          </w:p>
        </w:tc>
        <w:tc>
          <w:tcPr>
            <w:tcW w:w="1418" w:type="dxa"/>
            <w:shd w:val="clear" w:color="auto" w:fill="auto"/>
            <w:vAlign w:val="center"/>
            <w:hideMark/>
          </w:tcPr>
          <w:p w14:paraId="156C173D"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52.577.482,29</w:t>
            </w:r>
          </w:p>
        </w:tc>
        <w:tc>
          <w:tcPr>
            <w:tcW w:w="1134" w:type="dxa"/>
            <w:shd w:val="clear" w:color="auto" w:fill="F8943F" w:themeFill="accent6"/>
            <w:vAlign w:val="center"/>
            <w:hideMark/>
          </w:tcPr>
          <w:p w14:paraId="6EC44D88"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116,84</w:t>
            </w:r>
          </w:p>
        </w:tc>
        <w:tc>
          <w:tcPr>
            <w:tcW w:w="1412" w:type="dxa"/>
            <w:shd w:val="clear" w:color="auto" w:fill="auto"/>
            <w:noWrap/>
            <w:vAlign w:val="center"/>
            <w:hideMark/>
          </w:tcPr>
          <w:p w14:paraId="7BDF5A75"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45.000.000,00</w:t>
            </w:r>
          </w:p>
        </w:tc>
      </w:tr>
      <w:tr w:rsidR="009E6E33" w:rsidRPr="003A138C" w14:paraId="79632C9D" w14:textId="77777777" w:rsidTr="009E6E33">
        <w:trPr>
          <w:trHeight w:val="60"/>
        </w:trPr>
        <w:tc>
          <w:tcPr>
            <w:tcW w:w="1555" w:type="dxa"/>
            <w:shd w:val="clear" w:color="auto" w:fill="auto"/>
            <w:noWrap/>
            <w:vAlign w:val="center"/>
            <w:hideMark/>
          </w:tcPr>
          <w:p w14:paraId="47F1E986" w14:textId="77777777" w:rsidR="009E6E33" w:rsidRPr="003A138C" w:rsidRDefault="009E6E33" w:rsidP="009E6E33">
            <w:pPr>
              <w:rPr>
                <w:rFonts w:eastAsia="Times New Roman" w:cs="Calibri"/>
                <w:color w:val="000000"/>
                <w:sz w:val="18"/>
                <w:szCs w:val="18"/>
              </w:rPr>
            </w:pPr>
            <w:r w:rsidRPr="003A138C">
              <w:rPr>
                <w:rFonts w:eastAsia="Times New Roman" w:cs="Calibri"/>
                <w:color w:val="000000"/>
                <w:sz w:val="18"/>
                <w:szCs w:val="18"/>
              </w:rPr>
              <w:t>M12</w:t>
            </w:r>
          </w:p>
        </w:tc>
        <w:tc>
          <w:tcPr>
            <w:tcW w:w="1559" w:type="dxa"/>
            <w:vMerge/>
            <w:shd w:val="clear" w:color="auto" w:fill="auto"/>
            <w:vAlign w:val="center"/>
            <w:hideMark/>
          </w:tcPr>
          <w:p w14:paraId="26988A01" w14:textId="77777777" w:rsidR="009E6E33" w:rsidRPr="003A138C" w:rsidRDefault="009E6E33" w:rsidP="009E6E33">
            <w:pPr>
              <w:jc w:val="left"/>
              <w:rPr>
                <w:rFonts w:eastAsia="Times New Roman" w:cs="Calibri"/>
                <w:color w:val="000000"/>
                <w:sz w:val="18"/>
                <w:szCs w:val="18"/>
              </w:rPr>
            </w:pPr>
          </w:p>
        </w:tc>
        <w:tc>
          <w:tcPr>
            <w:tcW w:w="1417" w:type="dxa"/>
            <w:shd w:val="clear" w:color="auto" w:fill="auto"/>
            <w:vAlign w:val="center"/>
            <w:hideMark/>
          </w:tcPr>
          <w:p w14:paraId="44F3176A"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1.026.317,89</w:t>
            </w:r>
          </w:p>
        </w:tc>
        <w:tc>
          <w:tcPr>
            <w:tcW w:w="1134" w:type="dxa"/>
            <w:shd w:val="clear" w:color="auto" w:fill="auto"/>
            <w:vAlign w:val="center"/>
            <w:hideMark/>
          </w:tcPr>
          <w:p w14:paraId="3CD60930"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31,1</w:t>
            </w:r>
          </w:p>
        </w:tc>
        <w:tc>
          <w:tcPr>
            <w:tcW w:w="1418" w:type="dxa"/>
            <w:shd w:val="clear" w:color="auto" w:fill="auto"/>
            <w:vAlign w:val="center"/>
            <w:hideMark/>
          </w:tcPr>
          <w:p w14:paraId="7A2B3B71"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874.738,04</w:t>
            </w:r>
          </w:p>
        </w:tc>
        <w:tc>
          <w:tcPr>
            <w:tcW w:w="1134" w:type="dxa"/>
            <w:shd w:val="clear" w:color="auto" w:fill="auto"/>
            <w:vAlign w:val="center"/>
            <w:hideMark/>
          </w:tcPr>
          <w:p w14:paraId="6794696A"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26,51</w:t>
            </w:r>
          </w:p>
        </w:tc>
        <w:tc>
          <w:tcPr>
            <w:tcW w:w="1412" w:type="dxa"/>
            <w:shd w:val="clear" w:color="auto" w:fill="auto"/>
            <w:noWrap/>
            <w:vAlign w:val="center"/>
            <w:hideMark/>
          </w:tcPr>
          <w:p w14:paraId="439D0204"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3.300.000,00</w:t>
            </w:r>
          </w:p>
        </w:tc>
      </w:tr>
      <w:tr w:rsidR="009E6E33" w:rsidRPr="003A138C" w14:paraId="2FEB7779" w14:textId="77777777" w:rsidTr="009E6E33">
        <w:trPr>
          <w:trHeight w:val="60"/>
        </w:trPr>
        <w:tc>
          <w:tcPr>
            <w:tcW w:w="1555" w:type="dxa"/>
            <w:shd w:val="clear" w:color="auto" w:fill="auto"/>
            <w:noWrap/>
            <w:vAlign w:val="center"/>
            <w:hideMark/>
          </w:tcPr>
          <w:p w14:paraId="6CB38914" w14:textId="77777777" w:rsidR="009E6E33" w:rsidRPr="003A138C" w:rsidRDefault="009E6E33" w:rsidP="009E6E33">
            <w:pPr>
              <w:rPr>
                <w:rFonts w:eastAsia="Times New Roman" w:cs="Calibri"/>
                <w:color w:val="000000"/>
                <w:sz w:val="18"/>
                <w:szCs w:val="18"/>
              </w:rPr>
            </w:pPr>
            <w:r w:rsidRPr="003A138C">
              <w:rPr>
                <w:rFonts w:eastAsia="Times New Roman" w:cs="Calibri"/>
                <w:color w:val="000000"/>
                <w:sz w:val="18"/>
                <w:szCs w:val="18"/>
              </w:rPr>
              <w:t>M13</w:t>
            </w:r>
          </w:p>
        </w:tc>
        <w:tc>
          <w:tcPr>
            <w:tcW w:w="1559" w:type="dxa"/>
            <w:vMerge/>
            <w:shd w:val="clear" w:color="auto" w:fill="auto"/>
            <w:vAlign w:val="center"/>
            <w:hideMark/>
          </w:tcPr>
          <w:p w14:paraId="3E9EC2D2" w14:textId="77777777" w:rsidR="009E6E33" w:rsidRPr="003A138C" w:rsidRDefault="009E6E33" w:rsidP="009E6E33">
            <w:pPr>
              <w:jc w:val="left"/>
              <w:rPr>
                <w:rFonts w:eastAsia="Times New Roman" w:cs="Calibri"/>
                <w:color w:val="000000"/>
                <w:sz w:val="18"/>
                <w:szCs w:val="18"/>
              </w:rPr>
            </w:pPr>
          </w:p>
        </w:tc>
        <w:tc>
          <w:tcPr>
            <w:tcW w:w="1417" w:type="dxa"/>
            <w:shd w:val="clear" w:color="auto" w:fill="auto"/>
            <w:vAlign w:val="center"/>
            <w:hideMark/>
          </w:tcPr>
          <w:p w14:paraId="6BA4C42F"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88.884.497,47</w:t>
            </w:r>
          </w:p>
        </w:tc>
        <w:tc>
          <w:tcPr>
            <w:tcW w:w="1134" w:type="dxa"/>
            <w:shd w:val="clear" w:color="auto" w:fill="auto"/>
            <w:vAlign w:val="center"/>
            <w:hideMark/>
          </w:tcPr>
          <w:p w14:paraId="2B072D5F"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113,95</w:t>
            </w:r>
          </w:p>
        </w:tc>
        <w:tc>
          <w:tcPr>
            <w:tcW w:w="1418" w:type="dxa"/>
            <w:shd w:val="clear" w:color="auto" w:fill="auto"/>
            <w:vAlign w:val="center"/>
            <w:hideMark/>
          </w:tcPr>
          <w:p w14:paraId="4D645760" w14:textId="70E7E03D" w:rsidR="009E6E33" w:rsidRPr="003A138C" w:rsidRDefault="00CE5BCF" w:rsidP="009E6E33">
            <w:pPr>
              <w:jc w:val="right"/>
              <w:rPr>
                <w:rFonts w:eastAsia="Times New Roman" w:cs="Calibri"/>
                <w:color w:val="000000"/>
                <w:sz w:val="18"/>
                <w:szCs w:val="18"/>
              </w:rPr>
            </w:pPr>
            <w:r w:rsidRPr="00CE5BCF">
              <w:rPr>
                <w:rFonts w:eastAsia="Times New Roman" w:cs="Calibri"/>
                <w:color w:val="000000"/>
                <w:sz w:val="18"/>
                <w:szCs w:val="18"/>
              </w:rPr>
              <w:t>78.096.097,49</w:t>
            </w:r>
          </w:p>
        </w:tc>
        <w:tc>
          <w:tcPr>
            <w:tcW w:w="1134" w:type="dxa"/>
            <w:shd w:val="clear" w:color="auto" w:fill="F8943F" w:themeFill="accent6"/>
            <w:vAlign w:val="center"/>
            <w:hideMark/>
          </w:tcPr>
          <w:p w14:paraId="1D78CAC1" w14:textId="31CD16E1" w:rsidR="009E6E33" w:rsidRPr="003A138C" w:rsidRDefault="00CE5BCF" w:rsidP="009E6E33">
            <w:pPr>
              <w:jc w:val="right"/>
              <w:rPr>
                <w:rFonts w:eastAsia="Times New Roman" w:cs="Calibri"/>
                <w:color w:val="000000"/>
                <w:sz w:val="18"/>
                <w:szCs w:val="18"/>
              </w:rPr>
            </w:pPr>
            <w:r w:rsidRPr="00CE5BCF">
              <w:rPr>
                <w:rFonts w:eastAsia="Times New Roman" w:cs="Calibri"/>
                <w:color w:val="000000"/>
                <w:sz w:val="18"/>
                <w:szCs w:val="18"/>
              </w:rPr>
              <w:t>100,12</w:t>
            </w:r>
          </w:p>
        </w:tc>
        <w:tc>
          <w:tcPr>
            <w:tcW w:w="1412" w:type="dxa"/>
            <w:shd w:val="clear" w:color="auto" w:fill="auto"/>
            <w:noWrap/>
            <w:vAlign w:val="center"/>
            <w:hideMark/>
          </w:tcPr>
          <w:p w14:paraId="3E070F87" w14:textId="77777777" w:rsidR="009E6E33" w:rsidRPr="003A138C" w:rsidRDefault="009E6E33" w:rsidP="009E6E33">
            <w:pPr>
              <w:jc w:val="right"/>
              <w:rPr>
                <w:rFonts w:eastAsia="Times New Roman" w:cs="Calibri"/>
                <w:color w:val="000000"/>
                <w:sz w:val="18"/>
                <w:szCs w:val="18"/>
              </w:rPr>
            </w:pPr>
            <w:r w:rsidRPr="003A138C">
              <w:rPr>
                <w:rFonts w:eastAsia="Times New Roman" w:cs="Calibri"/>
                <w:color w:val="000000"/>
                <w:sz w:val="18"/>
                <w:szCs w:val="18"/>
              </w:rPr>
              <w:t>78.000.000,00</w:t>
            </w:r>
          </w:p>
        </w:tc>
      </w:tr>
      <w:tr w:rsidR="009E6E33" w:rsidRPr="003A138C" w14:paraId="0EFE438A" w14:textId="77777777" w:rsidTr="009E6E33">
        <w:trPr>
          <w:trHeight w:val="280"/>
        </w:trPr>
        <w:tc>
          <w:tcPr>
            <w:tcW w:w="1555" w:type="dxa"/>
            <w:shd w:val="clear" w:color="auto" w:fill="auto"/>
            <w:noWrap/>
            <w:vAlign w:val="center"/>
            <w:hideMark/>
          </w:tcPr>
          <w:p w14:paraId="77533718" w14:textId="77777777" w:rsidR="009E6E33" w:rsidRPr="003A138C" w:rsidRDefault="009E6E33" w:rsidP="009E6E33">
            <w:pPr>
              <w:rPr>
                <w:rFonts w:eastAsia="Times New Roman" w:cs="Calibri"/>
                <w:b/>
                <w:i/>
                <w:color w:val="000000"/>
                <w:sz w:val="18"/>
                <w:szCs w:val="18"/>
              </w:rPr>
            </w:pPr>
            <w:r w:rsidRPr="003A138C">
              <w:rPr>
                <w:rFonts w:eastAsia="Times New Roman" w:cs="Calibri"/>
                <w:b/>
                <w:i/>
                <w:color w:val="000000"/>
                <w:sz w:val="18"/>
                <w:szCs w:val="18"/>
              </w:rPr>
              <w:t>TOTALE</w:t>
            </w:r>
          </w:p>
        </w:tc>
        <w:tc>
          <w:tcPr>
            <w:tcW w:w="1559" w:type="dxa"/>
            <w:shd w:val="clear" w:color="auto" w:fill="auto"/>
            <w:vAlign w:val="center"/>
            <w:hideMark/>
          </w:tcPr>
          <w:p w14:paraId="4E758143" w14:textId="77777777" w:rsidR="009E6E33" w:rsidRPr="003A138C" w:rsidRDefault="009E6E33" w:rsidP="009E6E33">
            <w:pPr>
              <w:jc w:val="left"/>
              <w:rPr>
                <w:rFonts w:eastAsia="Times New Roman" w:cs="Calibri"/>
                <w:b/>
                <w:i/>
                <w:color w:val="000000"/>
                <w:sz w:val="18"/>
                <w:szCs w:val="18"/>
              </w:rPr>
            </w:pPr>
            <w:r w:rsidRPr="003A138C">
              <w:rPr>
                <w:rFonts w:eastAsia="Times New Roman" w:cs="Calibri"/>
                <w:b/>
                <w:i/>
                <w:color w:val="000000"/>
                <w:sz w:val="18"/>
                <w:szCs w:val="18"/>
              </w:rPr>
              <w:t>O1 - Spesa pubblica totale</w:t>
            </w:r>
          </w:p>
        </w:tc>
        <w:tc>
          <w:tcPr>
            <w:tcW w:w="1417" w:type="dxa"/>
            <w:shd w:val="clear" w:color="auto" w:fill="auto"/>
            <w:vAlign w:val="center"/>
            <w:hideMark/>
          </w:tcPr>
          <w:p w14:paraId="0CECD6C3" w14:textId="77777777" w:rsidR="009E6E33" w:rsidRPr="003A138C" w:rsidRDefault="009E6E33" w:rsidP="009E6E33">
            <w:pPr>
              <w:jc w:val="right"/>
              <w:rPr>
                <w:rFonts w:eastAsia="Times New Roman" w:cs="Calibri"/>
                <w:b/>
                <w:i/>
                <w:color w:val="000000"/>
                <w:sz w:val="18"/>
                <w:szCs w:val="18"/>
              </w:rPr>
            </w:pPr>
            <w:r w:rsidRPr="003A138C">
              <w:rPr>
                <w:rFonts w:eastAsia="Times New Roman" w:cs="Calibri"/>
                <w:b/>
                <w:i/>
                <w:color w:val="000000"/>
                <w:sz w:val="18"/>
                <w:szCs w:val="18"/>
              </w:rPr>
              <w:t>322.792.218,19</w:t>
            </w:r>
          </w:p>
        </w:tc>
        <w:tc>
          <w:tcPr>
            <w:tcW w:w="1134" w:type="dxa"/>
            <w:shd w:val="clear" w:color="auto" w:fill="auto"/>
            <w:vAlign w:val="center"/>
            <w:hideMark/>
          </w:tcPr>
          <w:p w14:paraId="74F7AE22" w14:textId="77777777" w:rsidR="009E6E33" w:rsidRPr="003A138C" w:rsidRDefault="009E6E33" w:rsidP="009E6E33">
            <w:pPr>
              <w:jc w:val="right"/>
              <w:rPr>
                <w:rFonts w:eastAsia="Times New Roman" w:cs="Calibri"/>
                <w:b/>
                <w:i/>
                <w:color w:val="000000"/>
                <w:sz w:val="18"/>
                <w:szCs w:val="18"/>
              </w:rPr>
            </w:pPr>
            <w:r w:rsidRPr="003A138C">
              <w:rPr>
                <w:rFonts w:eastAsia="Times New Roman" w:cs="Calibri"/>
                <w:b/>
                <w:i/>
                <w:color w:val="000000"/>
                <w:sz w:val="18"/>
                <w:szCs w:val="18"/>
              </w:rPr>
              <w:t>99,54</w:t>
            </w:r>
          </w:p>
        </w:tc>
        <w:tc>
          <w:tcPr>
            <w:tcW w:w="1418" w:type="dxa"/>
            <w:shd w:val="clear" w:color="auto" w:fill="auto"/>
            <w:vAlign w:val="center"/>
            <w:hideMark/>
          </w:tcPr>
          <w:p w14:paraId="5CE05080" w14:textId="52D2072F" w:rsidR="009E6E33" w:rsidRPr="003A138C" w:rsidRDefault="00CE5BCF" w:rsidP="009E6E33">
            <w:pPr>
              <w:jc w:val="right"/>
              <w:rPr>
                <w:rFonts w:eastAsia="Times New Roman" w:cs="Calibri"/>
                <w:b/>
                <w:i/>
                <w:color w:val="000000"/>
                <w:sz w:val="18"/>
                <w:szCs w:val="18"/>
              </w:rPr>
            </w:pPr>
            <w:r w:rsidRPr="00CE5BCF">
              <w:rPr>
                <w:rFonts w:eastAsia="Times New Roman" w:cs="Calibri"/>
                <w:b/>
                <w:i/>
                <w:color w:val="000000"/>
                <w:sz w:val="18"/>
                <w:szCs w:val="18"/>
              </w:rPr>
              <w:t>255.887.259,91</w:t>
            </w:r>
          </w:p>
        </w:tc>
        <w:tc>
          <w:tcPr>
            <w:tcW w:w="1134" w:type="dxa"/>
            <w:shd w:val="clear" w:color="auto" w:fill="auto"/>
            <w:vAlign w:val="center"/>
            <w:hideMark/>
          </w:tcPr>
          <w:p w14:paraId="247D2BF9" w14:textId="3805EB22" w:rsidR="009E6E33" w:rsidRPr="003A138C" w:rsidRDefault="00CE5BCF" w:rsidP="009E6E33">
            <w:pPr>
              <w:jc w:val="right"/>
              <w:rPr>
                <w:rFonts w:eastAsia="Times New Roman" w:cs="Calibri"/>
                <w:b/>
                <w:i/>
                <w:color w:val="000000"/>
                <w:sz w:val="18"/>
                <w:szCs w:val="18"/>
              </w:rPr>
            </w:pPr>
            <w:r w:rsidRPr="00CE5BCF">
              <w:rPr>
                <w:rFonts w:eastAsia="Times New Roman" w:cs="Calibri"/>
                <w:b/>
                <w:i/>
                <w:color w:val="000000"/>
                <w:sz w:val="18"/>
                <w:szCs w:val="18"/>
              </w:rPr>
              <w:t>78,9</w:t>
            </w:r>
          </w:p>
        </w:tc>
        <w:tc>
          <w:tcPr>
            <w:tcW w:w="1412" w:type="dxa"/>
            <w:shd w:val="clear" w:color="auto" w:fill="auto"/>
            <w:noWrap/>
            <w:vAlign w:val="center"/>
            <w:hideMark/>
          </w:tcPr>
          <w:p w14:paraId="710CB164" w14:textId="77777777" w:rsidR="009E6E33" w:rsidRPr="003A138C" w:rsidRDefault="009E6E33" w:rsidP="009E6E33">
            <w:pPr>
              <w:jc w:val="right"/>
              <w:rPr>
                <w:rFonts w:eastAsia="Times New Roman" w:cs="Calibri"/>
                <w:b/>
                <w:i/>
                <w:color w:val="000000"/>
                <w:sz w:val="18"/>
                <w:szCs w:val="18"/>
              </w:rPr>
            </w:pPr>
            <w:r w:rsidRPr="003A138C">
              <w:rPr>
                <w:rFonts w:eastAsia="Times New Roman" w:cs="Calibri"/>
                <w:b/>
                <w:i/>
                <w:color w:val="000000"/>
                <w:sz w:val="18"/>
                <w:szCs w:val="18"/>
              </w:rPr>
              <w:t>324.300.000,00</w:t>
            </w:r>
          </w:p>
        </w:tc>
      </w:tr>
    </w:tbl>
    <w:p w14:paraId="4B71C280" w14:textId="77777777" w:rsidR="003A138C" w:rsidRPr="00164FC9" w:rsidRDefault="003A138C" w:rsidP="000935EA">
      <w:pPr>
        <w:pStyle w:val="Fonte"/>
      </w:pPr>
      <w:r w:rsidRPr="00164FC9">
        <w:t>Fonte RAA 2020</w:t>
      </w:r>
    </w:p>
    <w:p w14:paraId="663F7945" w14:textId="77777777" w:rsidR="003A138C" w:rsidRDefault="003A138C" w:rsidP="003A138C">
      <w:pPr>
        <w:widowControl w:val="0"/>
        <w:autoSpaceDE w:val="0"/>
        <w:autoSpaceDN w:val="0"/>
        <w:adjustRightInd w:val="0"/>
        <w:rPr>
          <w:b/>
          <w:bCs/>
          <w:i/>
          <w:szCs w:val="22"/>
        </w:rPr>
      </w:pPr>
    </w:p>
    <w:p w14:paraId="2C1C44ED" w14:textId="77777777" w:rsidR="003A138C" w:rsidRDefault="003A138C" w:rsidP="003A138C">
      <w:pPr>
        <w:widowControl w:val="0"/>
        <w:autoSpaceDE w:val="0"/>
        <w:autoSpaceDN w:val="0"/>
        <w:adjustRightInd w:val="0"/>
        <w:rPr>
          <w:rFonts w:eastAsia="Times New Roman"/>
          <w:bCs/>
          <w:color w:val="000000"/>
          <w:szCs w:val="22"/>
        </w:rPr>
      </w:pPr>
      <w:r w:rsidRPr="00164FC9">
        <w:rPr>
          <w:rFonts w:eastAsia="Times New Roman"/>
          <w:bCs/>
          <w:color w:val="000000"/>
          <w:szCs w:val="22"/>
        </w:rPr>
        <w:t xml:space="preserve">In merito all’avanzamento </w:t>
      </w:r>
      <w:r>
        <w:rPr>
          <w:rFonts w:eastAsia="Times New Roman"/>
          <w:bCs/>
          <w:color w:val="000000"/>
          <w:szCs w:val="22"/>
        </w:rPr>
        <w:t xml:space="preserve">della Priorità </w:t>
      </w:r>
      <w:r>
        <w:rPr>
          <w:rFonts w:eastAsia="Times New Roman"/>
          <w:bCs/>
          <w:iCs/>
          <w:color w:val="000000"/>
          <w:szCs w:val="22"/>
        </w:rPr>
        <w:t>5</w:t>
      </w:r>
      <w:r w:rsidR="000935EA">
        <w:rPr>
          <w:rFonts w:eastAsia="Times New Roman"/>
          <w:bCs/>
          <w:iCs/>
          <w:color w:val="000000"/>
          <w:szCs w:val="22"/>
        </w:rPr>
        <w:t>,</w:t>
      </w:r>
      <w:r>
        <w:rPr>
          <w:rFonts w:ascii="Arial" w:eastAsia="Times New Roman" w:hAnsi="Arial" w:cs="Arial"/>
          <w:b/>
          <w:bCs/>
          <w:color w:val="000000"/>
          <w:sz w:val="16"/>
          <w:szCs w:val="16"/>
        </w:rPr>
        <w:t xml:space="preserve"> </w:t>
      </w:r>
      <w:r w:rsidRPr="000935EA">
        <w:rPr>
          <w:rFonts w:eastAsia="Times New Roman"/>
          <w:i/>
          <w:color w:val="000000"/>
          <w:szCs w:val="22"/>
        </w:rPr>
        <w:t>Incentivare l'uso efficiente delle risorse e il passaggio a un'economia a basse emissioni di carbonio e resiliente al clima nel settore agroalimentare e forestale</w:t>
      </w:r>
      <w:r w:rsidRPr="000935EA">
        <w:rPr>
          <w:rFonts w:eastAsia="Times New Roman"/>
          <w:color w:val="000000"/>
          <w:szCs w:val="22"/>
        </w:rPr>
        <w:t xml:space="preserve">, </w:t>
      </w:r>
      <w:r>
        <w:rPr>
          <w:rFonts w:eastAsia="Times New Roman"/>
          <w:bCs/>
          <w:color w:val="000000"/>
          <w:szCs w:val="22"/>
        </w:rPr>
        <w:t>va in generale segnalato un marcato ritardo. Soltanto l’indicatore T19 ha superato il target previsto, mentre gli altri indicatori target sono ad oggi lontani dall’obiettivo di fine programmazione. Per quanto riguarda l’indicatore O1, invece, solo la M</w:t>
      </w:r>
      <w:r w:rsidR="009E6E33">
        <w:rPr>
          <w:rFonts w:eastAsia="Times New Roman"/>
          <w:bCs/>
          <w:color w:val="000000"/>
          <w:szCs w:val="22"/>
        </w:rPr>
        <w:t xml:space="preserve">isura </w:t>
      </w:r>
      <w:r>
        <w:rPr>
          <w:rFonts w:eastAsia="Times New Roman"/>
          <w:bCs/>
          <w:color w:val="000000"/>
          <w:szCs w:val="22"/>
        </w:rPr>
        <w:t>1 per la FA 5 D e le Misure 8 e 10 per la FA 5E fanno registrare dati positivi.</w:t>
      </w:r>
    </w:p>
    <w:p w14:paraId="538D1169" w14:textId="77777777" w:rsidR="003A138C" w:rsidRPr="00456825" w:rsidRDefault="00BC0A97" w:rsidP="00BC0A97">
      <w:pPr>
        <w:pStyle w:val="Didascalia"/>
        <w:rPr>
          <w:b w:val="0"/>
          <w:bCs/>
          <w:i w:val="0"/>
        </w:rPr>
      </w:pPr>
      <w:bookmarkStart w:id="47" w:name="_Toc91081443"/>
      <w:r>
        <w:t xml:space="preserve">Tabella </w:t>
      </w:r>
      <w:r w:rsidR="004E6566">
        <w:fldChar w:fldCharType="begin"/>
      </w:r>
      <w:r>
        <w:instrText xml:space="preserve"> SEQ Tabella \* ARABIC </w:instrText>
      </w:r>
      <w:r w:rsidR="004E6566">
        <w:fldChar w:fldCharType="separate"/>
      </w:r>
      <w:r w:rsidR="00E53D6C">
        <w:rPr>
          <w:noProof/>
        </w:rPr>
        <w:t>17</w:t>
      </w:r>
      <w:r w:rsidR="004E6566">
        <w:fldChar w:fldCharType="end"/>
      </w:r>
      <w:r>
        <w:t xml:space="preserve">. </w:t>
      </w:r>
      <w:r w:rsidRPr="002966DD">
        <w:t xml:space="preserve">Indicatori target relativi alla Priorità </w:t>
      </w:r>
      <w:r>
        <w:t>5</w:t>
      </w:r>
      <w:r w:rsidRPr="002966DD">
        <w:t xml:space="preserve"> del PSR FEASR</w:t>
      </w:r>
      <w:bookmarkEnd w:id="47"/>
    </w:p>
    <w:tbl>
      <w:tblPr>
        <w:tblW w:w="5000" w:type="pct"/>
        <w:tblLayout w:type="fixed"/>
        <w:tblCellMar>
          <w:left w:w="70" w:type="dxa"/>
          <w:right w:w="70" w:type="dxa"/>
        </w:tblCellMar>
        <w:tblLook w:val="04A0" w:firstRow="1" w:lastRow="0" w:firstColumn="1" w:lastColumn="0" w:noHBand="0" w:noVBand="1"/>
      </w:tblPr>
      <w:tblGrid>
        <w:gridCol w:w="1416"/>
        <w:gridCol w:w="1698"/>
        <w:gridCol w:w="1415"/>
        <w:gridCol w:w="1144"/>
        <w:gridCol w:w="1417"/>
        <w:gridCol w:w="1134"/>
        <w:gridCol w:w="1404"/>
      </w:tblGrid>
      <w:tr w:rsidR="009E6E33" w:rsidRPr="003A138C" w14:paraId="22D10385" w14:textId="77777777" w:rsidTr="00B962B4">
        <w:trPr>
          <w:trHeight w:val="60"/>
          <w:tblHeader/>
        </w:trPr>
        <w:tc>
          <w:tcPr>
            <w:tcW w:w="735" w:type="pct"/>
            <w:tcBorders>
              <w:top w:val="single" w:sz="4" w:space="0" w:color="000000"/>
              <w:left w:val="single" w:sz="4" w:space="0" w:color="000000"/>
              <w:bottom w:val="single" w:sz="4" w:space="0" w:color="000000"/>
              <w:right w:val="single" w:sz="4" w:space="0" w:color="000000"/>
            </w:tcBorders>
            <w:shd w:val="clear" w:color="auto" w:fill="669748" w:themeFill="accent2" w:themeFillShade="BF"/>
            <w:vAlign w:val="center"/>
            <w:hideMark/>
          </w:tcPr>
          <w:p w14:paraId="65E1D6C3" w14:textId="77777777" w:rsidR="003A138C" w:rsidRPr="003A138C" w:rsidRDefault="003A138C" w:rsidP="00AF58DF">
            <w:pPr>
              <w:jc w:val="center"/>
              <w:rPr>
                <w:rFonts w:eastAsia="Times New Roman" w:cs="Calibri"/>
                <w:b/>
                <w:bCs/>
                <w:color w:val="FFFFFF" w:themeColor="background1"/>
                <w:sz w:val="18"/>
                <w:szCs w:val="18"/>
              </w:rPr>
            </w:pPr>
            <w:r w:rsidRPr="003A138C">
              <w:rPr>
                <w:rFonts w:eastAsia="Times New Roman" w:cs="Calibri"/>
                <w:b/>
                <w:bCs/>
                <w:color w:val="FFFFFF" w:themeColor="background1"/>
                <w:sz w:val="18"/>
                <w:szCs w:val="18"/>
              </w:rPr>
              <w:t>Focus Area/Misura</w:t>
            </w:r>
          </w:p>
        </w:tc>
        <w:tc>
          <w:tcPr>
            <w:tcW w:w="882" w:type="pct"/>
            <w:tcBorders>
              <w:top w:val="single" w:sz="4" w:space="0" w:color="000000"/>
              <w:left w:val="single" w:sz="4" w:space="0" w:color="000000"/>
              <w:bottom w:val="single" w:sz="4" w:space="0" w:color="000000"/>
              <w:right w:val="single" w:sz="4" w:space="0" w:color="000000"/>
            </w:tcBorders>
            <w:shd w:val="clear" w:color="auto" w:fill="669748" w:themeFill="accent2" w:themeFillShade="BF"/>
            <w:vAlign w:val="center"/>
          </w:tcPr>
          <w:p w14:paraId="23F8ED14" w14:textId="77777777" w:rsidR="003A138C" w:rsidRPr="003A138C" w:rsidRDefault="003A138C" w:rsidP="00AF58DF">
            <w:pPr>
              <w:jc w:val="center"/>
              <w:rPr>
                <w:rFonts w:eastAsia="Times New Roman" w:cs="Calibri"/>
                <w:b/>
                <w:bCs/>
                <w:color w:val="FFFFFF" w:themeColor="background1"/>
                <w:sz w:val="18"/>
                <w:szCs w:val="18"/>
              </w:rPr>
            </w:pPr>
            <w:r w:rsidRPr="003A138C">
              <w:rPr>
                <w:rFonts w:eastAsia="Times New Roman" w:cs="Calibri"/>
                <w:b/>
                <w:bCs/>
                <w:color w:val="FFFFFF" w:themeColor="background1"/>
                <w:sz w:val="18"/>
                <w:szCs w:val="18"/>
              </w:rPr>
              <w:t>Indicatori</w:t>
            </w:r>
          </w:p>
        </w:tc>
        <w:tc>
          <w:tcPr>
            <w:tcW w:w="735"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1FABE3DF" w14:textId="77777777" w:rsidR="003A138C" w:rsidRPr="003A138C" w:rsidRDefault="003A138C" w:rsidP="00AF58DF">
            <w:pPr>
              <w:jc w:val="center"/>
              <w:rPr>
                <w:rFonts w:eastAsia="Times New Roman" w:cs="Calibri"/>
                <w:b/>
                <w:bCs/>
                <w:color w:val="FFFFFF" w:themeColor="background1"/>
                <w:sz w:val="18"/>
                <w:szCs w:val="18"/>
              </w:rPr>
            </w:pPr>
            <w:r w:rsidRPr="003A138C">
              <w:rPr>
                <w:rFonts w:eastAsia="Times New Roman" w:cs="Calibri"/>
                <w:b/>
                <w:bCs/>
                <w:color w:val="FFFFFF" w:themeColor="background1"/>
                <w:sz w:val="18"/>
                <w:szCs w:val="18"/>
              </w:rPr>
              <w:t>In base all'approvato</w:t>
            </w:r>
          </w:p>
        </w:tc>
        <w:tc>
          <w:tcPr>
            <w:tcW w:w="594"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2051A00E" w14:textId="77777777" w:rsidR="003A138C" w:rsidRPr="003A138C" w:rsidRDefault="003A138C" w:rsidP="00B962B4">
            <w:pPr>
              <w:jc w:val="center"/>
              <w:rPr>
                <w:rFonts w:eastAsia="Times New Roman" w:cs="Calibri"/>
                <w:b/>
                <w:bCs/>
                <w:color w:val="FFFFFF" w:themeColor="background1"/>
                <w:sz w:val="18"/>
                <w:szCs w:val="18"/>
              </w:rPr>
            </w:pPr>
            <w:r w:rsidRPr="003A138C">
              <w:rPr>
                <w:rFonts w:eastAsia="Times New Roman" w:cs="Calibri"/>
                <w:b/>
                <w:bCs/>
                <w:color w:val="FFFFFF" w:themeColor="background1"/>
                <w:sz w:val="18"/>
                <w:szCs w:val="18"/>
              </w:rPr>
              <w:t>Utilizzazione (%)</w:t>
            </w:r>
          </w:p>
        </w:tc>
        <w:tc>
          <w:tcPr>
            <w:tcW w:w="736"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7675FBD8" w14:textId="77777777" w:rsidR="003A138C" w:rsidRPr="003A138C" w:rsidRDefault="003A138C" w:rsidP="009E6E33">
            <w:pPr>
              <w:jc w:val="center"/>
              <w:rPr>
                <w:rFonts w:eastAsia="Times New Roman" w:cs="Calibri"/>
                <w:b/>
                <w:bCs/>
                <w:color w:val="FFFFFF" w:themeColor="background1"/>
                <w:sz w:val="18"/>
                <w:szCs w:val="18"/>
              </w:rPr>
            </w:pPr>
            <w:r w:rsidRPr="003A138C">
              <w:rPr>
                <w:rFonts w:eastAsia="Times New Roman" w:cs="Calibri"/>
                <w:b/>
                <w:bCs/>
                <w:color w:val="FFFFFF" w:themeColor="background1"/>
                <w:sz w:val="18"/>
                <w:szCs w:val="18"/>
              </w:rPr>
              <w:t>Realizzato</w:t>
            </w:r>
          </w:p>
        </w:tc>
        <w:tc>
          <w:tcPr>
            <w:tcW w:w="589"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274B879B" w14:textId="77777777" w:rsidR="003A138C" w:rsidRPr="003A138C" w:rsidRDefault="003A138C" w:rsidP="00AF58DF">
            <w:pPr>
              <w:jc w:val="center"/>
              <w:rPr>
                <w:rFonts w:eastAsia="Times New Roman" w:cs="Calibri"/>
                <w:b/>
                <w:bCs/>
                <w:color w:val="FFFFFF" w:themeColor="background1"/>
                <w:sz w:val="18"/>
                <w:szCs w:val="18"/>
              </w:rPr>
            </w:pPr>
            <w:r w:rsidRPr="003A138C">
              <w:rPr>
                <w:rFonts w:eastAsia="Times New Roman" w:cs="Calibri"/>
                <w:b/>
                <w:bCs/>
                <w:color w:val="FFFFFF" w:themeColor="background1"/>
                <w:sz w:val="18"/>
                <w:szCs w:val="18"/>
              </w:rPr>
              <w:t xml:space="preserve">Utilizzazione </w:t>
            </w:r>
            <w:r w:rsidR="009E6E33">
              <w:rPr>
                <w:rFonts w:eastAsia="Times New Roman" w:cs="Calibri"/>
                <w:b/>
                <w:bCs/>
                <w:color w:val="FFFFFF" w:themeColor="background1"/>
                <w:sz w:val="18"/>
                <w:szCs w:val="18"/>
              </w:rPr>
              <w:t>(</w:t>
            </w:r>
            <w:r w:rsidRPr="003A138C">
              <w:rPr>
                <w:rFonts w:eastAsia="Times New Roman" w:cs="Calibri"/>
                <w:b/>
                <w:bCs/>
                <w:color w:val="FFFFFF" w:themeColor="background1"/>
                <w:sz w:val="18"/>
                <w:szCs w:val="18"/>
              </w:rPr>
              <w:t>%</w:t>
            </w:r>
            <w:r w:rsidR="009E6E33">
              <w:rPr>
                <w:rFonts w:eastAsia="Times New Roman" w:cs="Calibri"/>
                <w:b/>
                <w:bCs/>
                <w:color w:val="FFFFFF" w:themeColor="background1"/>
                <w:sz w:val="18"/>
                <w:szCs w:val="18"/>
              </w:rPr>
              <w:t>)</w:t>
            </w:r>
          </w:p>
        </w:tc>
        <w:tc>
          <w:tcPr>
            <w:tcW w:w="729"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179DFBC9" w14:textId="77777777" w:rsidR="003A138C" w:rsidRPr="003A138C" w:rsidRDefault="003A138C" w:rsidP="00AF58DF">
            <w:pPr>
              <w:jc w:val="center"/>
              <w:rPr>
                <w:rFonts w:eastAsia="Times New Roman" w:cs="Calibri"/>
                <w:b/>
                <w:bCs/>
                <w:color w:val="FFFFFF" w:themeColor="background1"/>
                <w:sz w:val="18"/>
                <w:szCs w:val="18"/>
              </w:rPr>
            </w:pPr>
            <w:r w:rsidRPr="003A138C">
              <w:rPr>
                <w:rFonts w:eastAsia="Times New Roman" w:cs="Calibri"/>
                <w:b/>
                <w:bCs/>
                <w:color w:val="FFFFFF" w:themeColor="background1"/>
                <w:sz w:val="18"/>
                <w:szCs w:val="18"/>
              </w:rPr>
              <w:t>Target 2023</w:t>
            </w:r>
          </w:p>
        </w:tc>
      </w:tr>
      <w:tr w:rsidR="009E6E33" w:rsidRPr="003A138C" w14:paraId="24B319D7" w14:textId="77777777" w:rsidTr="00B962B4">
        <w:trPr>
          <w:trHeight w:val="66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4780D351"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5A) Rendere più efficiente l'uso dell'acqua nell'agricoltura</w:t>
            </w:r>
          </w:p>
        </w:tc>
        <w:tc>
          <w:tcPr>
            <w:tcW w:w="882" w:type="pct"/>
            <w:tcBorders>
              <w:top w:val="nil"/>
              <w:left w:val="nil"/>
              <w:bottom w:val="single" w:sz="4" w:space="0" w:color="000000"/>
              <w:right w:val="single" w:sz="4" w:space="0" w:color="000000"/>
            </w:tcBorders>
            <w:shd w:val="clear" w:color="auto" w:fill="auto"/>
            <w:vAlign w:val="center"/>
            <w:hideMark/>
          </w:tcPr>
          <w:p w14:paraId="3437A7A3"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T14: percentuale di terreni irrigui che passano a sistemi di irrigazione più efficienti</w:t>
            </w:r>
          </w:p>
        </w:tc>
        <w:tc>
          <w:tcPr>
            <w:tcW w:w="735" w:type="pct"/>
            <w:tcBorders>
              <w:top w:val="nil"/>
              <w:left w:val="nil"/>
              <w:bottom w:val="single" w:sz="4" w:space="0" w:color="000000"/>
              <w:right w:val="single" w:sz="4" w:space="0" w:color="000000"/>
            </w:tcBorders>
            <w:shd w:val="clear" w:color="auto" w:fill="auto"/>
            <w:vAlign w:val="center"/>
            <w:hideMark/>
          </w:tcPr>
          <w:p w14:paraId="5626F08E"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 </w:t>
            </w:r>
          </w:p>
        </w:tc>
        <w:tc>
          <w:tcPr>
            <w:tcW w:w="594" w:type="pct"/>
            <w:tcBorders>
              <w:top w:val="nil"/>
              <w:left w:val="nil"/>
              <w:bottom w:val="single" w:sz="4" w:space="0" w:color="000000"/>
              <w:right w:val="single" w:sz="4" w:space="0" w:color="000000"/>
            </w:tcBorders>
            <w:shd w:val="clear" w:color="auto" w:fill="auto"/>
            <w:noWrap/>
            <w:vAlign w:val="center"/>
            <w:hideMark/>
          </w:tcPr>
          <w:p w14:paraId="2EE75758" w14:textId="77777777" w:rsidR="003A138C" w:rsidRPr="003A138C" w:rsidRDefault="003A138C" w:rsidP="00B962B4">
            <w:pPr>
              <w:jc w:val="right"/>
              <w:rPr>
                <w:rFonts w:eastAsia="Times New Roman" w:cs="Calibri"/>
                <w:color w:val="000000"/>
                <w:sz w:val="18"/>
                <w:szCs w:val="18"/>
              </w:rPr>
            </w:pPr>
            <w:r w:rsidRPr="003A138C">
              <w:rPr>
                <w:rFonts w:eastAsia="Times New Roman" w:cs="Calibri"/>
                <w:color w:val="000000"/>
                <w:sz w:val="18"/>
                <w:szCs w:val="18"/>
              </w:rPr>
              <w:t> </w:t>
            </w:r>
          </w:p>
        </w:tc>
        <w:tc>
          <w:tcPr>
            <w:tcW w:w="736" w:type="pct"/>
            <w:tcBorders>
              <w:top w:val="nil"/>
              <w:left w:val="nil"/>
              <w:bottom w:val="single" w:sz="4" w:space="0" w:color="000000"/>
              <w:right w:val="single" w:sz="4" w:space="0" w:color="000000"/>
            </w:tcBorders>
            <w:shd w:val="clear" w:color="auto" w:fill="auto"/>
            <w:noWrap/>
            <w:vAlign w:val="center"/>
            <w:hideMark/>
          </w:tcPr>
          <w:p w14:paraId="7C0EAA0D" w14:textId="77777777" w:rsidR="003A138C" w:rsidRPr="003A138C" w:rsidRDefault="003A138C" w:rsidP="009E6E33">
            <w:pPr>
              <w:jc w:val="right"/>
              <w:rPr>
                <w:rFonts w:eastAsia="Times New Roman" w:cs="Calibri"/>
                <w:color w:val="000000"/>
                <w:sz w:val="18"/>
                <w:szCs w:val="18"/>
              </w:rPr>
            </w:pPr>
            <w:r w:rsidRPr="003A138C">
              <w:rPr>
                <w:rFonts w:eastAsia="Times New Roman" w:cs="Calibri"/>
                <w:color w:val="000000"/>
                <w:sz w:val="18"/>
                <w:szCs w:val="18"/>
              </w:rPr>
              <w:t> </w:t>
            </w:r>
          </w:p>
        </w:tc>
        <w:tc>
          <w:tcPr>
            <w:tcW w:w="589" w:type="pct"/>
            <w:tcBorders>
              <w:top w:val="nil"/>
              <w:left w:val="nil"/>
              <w:bottom w:val="single" w:sz="4" w:space="0" w:color="000000"/>
              <w:right w:val="single" w:sz="4" w:space="0" w:color="000000"/>
            </w:tcBorders>
            <w:shd w:val="clear" w:color="auto" w:fill="auto"/>
            <w:noWrap/>
            <w:vAlign w:val="center"/>
            <w:hideMark/>
          </w:tcPr>
          <w:p w14:paraId="599EA1D1" w14:textId="77777777" w:rsidR="003A138C" w:rsidRPr="003A138C" w:rsidRDefault="003A138C" w:rsidP="00AF58DF">
            <w:pPr>
              <w:jc w:val="center"/>
              <w:rPr>
                <w:rFonts w:eastAsia="Times New Roman" w:cs="Calibri"/>
                <w:color w:val="000000"/>
                <w:sz w:val="18"/>
                <w:szCs w:val="18"/>
              </w:rPr>
            </w:pPr>
          </w:p>
        </w:tc>
        <w:tc>
          <w:tcPr>
            <w:tcW w:w="729" w:type="pct"/>
            <w:tcBorders>
              <w:top w:val="nil"/>
              <w:left w:val="nil"/>
              <w:bottom w:val="single" w:sz="4" w:space="0" w:color="000000"/>
              <w:right w:val="single" w:sz="4" w:space="0" w:color="000000"/>
            </w:tcBorders>
            <w:shd w:val="clear" w:color="99FF99" w:fill="auto"/>
            <w:noWrap/>
            <w:vAlign w:val="center"/>
            <w:hideMark/>
          </w:tcPr>
          <w:p w14:paraId="35B2BAC0"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0,87</w:t>
            </w:r>
          </w:p>
        </w:tc>
      </w:tr>
      <w:tr w:rsidR="009E6E33" w:rsidRPr="003A138C" w14:paraId="100ACE7B" w14:textId="77777777" w:rsidTr="00B962B4">
        <w:trPr>
          <w:trHeight w:val="6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05F30887"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M1</w:t>
            </w:r>
          </w:p>
        </w:tc>
        <w:tc>
          <w:tcPr>
            <w:tcW w:w="882" w:type="pct"/>
            <w:vMerge w:val="restart"/>
            <w:tcBorders>
              <w:top w:val="nil"/>
              <w:left w:val="nil"/>
              <w:right w:val="single" w:sz="4" w:space="0" w:color="000000"/>
            </w:tcBorders>
            <w:shd w:val="clear" w:color="auto" w:fill="auto"/>
            <w:noWrap/>
            <w:vAlign w:val="center"/>
            <w:hideMark/>
          </w:tcPr>
          <w:p w14:paraId="579AD817"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O1 - Spesa pubblica totale</w:t>
            </w:r>
          </w:p>
        </w:tc>
        <w:tc>
          <w:tcPr>
            <w:tcW w:w="735" w:type="pct"/>
            <w:tcBorders>
              <w:top w:val="nil"/>
              <w:left w:val="nil"/>
              <w:bottom w:val="single" w:sz="4" w:space="0" w:color="000000"/>
              <w:right w:val="single" w:sz="4" w:space="0" w:color="000000"/>
            </w:tcBorders>
            <w:shd w:val="clear" w:color="auto" w:fill="auto"/>
            <w:vAlign w:val="center"/>
            <w:hideMark/>
          </w:tcPr>
          <w:p w14:paraId="6A60DB45"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385.657,04</w:t>
            </w:r>
          </w:p>
        </w:tc>
        <w:tc>
          <w:tcPr>
            <w:tcW w:w="594" w:type="pct"/>
            <w:tcBorders>
              <w:top w:val="nil"/>
              <w:left w:val="nil"/>
              <w:bottom w:val="single" w:sz="4" w:space="0" w:color="000000"/>
              <w:right w:val="single" w:sz="4" w:space="0" w:color="000000"/>
            </w:tcBorders>
            <w:shd w:val="clear" w:color="auto" w:fill="auto"/>
            <w:vAlign w:val="center"/>
            <w:hideMark/>
          </w:tcPr>
          <w:p w14:paraId="20C8DC01" w14:textId="77777777" w:rsidR="003A138C" w:rsidRPr="003A138C" w:rsidRDefault="003A138C" w:rsidP="00B962B4">
            <w:pPr>
              <w:jc w:val="right"/>
              <w:rPr>
                <w:rFonts w:eastAsia="Times New Roman" w:cs="Calibri"/>
                <w:color w:val="000000"/>
                <w:sz w:val="18"/>
                <w:szCs w:val="18"/>
              </w:rPr>
            </w:pPr>
            <w:r w:rsidRPr="003A138C">
              <w:rPr>
                <w:rFonts w:eastAsia="Times New Roman" w:cs="Calibri"/>
                <w:color w:val="000000"/>
                <w:sz w:val="18"/>
                <w:szCs w:val="18"/>
              </w:rPr>
              <w:t>192,83</w:t>
            </w:r>
          </w:p>
        </w:tc>
        <w:tc>
          <w:tcPr>
            <w:tcW w:w="736" w:type="pct"/>
            <w:tcBorders>
              <w:top w:val="nil"/>
              <w:left w:val="nil"/>
              <w:bottom w:val="single" w:sz="4" w:space="0" w:color="000000"/>
              <w:right w:val="single" w:sz="4" w:space="0" w:color="000000"/>
            </w:tcBorders>
            <w:shd w:val="clear" w:color="auto" w:fill="auto"/>
            <w:noWrap/>
            <w:vAlign w:val="center"/>
            <w:hideMark/>
          </w:tcPr>
          <w:p w14:paraId="54ACE874" w14:textId="77777777" w:rsidR="003A138C" w:rsidRPr="003A138C" w:rsidRDefault="003A138C" w:rsidP="009E6E33">
            <w:pPr>
              <w:jc w:val="right"/>
              <w:rPr>
                <w:rFonts w:eastAsia="Times New Roman" w:cs="Calibri"/>
                <w:color w:val="000000"/>
                <w:sz w:val="18"/>
                <w:szCs w:val="18"/>
              </w:rPr>
            </w:pPr>
            <w:r w:rsidRPr="003A138C">
              <w:rPr>
                <w:rFonts w:eastAsia="Times New Roman" w:cs="Calibri"/>
                <w:color w:val="000000"/>
                <w:sz w:val="18"/>
                <w:szCs w:val="18"/>
              </w:rPr>
              <w:t> </w:t>
            </w:r>
          </w:p>
        </w:tc>
        <w:tc>
          <w:tcPr>
            <w:tcW w:w="589" w:type="pct"/>
            <w:tcBorders>
              <w:top w:val="nil"/>
              <w:left w:val="nil"/>
              <w:bottom w:val="single" w:sz="4" w:space="0" w:color="000000"/>
              <w:right w:val="single" w:sz="4" w:space="0" w:color="000000"/>
            </w:tcBorders>
            <w:shd w:val="clear" w:color="auto" w:fill="auto"/>
            <w:noWrap/>
            <w:vAlign w:val="center"/>
            <w:hideMark/>
          </w:tcPr>
          <w:p w14:paraId="085E9F08" w14:textId="77777777" w:rsidR="003A138C" w:rsidRPr="003A138C" w:rsidRDefault="003A138C" w:rsidP="00AF58DF">
            <w:pPr>
              <w:jc w:val="center"/>
              <w:rPr>
                <w:rFonts w:eastAsia="Times New Roman" w:cs="Calibri"/>
                <w:color w:val="000000"/>
                <w:sz w:val="18"/>
                <w:szCs w:val="18"/>
              </w:rPr>
            </w:pPr>
          </w:p>
        </w:tc>
        <w:tc>
          <w:tcPr>
            <w:tcW w:w="729" w:type="pct"/>
            <w:tcBorders>
              <w:top w:val="nil"/>
              <w:left w:val="nil"/>
              <w:bottom w:val="single" w:sz="4" w:space="0" w:color="000000"/>
              <w:right w:val="single" w:sz="4" w:space="0" w:color="000000"/>
            </w:tcBorders>
            <w:shd w:val="clear" w:color="auto" w:fill="auto"/>
            <w:noWrap/>
            <w:vAlign w:val="center"/>
            <w:hideMark/>
          </w:tcPr>
          <w:p w14:paraId="3107B72C"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200.000,00</w:t>
            </w:r>
          </w:p>
        </w:tc>
      </w:tr>
      <w:tr w:rsidR="009E6E33" w:rsidRPr="003A138C" w14:paraId="02659AE6" w14:textId="77777777" w:rsidTr="00B962B4">
        <w:trPr>
          <w:trHeight w:val="6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09A000B4"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M2</w:t>
            </w:r>
          </w:p>
        </w:tc>
        <w:tc>
          <w:tcPr>
            <w:tcW w:w="882" w:type="pct"/>
            <w:vMerge/>
            <w:tcBorders>
              <w:left w:val="nil"/>
              <w:right w:val="single" w:sz="4" w:space="0" w:color="000000"/>
            </w:tcBorders>
            <w:shd w:val="clear" w:color="auto" w:fill="auto"/>
            <w:noWrap/>
            <w:vAlign w:val="center"/>
            <w:hideMark/>
          </w:tcPr>
          <w:p w14:paraId="5A47BFD2" w14:textId="77777777" w:rsidR="003A138C" w:rsidRPr="003A138C" w:rsidRDefault="003A138C" w:rsidP="00AF58DF">
            <w:pPr>
              <w:rPr>
                <w:rFonts w:eastAsia="Times New Roman" w:cs="Calibri"/>
                <w:color w:val="000000"/>
                <w:sz w:val="18"/>
                <w:szCs w:val="18"/>
              </w:rPr>
            </w:pPr>
          </w:p>
        </w:tc>
        <w:tc>
          <w:tcPr>
            <w:tcW w:w="735" w:type="pct"/>
            <w:tcBorders>
              <w:top w:val="nil"/>
              <w:left w:val="nil"/>
              <w:bottom w:val="single" w:sz="4" w:space="0" w:color="000000"/>
              <w:right w:val="single" w:sz="4" w:space="0" w:color="000000"/>
            </w:tcBorders>
            <w:shd w:val="clear" w:color="auto" w:fill="auto"/>
            <w:vAlign w:val="center"/>
            <w:hideMark/>
          </w:tcPr>
          <w:p w14:paraId="0D96D19B"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0,00</w:t>
            </w:r>
          </w:p>
        </w:tc>
        <w:tc>
          <w:tcPr>
            <w:tcW w:w="594" w:type="pct"/>
            <w:tcBorders>
              <w:top w:val="nil"/>
              <w:left w:val="nil"/>
              <w:bottom w:val="single" w:sz="4" w:space="0" w:color="000000"/>
              <w:right w:val="single" w:sz="4" w:space="0" w:color="000000"/>
            </w:tcBorders>
            <w:shd w:val="clear" w:color="auto" w:fill="auto"/>
            <w:noWrap/>
            <w:vAlign w:val="center"/>
            <w:hideMark/>
          </w:tcPr>
          <w:p w14:paraId="6DF3D384" w14:textId="77777777" w:rsidR="003A138C" w:rsidRPr="003A138C" w:rsidRDefault="003A138C" w:rsidP="00B962B4">
            <w:pPr>
              <w:jc w:val="right"/>
              <w:rPr>
                <w:rFonts w:eastAsia="Times New Roman" w:cs="Calibri"/>
                <w:color w:val="000000"/>
                <w:sz w:val="18"/>
                <w:szCs w:val="18"/>
              </w:rPr>
            </w:pPr>
            <w:r w:rsidRPr="003A138C">
              <w:rPr>
                <w:rFonts w:eastAsia="Times New Roman" w:cs="Calibri"/>
                <w:color w:val="000000"/>
                <w:sz w:val="18"/>
                <w:szCs w:val="18"/>
              </w:rPr>
              <w:t>0</w:t>
            </w:r>
          </w:p>
        </w:tc>
        <w:tc>
          <w:tcPr>
            <w:tcW w:w="736" w:type="pct"/>
            <w:tcBorders>
              <w:top w:val="nil"/>
              <w:left w:val="nil"/>
              <w:bottom w:val="single" w:sz="4" w:space="0" w:color="000000"/>
              <w:right w:val="single" w:sz="4" w:space="0" w:color="000000"/>
            </w:tcBorders>
            <w:shd w:val="clear" w:color="auto" w:fill="auto"/>
            <w:noWrap/>
            <w:vAlign w:val="center"/>
            <w:hideMark/>
          </w:tcPr>
          <w:p w14:paraId="3E064F3D" w14:textId="77777777" w:rsidR="003A138C" w:rsidRPr="003A138C" w:rsidRDefault="003A138C" w:rsidP="009E6E33">
            <w:pPr>
              <w:jc w:val="right"/>
              <w:rPr>
                <w:rFonts w:eastAsia="Times New Roman" w:cs="Calibri"/>
                <w:color w:val="000000"/>
                <w:sz w:val="18"/>
                <w:szCs w:val="18"/>
              </w:rPr>
            </w:pPr>
            <w:r w:rsidRPr="003A138C">
              <w:rPr>
                <w:rFonts w:eastAsia="Times New Roman" w:cs="Calibri"/>
                <w:color w:val="000000"/>
                <w:sz w:val="18"/>
                <w:szCs w:val="18"/>
              </w:rPr>
              <w:t> </w:t>
            </w:r>
          </w:p>
        </w:tc>
        <w:tc>
          <w:tcPr>
            <w:tcW w:w="589" w:type="pct"/>
            <w:tcBorders>
              <w:top w:val="nil"/>
              <w:left w:val="nil"/>
              <w:bottom w:val="single" w:sz="4" w:space="0" w:color="000000"/>
              <w:right w:val="single" w:sz="4" w:space="0" w:color="000000"/>
            </w:tcBorders>
            <w:shd w:val="clear" w:color="auto" w:fill="auto"/>
            <w:noWrap/>
            <w:vAlign w:val="center"/>
            <w:hideMark/>
          </w:tcPr>
          <w:p w14:paraId="131A9A60" w14:textId="77777777" w:rsidR="003A138C" w:rsidRPr="003A138C" w:rsidRDefault="003A138C" w:rsidP="00AF58DF">
            <w:pPr>
              <w:jc w:val="center"/>
              <w:rPr>
                <w:rFonts w:eastAsia="Times New Roman" w:cs="Calibri"/>
                <w:color w:val="000000"/>
                <w:sz w:val="18"/>
                <w:szCs w:val="18"/>
              </w:rPr>
            </w:pPr>
          </w:p>
        </w:tc>
        <w:tc>
          <w:tcPr>
            <w:tcW w:w="729" w:type="pct"/>
            <w:tcBorders>
              <w:top w:val="nil"/>
              <w:left w:val="nil"/>
              <w:bottom w:val="single" w:sz="4" w:space="0" w:color="000000"/>
              <w:right w:val="single" w:sz="4" w:space="0" w:color="000000"/>
            </w:tcBorders>
            <w:shd w:val="clear" w:color="auto" w:fill="auto"/>
            <w:noWrap/>
            <w:vAlign w:val="center"/>
            <w:hideMark/>
          </w:tcPr>
          <w:p w14:paraId="7EA105BA"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100.000,00</w:t>
            </w:r>
          </w:p>
        </w:tc>
      </w:tr>
      <w:tr w:rsidR="009E6E33" w:rsidRPr="003A138C" w14:paraId="067695B0" w14:textId="77777777" w:rsidTr="00B962B4">
        <w:trPr>
          <w:trHeight w:val="6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0EF41371"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M4</w:t>
            </w:r>
          </w:p>
        </w:tc>
        <w:tc>
          <w:tcPr>
            <w:tcW w:w="882" w:type="pct"/>
            <w:vMerge/>
            <w:tcBorders>
              <w:left w:val="nil"/>
              <w:bottom w:val="single" w:sz="4" w:space="0" w:color="000000"/>
              <w:right w:val="single" w:sz="4" w:space="0" w:color="000000"/>
            </w:tcBorders>
            <w:shd w:val="clear" w:color="auto" w:fill="auto"/>
            <w:noWrap/>
            <w:vAlign w:val="center"/>
            <w:hideMark/>
          </w:tcPr>
          <w:p w14:paraId="449A9E22" w14:textId="77777777" w:rsidR="003A138C" w:rsidRPr="003A138C" w:rsidRDefault="003A138C" w:rsidP="00AF58DF">
            <w:pPr>
              <w:rPr>
                <w:rFonts w:eastAsia="Times New Roman" w:cs="Calibri"/>
                <w:color w:val="000000"/>
                <w:sz w:val="18"/>
                <w:szCs w:val="18"/>
              </w:rPr>
            </w:pPr>
          </w:p>
        </w:tc>
        <w:tc>
          <w:tcPr>
            <w:tcW w:w="735" w:type="pct"/>
            <w:tcBorders>
              <w:top w:val="nil"/>
              <w:left w:val="nil"/>
              <w:bottom w:val="single" w:sz="4" w:space="0" w:color="000000"/>
              <w:right w:val="single" w:sz="4" w:space="0" w:color="000000"/>
            </w:tcBorders>
            <w:shd w:val="clear" w:color="auto" w:fill="auto"/>
            <w:vAlign w:val="center"/>
            <w:hideMark/>
          </w:tcPr>
          <w:p w14:paraId="7AB16526"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3.901.415,03</w:t>
            </w:r>
          </w:p>
        </w:tc>
        <w:tc>
          <w:tcPr>
            <w:tcW w:w="594" w:type="pct"/>
            <w:tcBorders>
              <w:top w:val="nil"/>
              <w:left w:val="nil"/>
              <w:bottom w:val="single" w:sz="4" w:space="0" w:color="000000"/>
              <w:right w:val="single" w:sz="4" w:space="0" w:color="000000"/>
            </w:tcBorders>
            <w:shd w:val="clear" w:color="auto" w:fill="auto"/>
            <w:vAlign w:val="center"/>
            <w:hideMark/>
          </w:tcPr>
          <w:p w14:paraId="02826B1A" w14:textId="77777777" w:rsidR="003A138C" w:rsidRPr="003A138C" w:rsidRDefault="003A138C" w:rsidP="00B962B4">
            <w:pPr>
              <w:jc w:val="right"/>
              <w:rPr>
                <w:rFonts w:eastAsia="Times New Roman" w:cs="Calibri"/>
                <w:color w:val="000000"/>
                <w:sz w:val="18"/>
                <w:szCs w:val="18"/>
              </w:rPr>
            </w:pPr>
            <w:r w:rsidRPr="003A138C">
              <w:rPr>
                <w:rFonts w:eastAsia="Times New Roman" w:cs="Calibri"/>
                <w:color w:val="000000"/>
                <w:sz w:val="18"/>
                <w:szCs w:val="18"/>
              </w:rPr>
              <w:t>111,47</w:t>
            </w:r>
          </w:p>
        </w:tc>
        <w:tc>
          <w:tcPr>
            <w:tcW w:w="736" w:type="pct"/>
            <w:tcBorders>
              <w:top w:val="nil"/>
              <w:left w:val="nil"/>
              <w:bottom w:val="single" w:sz="4" w:space="0" w:color="000000"/>
              <w:right w:val="single" w:sz="4" w:space="0" w:color="000000"/>
            </w:tcBorders>
            <w:shd w:val="clear" w:color="auto" w:fill="auto"/>
            <w:noWrap/>
            <w:vAlign w:val="center"/>
            <w:hideMark/>
          </w:tcPr>
          <w:p w14:paraId="60538781" w14:textId="77777777" w:rsidR="003A138C" w:rsidRPr="003A138C" w:rsidRDefault="003A138C" w:rsidP="009E6E33">
            <w:pPr>
              <w:jc w:val="right"/>
              <w:rPr>
                <w:rFonts w:eastAsia="Times New Roman" w:cs="Calibri"/>
                <w:color w:val="000000"/>
                <w:sz w:val="18"/>
                <w:szCs w:val="18"/>
              </w:rPr>
            </w:pPr>
            <w:r w:rsidRPr="003A138C">
              <w:rPr>
                <w:rFonts w:eastAsia="Times New Roman" w:cs="Calibri"/>
                <w:color w:val="000000"/>
                <w:sz w:val="18"/>
                <w:szCs w:val="18"/>
              </w:rPr>
              <w:t> </w:t>
            </w:r>
          </w:p>
        </w:tc>
        <w:tc>
          <w:tcPr>
            <w:tcW w:w="589" w:type="pct"/>
            <w:tcBorders>
              <w:top w:val="nil"/>
              <w:left w:val="nil"/>
              <w:bottom w:val="single" w:sz="4" w:space="0" w:color="000000"/>
              <w:right w:val="single" w:sz="4" w:space="0" w:color="000000"/>
            </w:tcBorders>
            <w:shd w:val="clear" w:color="auto" w:fill="auto"/>
            <w:noWrap/>
            <w:vAlign w:val="center"/>
            <w:hideMark/>
          </w:tcPr>
          <w:p w14:paraId="7F824F81" w14:textId="77777777" w:rsidR="003A138C" w:rsidRPr="003A138C" w:rsidRDefault="003A138C" w:rsidP="00AF58DF">
            <w:pPr>
              <w:jc w:val="center"/>
              <w:rPr>
                <w:rFonts w:eastAsia="Times New Roman" w:cs="Calibri"/>
                <w:color w:val="000000"/>
                <w:sz w:val="18"/>
                <w:szCs w:val="18"/>
              </w:rPr>
            </w:pPr>
          </w:p>
        </w:tc>
        <w:tc>
          <w:tcPr>
            <w:tcW w:w="729" w:type="pct"/>
            <w:tcBorders>
              <w:top w:val="nil"/>
              <w:left w:val="nil"/>
              <w:bottom w:val="single" w:sz="4" w:space="0" w:color="000000"/>
              <w:right w:val="single" w:sz="4" w:space="0" w:color="000000"/>
            </w:tcBorders>
            <w:shd w:val="clear" w:color="auto" w:fill="auto"/>
            <w:noWrap/>
            <w:vAlign w:val="center"/>
            <w:hideMark/>
          </w:tcPr>
          <w:p w14:paraId="4531116E"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3.500.000,00</w:t>
            </w:r>
          </w:p>
        </w:tc>
      </w:tr>
      <w:tr w:rsidR="009E6E33" w:rsidRPr="003A138C" w14:paraId="44A73467" w14:textId="77777777" w:rsidTr="00B962B4">
        <w:trPr>
          <w:trHeight w:val="28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0E59238F" w14:textId="77777777" w:rsidR="003A138C" w:rsidRPr="003A138C" w:rsidRDefault="003A138C" w:rsidP="00AF58DF">
            <w:pPr>
              <w:rPr>
                <w:rFonts w:eastAsia="Times New Roman" w:cs="Calibri"/>
                <w:b/>
                <w:i/>
                <w:color w:val="000000"/>
                <w:sz w:val="18"/>
                <w:szCs w:val="18"/>
              </w:rPr>
            </w:pPr>
            <w:r w:rsidRPr="003A138C">
              <w:rPr>
                <w:rFonts w:eastAsia="Times New Roman" w:cs="Calibri"/>
                <w:b/>
                <w:i/>
                <w:color w:val="000000"/>
                <w:sz w:val="18"/>
                <w:szCs w:val="18"/>
              </w:rPr>
              <w:t>TOTALE</w:t>
            </w:r>
          </w:p>
        </w:tc>
        <w:tc>
          <w:tcPr>
            <w:tcW w:w="882" w:type="pct"/>
            <w:tcBorders>
              <w:top w:val="nil"/>
              <w:left w:val="nil"/>
              <w:bottom w:val="single" w:sz="4" w:space="0" w:color="000000"/>
              <w:right w:val="single" w:sz="4" w:space="0" w:color="000000"/>
            </w:tcBorders>
            <w:shd w:val="clear" w:color="auto" w:fill="auto"/>
            <w:noWrap/>
            <w:vAlign w:val="center"/>
            <w:hideMark/>
          </w:tcPr>
          <w:p w14:paraId="0CB5D548" w14:textId="77777777" w:rsidR="003A138C" w:rsidRPr="003A138C" w:rsidRDefault="003A138C" w:rsidP="00AF58DF">
            <w:pPr>
              <w:rPr>
                <w:rFonts w:eastAsia="Times New Roman" w:cs="Calibri"/>
                <w:b/>
                <w:i/>
                <w:color w:val="000000"/>
                <w:sz w:val="18"/>
                <w:szCs w:val="18"/>
              </w:rPr>
            </w:pPr>
            <w:r w:rsidRPr="003A138C">
              <w:rPr>
                <w:rFonts w:eastAsia="Times New Roman" w:cs="Calibri"/>
                <w:b/>
                <w:i/>
                <w:color w:val="000000"/>
                <w:sz w:val="18"/>
                <w:szCs w:val="18"/>
              </w:rPr>
              <w:t>O1 - Spesa pubblica totale</w:t>
            </w:r>
          </w:p>
        </w:tc>
        <w:tc>
          <w:tcPr>
            <w:tcW w:w="735" w:type="pct"/>
            <w:tcBorders>
              <w:top w:val="nil"/>
              <w:left w:val="nil"/>
              <w:bottom w:val="single" w:sz="4" w:space="0" w:color="000000"/>
              <w:right w:val="single" w:sz="4" w:space="0" w:color="000000"/>
            </w:tcBorders>
            <w:shd w:val="clear" w:color="auto" w:fill="auto"/>
            <w:vAlign w:val="center"/>
            <w:hideMark/>
          </w:tcPr>
          <w:p w14:paraId="36C3E4B4" w14:textId="77777777" w:rsidR="003A138C" w:rsidRPr="003A138C" w:rsidRDefault="003A138C" w:rsidP="00AF58DF">
            <w:pPr>
              <w:jc w:val="right"/>
              <w:rPr>
                <w:rFonts w:eastAsia="Times New Roman" w:cs="Calibri"/>
                <w:b/>
                <w:i/>
                <w:color w:val="000000"/>
                <w:sz w:val="18"/>
                <w:szCs w:val="18"/>
              </w:rPr>
            </w:pPr>
            <w:r w:rsidRPr="003A138C">
              <w:rPr>
                <w:rFonts w:eastAsia="Times New Roman" w:cs="Calibri"/>
                <w:b/>
                <w:i/>
                <w:color w:val="000000"/>
                <w:sz w:val="18"/>
                <w:szCs w:val="18"/>
              </w:rPr>
              <w:t>4.287.072,07</w:t>
            </w:r>
          </w:p>
        </w:tc>
        <w:tc>
          <w:tcPr>
            <w:tcW w:w="594" w:type="pct"/>
            <w:tcBorders>
              <w:top w:val="nil"/>
              <w:left w:val="nil"/>
              <w:bottom w:val="single" w:sz="4" w:space="0" w:color="000000"/>
              <w:right w:val="single" w:sz="4" w:space="0" w:color="000000"/>
            </w:tcBorders>
            <w:shd w:val="clear" w:color="auto" w:fill="auto"/>
            <w:vAlign w:val="center"/>
            <w:hideMark/>
          </w:tcPr>
          <w:p w14:paraId="1429940D" w14:textId="77777777" w:rsidR="003A138C" w:rsidRPr="003A138C" w:rsidRDefault="003A138C" w:rsidP="00B962B4">
            <w:pPr>
              <w:jc w:val="right"/>
              <w:rPr>
                <w:rFonts w:eastAsia="Times New Roman" w:cs="Calibri"/>
                <w:b/>
                <w:i/>
                <w:color w:val="000000"/>
                <w:sz w:val="18"/>
                <w:szCs w:val="18"/>
              </w:rPr>
            </w:pPr>
            <w:r w:rsidRPr="003A138C">
              <w:rPr>
                <w:rFonts w:eastAsia="Times New Roman" w:cs="Calibri"/>
                <w:b/>
                <w:i/>
                <w:color w:val="000000"/>
                <w:sz w:val="18"/>
                <w:szCs w:val="18"/>
              </w:rPr>
              <w:t>112,82</w:t>
            </w:r>
          </w:p>
        </w:tc>
        <w:tc>
          <w:tcPr>
            <w:tcW w:w="736" w:type="pct"/>
            <w:tcBorders>
              <w:top w:val="nil"/>
              <w:left w:val="nil"/>
              <w:bottom w:val="single" w:sz="4" w:space="0" w:color="000000"/>
              <w:right w:val="single" w:sz="4" w:space="0" w:color="000000"/>
            </w:tcBorders>
            <w:shd w:val="clear" w:color="auto" w:fill="auto"/>
            <w:noWrap/>
            <w:vAlign w:val="center"/>
            <w:hideMark/>
          </w:tcPr>
          <w:p w14:paraId="1A217537" w14:textId="77777777" w:rsidR="003A138C" w:rsidRPr="003A138C" w:rsidRDefault="003A138C" w:rsidP="009E6E33">
            <w:pPr>
              <w:jc w:val="right"/>
              <w:rPr>
                <w:rFonts w:eastAsia="Times New Roman" w:cs="Calibri"/>
                <w:b/>
                <w:i/>
                <w:color w:val="000000"/>
                <w:sz w:val="18"/>
                <w:szCs w:val="18"/>
              </w:rPr>
            </w:pPr>
            <w:r w:rsidRPr="003A138C">
              <w:rPr>
                <w:rFonts w:eastAsia="Times New Roman" w:cs="Calibri"/>
                <w:b/>
                <w:i/>
                <w:color w:val="000000"/>
                <w:sz w:val="18"/>
                <w:szCs w:val="18"/>
              </w:rPr>
              <w:t> </w:t>
            </w:r>
          </w:p>
        </w:tc>
        <w:tc>
          <w:tcPr>
            <w:tcW w:w="589" w:type="pct"/>
            <w:tcBorders>
              <w:top w:val="nil"/>
              <w:left w:val="nil"/>
              <w:bottom w:val="single" w:sz="4" w:space="0" w:color="000000"/>
              <w:right w:val="single" w:sz="4" w:space="0" w:color="000000"/>
            </w:tcBorders>
            <w:shd w:val="clear" w:color="auto" w:fill="auto"/>
            <w:noWrap/>
            <w:vAlign w:val="center"/>
            <w:hideMark/>
          </w:tcPr>
          <w:p w14:paraId="109A8531" w14:textId="77777777" w:rsidR="003A138C" w:rsidRPr="003A138C" w:rsidRDefault="003A138C" w:rsidP="00AF58DF">
            <w:pPr>
              <w:jc w:val="center"/>
              <w:rPr>
                <w:rFonts w:eastAsia="Times New Roman" w:cs="Calibri"/>
                <w:b/>
                <w:i/>
                <w:color w:val="000000"/>
                <w:sz w:val="18"/>
                <w:szCs w:val="18"/>
              </w:rPr>
            </w:pPr>
          </w:p>
        </w:tc>
        <w:tc>
          <w:tcPr>
            <w:tcW w:w="729" w:type="pct"/>
            <w:tcBorders>
              <w:top w:val="nil"/>
              <w:left w:val="nil"/>
              <w:bottom w:val="single" w:sz="4" w:space="0" w:color="000000"/>
              <w:right w:val="single" w:sz="4" w:space="0" w:color="000000"/>
            </w:tcBorders>
            <w:shd w:val="clear" w:color="auto" w:fill="auto"/>
            <w:noWrap/>
            <w:vAlign w:val="center"/>
            <w:hideMark/>
          </w:tcPr>
          <w:p w14:paraId="12F463D9" w14:textId="77777777" w:rsidR="003A138C" w:rsidRPr="003A138C" w:rsidRDefault="003A138C" w:rsidP="00AF58DF">
            <w:pPr>
              <w:jc w:val="right"/>
              <w:rPr>
                <w:rFonts w:eastAsia="Times New Roman" w:cs="Calibri"/>
                <w:b/>
                <w:i/>
                <w:color w:val="000000"/>
                <w:sz w:val="18"/>
                <w:szCs w:val="18"/>
              </w:rPr>
            </w:pPr>
            <w:r w:rsidRPr="003A138C">
              <w:rPr>
                <w:rFonts w:eastAsia="Times New Roman" w:cs="Calibri"/>
                <w:b/>
                <w:i/>
                <w:color w:val="000000"/>
                <w:sz w:val="18"/>
                <w:szCs w:val="18"/>
              </w:rPr>
              <w:t>3.800.000,00</w:t>
            </w:r>
          </w:p>
        </w:tc>
      </w:tr>
      <w:tr w:rsidR="009E6E33" w:rsidRPr="003A138C" w14:paraId="273E375D" w14:textId="77777777" w:rsidTr="00B962B4">
        <w:trPr>
          <w:trHeight w:val="2145"/>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5D923293"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5C) Favorire l'approvvigionamento e l'utilizzo di fonti di energia rinnovabili, sottoprodotti, materiali di scarto e residui e altre materie grezze non alimentari ai fini della bioeconomia</w:t>
            </w:r>
          </w:p>
        </w:tc>
        <w:tc>
          <w:tcPr>
            <w:tcW w:w="882" w:type="pct"/>
            <w:tcBorders>
              <w:top w:val="nil"/>
              <w:left w:val="nil"/>
              <w:bottom w:val="single" w:sz="4" w:space="0" w:color="000000"/>
              <w:right w:val="single" w:sz="4" w:space="0" w:color="000000"/>
            </w:tcBorders>
            <w:shd w:val="clear" w:color="auto" w:fill="auto"/>
            <w:vAlign w:val="center"/>
            <w:hideMark/>
          </w:tcPr>
          <w:p w14:paraId="4CAB2577"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T16: totale degli investimenti nella produzione di energia rinnovabile (in EUR)</w:t>
            </w:r>
          </w:p>
        </w:tc>
        <w:tc>
          <w:tcPr>
            <w:tcW w:w="735" w:type="pct"/>
            <w:tcBorders>
              <w:top w:val="nil"/>
              <w:left w:val="nil"/>
              <w:bottom w:val="single" w:sz="4" w:space="0" w:color="000000"/>
              <w:right w:val="single" w:sz="4" w:space="0" w:color="000000"/>
            </w:tcBorders>
            <w:shd w:val="clear" w:color="auto" w:fill="auto"/>
            <w:vAlign w:val="center"/>
            <w:hideMark/>
          </w:tcPr>
          <w:p w14:paraId="5CC92DEE"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6.920.903,21</w:t>
            </w:r>
          </w:p>
        </w:tc>
        <w:tc>
          <w:tcPr>
            <w:tcW w:w="594" w:type="pct"/>
            <w:tcBorders>
              <w:top w:val="nil"/>
              <w:left w:val="nil"/>
              <w:bottom w:val="single" w:sz="4" w:space="0" w:color="000000"/>
              <w:right w:val="single" w:sz="4" w:space="0" w:color="000000"/>
            </w:tcBorders>
            <w:shd w:val="clear" w:color="auto" w:fill="auto"/>
            <w:noWrap/>
            <w:vAlign w:val="center"/>
            <w:hideMark/>
          </w:tcPr>
          <w:p w14:paraId="2CF3EC49" w14:textId="77777777" w:rsidR="003A138C" w:rsidRPr="003A138C" w:rsidRDefault="003A138C" w:rsidP="00B962B4">
            <w:pPr>
              <w:jc w:val="right"/>
              <w:rPr>
                <w:rFonts w:eastAsia="Times New Roman" w:cs="Calibri"/>
                <w:color w:val="000000"/>
                <w:sz w:val="18"/>
                <w:szCs w:val="18"/>
              </w:rPr>
            </w:pPr>
            <w:r w:rsidRPr="003A138C">
              <w:rPr>
                <w:rFonts w:eastAsia="Times New Roman" w:cs="Calibri"/>
                <w:color w:val="000000"/>
                <w:sz w:val="18"/>
                <w:szCs w:val="18"/>
              </w:rPr>
              <w:t>130,58</w:t>
            </w:r>
          </w:p>
        </w:tc>
        <w:tc>
          <w:tcPr>
            <w:tcW w:w="736" w:type="pct"/>
            <w:tcBorders>
              <w:top w:val="nil"/>
              <w:left w:val="nil"/>
              <w:bottom w:val="single" w:sz="4" w:space="0" w:color="000000"/>
              <w:right w:val="single" w:sz="4" w:space="0" w:color="000000"/>
            </w:tcBorders>
            <w:shd w:val="clear" w:color="auto" w:fill="auto"/>
            <w:noWrap/>
            <w:vAlign w:val="center"/>
            <w:hideMark/>
          </w:tcPr>
          <w:p w14:paraId="24BC8AC8" w14:textId="77777777" w:rsidR="003A138C" w:rsidRPr="003A138C" w:rsidRDefault="003A138C" w:rsidP="009E6E33">
            <w:pPr>
              <w:jc w:val="right"/>
              <w:rPr>
                <w:rFonts w:eastAsia="Times New Roman" w:cs="Calibri"/>
                <w:color w:val="000000"/>
                <w:sz w:val="18"/>
                <w:szCs w:val="18"/>
              </w:rPr>
            </w:pPr>
            <w:r w:rsidRPr="003A138C">
              <w:rPr>
                <w:rFonts w:eastAsia="Times New Roman" w:cs="Calibri"/>
                <w:color w:val="000000"/>
                <w:sz w:val="18"/>
                <w:szCs w:val="18"/>
              </w:rPr>
              <w:t> </w:t>
            </w:r>
          </w:p>
        </w:tc>
        <w:tc>
          <w:tcPr>
            <w:tcW w:w="589" w:type="pct"/>
            <w:tcBorders>
              <w:top w:val="nil"/>
              <w:left w:val="nil"/>
              <w:bottom w:val="single" w:sz="4" w:space="0" w:color="000000"/>
              <w:right w:val="single" w:sz="4" w:space="0" w:color="000000"/>
            </w:tcBorders>
            <w:shd w:val="clear" w:color="auto" w:fill="auto"/>
            <w:noWrap/>
            <w:vAlign w:val="center"/>
            <w:hideMark/>
          </w:tcPr>
          <w:p w14:paraId="7024E176" w14:textId="77777777" w:rsidR="003A138C" w:rsidRPr="003A138C" w:rsidRDefault="003A138C" w:rsidP="00AF58DF">
            <w:pPr>
              <w:jc w:val="center"/>
              <w:rPr>
                <w:rFonts w:eastAsia="Times New Roman" w:cs="Calibri"/>
                <w:color w:val="000000"/>
                <w:sz w:val="18"/>
                <w:szCs w:val="18"/>
              </w:rPr>
            </w:pPr>
          </w:p>
        </w:tc>
        <w:tc>
          <w:tcPr>
            <w:tcW w:w="729" w:type="pct"/>
            <w:tcBorders>
              <w:top w:val="nil"/>
              <w:left w:val="nil"/>
              <w:bottom w:val="single" w:sz="4" w:space="0" w:color="000000"/>
              <w:right w:val="single" w:sz="4" w:space="0" w:color="000000"/>
            </w:tcBorders>
            <w:shd w:val="clear" w:color="99FF99" w:fill="auto"/>
            <w:noWrap/>
            <w:vAlign w:val="center"/>
            <w:hideMark/>
          </w:tcPr>
          <w:p w14:paraId="51EA5EA8"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5.300.000,00</w:t>
            </w:r>
          </w:p>
        </w:tc>
      </w:tr>
      <w:tr w:rsidR="009E6E33" w:rsidRPr="003A138C" w14:paraId="02A22093" w14:textId="77777777" w:rsidTr="00B962B4">
        <w:trPr>
          <w:trHeight w:val="6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18DEA695"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M1</w:t>
            </w:r>
          </w:p>
        </w:tc>
        <w:tc>
          <w:tcPr>
            <w:tcW w:w="882" w:type="pct"/>
            <w:vMerge w:val="restart"/>
            <w:tcBorders>
              <w:top w:val="nil"/>
              <w:left w:val="nil"/>
              <w:right w:val="single" w:sz="4" w:space="0" w:color="000000"/>
            </w:tcBorders>
            <w:shd w:val="clear" w:color="auto" w:fill="auto"/>
            <w:noWrap/>
            <w:vAlign w:val="center"/>
            <w:hideMark/>
          </w:tcPr>
          <w:p w14:paraId="30A953A8"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O1 - Spesa pubblica totale</w:t>
            </w:r>
          </w:p>
        </w:tc>
        <w:tc>
          <w:tcPr>
            <w:tcW w:w="735" w:type="pct"/>
            <w:tcBorders>
              <w:top w:val="nil"/>
              <w:left w:val="nil"/>
              <w:bottom w:val="single" w:sz="4" w:space="0" w:color="000000"/>
              <w:right w:val="single" w:sz="4" w:space="0" w:color="000000"/>
            </w:tcBorders>
            <w:shd w:val="clear" w:color="auto" w:fill="auto"/>
            <w:vAlign w:val="center"/>
            <w:hideMark/>
          </w:tcPr>
          <w:p w14:paraId="6AFB3057"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0,00</w:t>
            </w:r>
          </w:p>
        </w:tc>
        <w:tc>
          <w:tcPr>
            <w:tcW w:w="594" w:type="pct"/>
            <w:tcBorders>
              <w:top w:val="nil"/>
              <w:left w:val="nil"/>
              <w:bottom w:val="single" w:sz="4" w:space="0" w:color="000000"/>
              <w:right w:val="single" w:sz="4" w:space="0" w:color="000000"/>
            </w:tcBorders>
            <w:shd w:val="clear" w:color="auto" w:fill="auto"/>
            <w:noWrap/>
            <w:vAlign w:val="center"/>
            <w:hideMark/>
          </w:tcPr>
          <w:p w14:paraId="417A716B" w14:textId="77777777" w:rsidR="003A138C" w:rsidRPr="003A138C" w:rsidRDefault="003A138C" w:rsidP="00B962B4">
            <w:pPr>
              <w:jc w:val="right"/>
              <w:rPr>
                <w:rFonts w:eastAsia="Times New Roman" w:cs="Calibri"/>
                <w:color w:val="000000"/>
                <w:sz w:val="18"/>
                <w:szCs w:val="18"/>
              </w:rPr>
            </w:pPr>
            <w:r w:rsidRPr="003A138C">
              <w:rPr>
                <w:rFonts w:eastAsia="Times New Roman" w:cs="Calibri"/>
                <w:color w:val="000000"/>
                <w:sz w:val="18"/>
                <w:szCs w:val="18"/>
              </w:rPr>
              <w:t>0</w:t>
            </w:r>
          </w:p>
        </w:tc>
        <w:tc>
          <w:tcPr>
            <w:tcW w:w="736" w:type="pct"/>
            <w:tcBorders>
              <w:top w:val="nil"/>
              <w:left w:val="nil"/>
              <w:bottom w:val="single" w:sz="4" w:space="0" w:color="000000"/>
              <w:right w:val="single" w:sz="4" w:space="0" w:color="000000"/>
            </w:tcBorders>
            <w:shd w:val="clear" w:color="auto" w:fill="auto"/>
            <w:noWrap/>
            <w:vAlign w:val="center"/>
            <w:hideMark/>
          </w:tcPr>
          <w:p w14:paraId="115DDA6F" w14:textId="77777777" w:rsidR="003A138C" w:rsidRPr="003A138C" w:rsidRDefault="003A138C" w:rsidP="009E6E33">
            <w:pPr>
              <w:jc w:val="right"/>
              <w:rPr>
                <w:rFonts w:eastAsia="Times New Roman" w:cs="Calibri"/>
                <w:color w:val="000000"/>
                <w:sz w:val="18"/>
                <w:szCs w:val="18"/>
              </w:rPr>
            </w:pPr>
            <w:r w:rsidRPr="003A138C">
              <w:rPr>
                <w:rFonts w:eastAsia="Times New Roman" w:cs="Calibri"/>
                <w:color w:val="000000"/>
                <w:sz w:val="18"/>
                <w:szCs w:val="18"/>
              </w:rPr>
              <w:t> </w:t>
            </w:r>
          </w:p>
        </w:tc>
        <w:tc>
          <w:tcPr>
            <w:tcW w:w="589" w:type="pct"/>
            <w:tcBorders>
              <w:top w:val="nil"/>
              <w:left w:val="nil"/>
              <w:bottom w:val="single" w:sz="4" w:space="0" w:color="000000"/>
              <w:right w:val="single" w:sz="4" w:space="0" w:color="000000"/>
            </w:tcBorders>
            <w:shd w:val="clear" w:color="auto" w:fill="auto"/>
            <w:noWrap/>
            <w:vAlign w:val="center"/>
            <w:hideMark/>
          </w:tcPr>
          <w:p w14:paraId="58918F84" w14:textId="77777777" w:rsidR="003A138C" w:rsidRPr="003A138C" w:rsidRDefault="003A138C" w:rsidP="00AF58DF">
            <w:pPr>
              <w:jc w:val="center"/>
              <w:rPr>
                <w:rFonts w:eastAsia="Times New Roman" w:cs="Calibri"/>
                <w:color w:val="000000"/>
                <w:sz w:val="18"/>
                <w:szCs w:val="18"/>
              </w:rPr>
            </w:pPr>
          </w:p>
        </w:tc>
        <w:tc>
          <w:tcPr>
            <w:tcW w:w="729" w:type="pct"/>
            <w:tcBorders>
              <w:top w:val="nil"/>
              <w:left w:val="nil"/>
              <w:bottom w:val="single" w:sz="4" w:space="0" w:color="000000"/>
              <w:right w:val="single" w:sz="4" w:space="0" w:color="000000"/>
            </w:tcBorders>
            <w:shd w:val="clear" w:color="auto" w:fill="auto"/>
            <w:noWrap/>
            <w:vAlign w:val="center"/>
            <w:hideMark/>
          </w:tcPr>
          <w:p w14:paraId="633BA7D2"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200.000,00</w:t>
            </w:r>
          </w:p>
        </w:tc>
      </w:tr>
      <w:tr w:rsidR="009E6E33" w:rsidRPr="003A138C" w14:paraId="1CB11921" w14:textId="77777777" w:rsidTr="00B962B4">
        <w:trPr>
          <w:trHeight w:val="6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20C84F7E"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M2</w:t>
            </w:r>
          </w:p>
        </w:tc>
        <w:tc>
          <w:tcPr>
            <w:tcW w:w="882" w:type="pct"/>
            <w:vMerge/>
            <w:tcBorders>
              <w:left w:val="nil"/>
              <w:right w:val="single" w:sz="4" w:space="0" w:color="000000"/>
            </w:tcBorders>
            <w:shd w:val="clear" w:color="auto" w:fill="auto"/>
            <w:noWrap/>
            <w:vAlign w:val="center"/>
            <w:hideMark/>
          </w:tcPr>
          <w:p w14:paraId="3F9E4F12" w14:textId="77777777" w:rsidR="003A138C" w:rsidRPr="003A138C" w:rsidRDefault="003A138C" w:rsidP="00AF58DF">
            <w:pPr>
              <w:rPr>
                <w:rFonts w:eastAsia="Times New Roman" w:cs="Calibri"/>
                <w:color w:val="000000"/>
                <w:sz w:val="18"/>
                <w:szCs w:val="18"/>
              </w:rPr>
            </w:pPr>
          </w:p>
        </w:tc>
        <w:tc>
          <w:tcPr>
            <w:tcW w:w="735" w:type="pct"/>
            <w:tcBorders>
              <w:top w:val="nil"/>
              <w:left w:val="nil"/>
              <w:bottom w:val="single" w:sz="4" w:space="0" w:color="000000"/>
              <w:right w:val="single" w:sz="4" w:space="0" w:color="000000"/>
            </w:tcBorders>
            <w:shd w:val="clear" w:color="auto" w:fill="auto"/>
            <w:vAlign w:val="center"/>
            <w:hideMark/>
          </w:tcPr>
          <w:p w14:paraId="374C3C28"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0,00</w:t>
            </w:r>
          </w:p>
        </w:tc>
        <w:tc>
          <w:tcPr>
            <w:tcW w:w="594" w:type="pct"/>
            <w:tcBorders>
              <w:top w:val="nil"/>
              <w:left w:val="nil"/>
              <w:bottom w:val="single" w:sz="4" w:space="0" w:color="000000"/>
              <w:right w:val="single" w:sz="4" w:space="0" w:color="000000"/>
            </w:tcBorders>
            <w:shd w:val="clear" w:color="auto" w:fill="auto"/>
            <w:noWrap/>
            <w:vAlign w:val="center"/>
            <w:hideMark/>
          </w:tcPr>
          <w:p w14:paraId="02ACA37A" w14:textId="77777777" w:rsidR="003A138C" w:rsidRPr="003A138C" w:rsidRDefault="003A138C" w:rsidP="00B962B4">
            <w:pPr>
              <w:jc w:val="right"/>
              <w:rPr>
                <w:rFonts w:eastAsia="Times New Roman" w:cs="Calibri"/>
                <w:color w:val="000000"/>
                <w:sz w:val="18"/>
                <w:szCs w:val="18"/>
              </w:rPr>
            </w:pPr>
            <w:r w:rsidRPr="003A138C">
              <w:rPr>
                <w:rFonts w:eastAsia="Times New Roman" w:cs="Calibri"/>
                <w:color w:val="000000"/>
                <w:sz w:val="18"/>
                <w:szCs w:val="18"/>
              </w:rPr>
              <w:t>0</w:t>
            </w:r>
          </w:p>
        </w:tc>
        <w:tc>
          <w:tcPr>
            <w:tcW w:w="736" w:type="pct"/>
            <w:tcBorders>
              <w:top w:val="nil"/>
              <w:left w:val="nil"/>
              <w:bottom w:val="single" w:sz="4" w:space="0" w:color="000000"/>
              <w:right w:val="single" w:sz="4" w:space="0" w:color="000000"/>
            </w:tcBorders>
            <w:shd w:val="clear" w:color="auto" w:fill="auto"/>
            <w:noWrap/>
            <w:vAlign w:val="center"/>
            <w:hideMark/>
          </w:tcPr>
          <w:p w14:paraId="340823BD" w14:textId="77777777" w:rsidR="003A138C" w:rsidRPr="003A138C" w:rsidRDefault="003A138C" w:rsidP="009E6E33">
            <w:pPr>
              <w:jc w:val="right"/>
              <w:rPr>
                <w:rFonts w:eastAsia="Times New Roman" w:cs="Calibri"/>
                <w:color w:val="000000"/>
                <w:sz w:val="18"/>
                <w:szCs w:val="18"/>
              </w:rPr>
            </w:pPr>
            <w:r w:rsidRPr="003A138C">
              <w:rPr>
                <w:rFonts w:eastAsia="Times New Roman" w:cs="Calibri"/>
                <w:color w:val="000000"/>
                <w:sz w:val="18"/>
                <w:szCs w:val="18"/>
              </w:rPr>
              <w:t> </w:t>
            </w:r>
          </w:p>
        </w:tc>
        <w:tc>
          <w:tcPr>
            <w:tcW w:w="589" w:type="pct"/>
            <w:tcBorders>
              <w:top w:val="nil"/>
              <w:left w:val="nil"/>
              <w:bottom w:val="single" w:sz="4" w:space="0" w:color="000000"/>
              <w:right w:val="single" w:sz="4" w:space="0" w:color="000000"/>
            </w:tcBorders>
            <w:shd w:val="clear" w:color="auto" w:fill="auto"/>
            <w:noWrap/>
            <w:vAlign w:val="center"/>
            <w:hideMark/>
          </w:tcPr>
          <w:p w14:paraId="374FC7C7" w14:textId="77777777" w:rsidR="003A138C" w:rsidRPr="003A138C" w:rsidRDefault="003A138C" w:rsidP="00AF58DF">
            <w:pPr>
              <w:jc w:val="center"/>
              <w:rPr>
                <w:rFonts w:eastAsia="Times New Roman" w:cs="Calibri"/>
                <w:color w:val="000000"/>
                <w:sz w:val="18"/>
                <w:szCs w:val="18"/>
              </w:rPr>
            </w:pPr>
          </w:p>
        </w:tc>
        <w:tc>
          <w:tcPr>
            <w:tcW w:w="729" w:type="pct"/>
            <w:tcBorders>
              <w:top w:val="nil"/>
              <w:left w:val="nil"/>
              <w:bottom w:val="single" w:sz="4" w:space="0" w:color="000000"/>
              <w:right w:val="single" w:sz="4" w:space="0" w:color="000000"/>
            </w:tcBorders>
            <w:shd w:val="clear" w:color="auto" w:fill="auto"/>
            <w:noWrap/>
            <w:vAlign w:val="center"/>
            <w:hideMark/>
          </w:tcPr>
          <w:p w14:paraId="0AAFFE07"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150.000,00</w:t>
            </w:r>
          </w:p>
        </w:tc>
      </w:tr>
      <w:tr w:rsidR="009E6E33" w:rsidRPr="003A138C" w14:paraId="545A8362" w14:textId="77777777" w:rsidTr="00B962B4">
        <w:trPr>
          <w:trHeight w:val="6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511DBE82"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M6</w:t>
            </w:r>
          </w:p>
        </w:tc>
        <w:tc>
          <w:tcPr>
            <w:tcW w:w="882" w:type="pct"/>
            <w:vMerge/>
            <w:tcBorders>
              <w:left w:val="nil"/>
              <w:bottom w:val="single" w:sz="4" w:space="0" w:color="000000"/>
              <w:right w:val="single" w:sz="4" w:space="0" w:color="000000"/>
            </w:tcBorders>
            <w:shd w:val="clear" w:color="auto" w:fill="auto"/>
            <w:noWrap/>
            <w:vAlign w:val="center"/>
            <w:hideMark/>
          </w:tcPr>
          <w:p w14:paraId="7D2271EA" w14:textId="77777777" w:rsidR="003A138C" w:rsidRPr="003A138C" w:rsidRDefault="003A138C" w:rsidP="00AF58DF">
            <w:pPr>
              <w:rPr>
                <w:rFonts w:eastAsia="Times New Roman" w:cs="Calibri"/>
                <w:color w:val="000000"/>
                <w:sz w:val="18"/>
                <w:szCs w:val="18"/>
              </w:rPr>
            </w:pPr>
          </w:p>
        </w:tc>
        <w:tc>
          <w:tcPr>
            <w:tcW w:w="735" w:type="pct"/>
            <w:tcBorders>
              <w:top w:val="nil"/>
              <w:left w:val="nil"/>
              <w:bottom w:val="single" w:sz="4" w:space="0" w:color="000000"/>
              <w:right w:val="single" w:sz="4" w:space="0" w:color="000000"/>
            </w:tcBorders>
            <w:shd w:val="clear" w:color="auto" w:fill="auto"/>
            <w:vAlign w:val="center"/>
            <w:hideMark/>
          </w:tcPr>
          <w:p w14:paraId="2D792568"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2.266.541,31</w:t>
            </w:r>
          </w:p>
        </w:tc>
        <w:tc>
          <w:tcPr>
            <w:tcW w:w="594" w:type="pct"/>
            <w:tcBorders>
              <w:top w:val="nil"/>
              <w:left w:val="nil"/>
              <w:bottom w:val="single" w:sz="4" w:space="0" w:color="000000"/>
              <w:right w:val="single" w:sz="4" w:space="0" w:color="000000"/>
            </w:tcBorders>
            <w:shd w:val="clear" w:color="auto" w:fill="auto"/>
            <w:vAlign w:val="center"/>
            <w:hideMark/>
          </w:tcPr>
          <w:p w14:paraId="1B9CC2F4" w14:textId="77777777" w:rsidR="003A138C" w:rsidRPr="003A138C" w:rsidRDefault="003A138C" w:rsidP="00B962B4">
            <w:pPr>
              <w:jc w:val="right"/>
              <w:rPr>
                <w:rFonts w:eastAsia="Times New Roman" w:cs="Calibri"/>
                <w:color w:val="000000"/>
                <w:sz w:val="18"/>
                <w:szCs w:val="18"/>
              </w:rPr>
            </w:pPr>
            <w:r w:rsidRPr="003A138C">
              <w:rPr>
                <w:rFonts w:eastAsia="Times New Roman" w:cs="Calibri"/>
                <w:color w:val="000000"/>
                <w:sz w:val="18"/>
                <w:szCs w:val="18"/>
              </w:rPr>
              <w:t>113,33</w:t>
            </w:r>
          </w:p>
        </w:tc>
        <w:tc>
          <w:tcPr>
            <w:tcW w:w="736" w:type="pct"/>
            <w:tcBorders>
              <w:top w:val="nil"/>
              <w:left w:val="nil"/>
              <w:bottom w:val="single" w:sz="4" w:space="0" w:color="000000"/>
              <w:right w:val="single" w:sz="4" w:space="0" w:color="000000"/>
            </w:tcBorders>
            <w:shd w:val="clear" w:color="auto" w:fill="auto"/>
            <w:vAlign w:val="center"/>
            <w:hideMark/>
          </w:tcPr>
          <w:p w14:paraId="67EFB8A5" w14:textId="77777777" w:rsidR="003A138C" w:rsidRPr="003A138C" w:rsidRDefault="003A138C" w:rsidP="009E6E33">
            <w:pPr>
              <w:jc w:val="right"/>
              <w:rPr>
                <w:rFonts w:eastAsia="Times New Roman" w:cs="Calibri"/>
                <w:color w:val="000000"/>
                <w:sz w:val="18"/>
                <w:szCs w:val="18"/>
              </w:rPr>
            </w:pPr>
            <w:r w:rsidRPr="003A138C">
              <w:rPr>
                <w:rFonts w:eastAsia="Times New Roman" w:cs="Calibri"/>
                <w:color w:val="000000"/>
                <w:sz w:val="18"/>
                <w:szCs w:val="18"/>
              </w:rPr>
              <w:t>150.000,00</w:t>
            </w:r>
          </w:p>
        </w:tc>
        <w:tc>
          <w:tcPr>
            <w:tcW w:w="589" w:type="pct"/>
            <w:tcBorders>
              <w:top w:val="nil"/>
              <w:left w:val="nil"/>
              <w:bottom w:val="single" w:sz="4" w:space="0" w:color="000000"/>
              <w:right w:val="single" w:sz="4" w:space="0" w:color="000000"/>
            </w:tcBorders>
            <w:shd w:val="clear" w:color="auto" w:fill="auto"/>
            <w:vAlign w:val="center"/>
            <w:hideMark/>
          </w:tcPr>
          <w:p w14:paraId="728B8002"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7,5</w:t>
            </w:r>
          </w:p>
        </w:tc>
        <w:tc>
          <w:tcPr>
            <w:tcW w:w="729" w:type="pct"/>
            <w:tcBorders>
              <w:top w:val="nil"/>
              <w:left w:val="nil"/>
              <w:bottom w:val="single" w:sz="4" w:space="0" w:color="000000"/>
              <w:right w:val="single" w:sz="4" w:space="0" w:color="000000"/>
            </w:tcBorders>
            <w:shd w:val="clear" w:color="auto" w:fill="auto"/>
            <w:noWrap/>
            <w:vAlign w:val="center"/>
            <w:hideMark/>
          </w:tcPr>
          <w:p w14:paraId="6CBAC668"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2.000.000,00</w:t>
            </w:r>
          </w:p>
        </w:tc>
      </w:tr>
      <w:tr w:rsidR="009E6E33" w:rsidRPr="003A138C" w14:paraId="4918E473" w14:textId="77777777" w:rsidTr="00B962B4">
        <w:trPr>
          <w:trHeight w:val="285"/>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2F6F2D54" w14:textId="77777777" w:rsidR="003A138C" w:rsidRPr="003A138C" w:rsidRDefault="003A138C" w:rsidP="00AF58DF">
            <w:pPr>
              <w:rPr>
                <w:rFonts w:eastAsia="Times New Roman" w:cs="Calibri"/>
                <w:b/>
                <w:i/>
                <w:color w:val="000000"/>
                <w:sz w:val="18"/>
                <w:szCs w:val="18"/>
              </w:rPr>
            </w:pPr>
            <w:r w:rsidRPr="003A138C">
              <w:rPr>
                <w:rFonts w:eastAsia="Times New Roman" w:cs="Calibri"/>
                <w:b/>
                <w:i/>
                <w:color w:val="000000"/>
                <w:sz w:val="18"/>
                <w:szCs w:val="18"/>
              </w:rPr>
              <w:t>TOTALE</w:t>
            </w:r>
          </w:p>
        </w:tc>
        <w:tc>
          <w:tcPr>
            <w:tcW w:w="882" w:type="pct"/>
            <w:tcBorders>
              <w:top w:val="nil"/>
              <w:left w:val="nil"/>
              <w:bottom w:val="single" w:sz="4" w:space="0" w:color="000000"/>
              <w:right w:val="single" w:sz="4" w:space="0" w:color="000000"/>
            </w:tcBorders>
            <w:shd w:val="clear" w:color="auto" w:fill="auto"/>
            <w:noWrap/>
            <w:vAlign w:val="center"/>
            <w:hideMark/>
          </w:tcPr>
          <w:p w14:paraId="572ACA7A" w14:textId="77777777" w:rsidR="003A138C" w:rsidRPr="003A138C" w:rsidRDefault="003A138C" w:rsidP="00AF58DF">
            <w:pPr>
              <w:rPr>
                <w:rFonts w:eastAsia="Times New Roman" w:cs="Calibri"/>
                <w:b/>
                <w:i/>
                <w:color w:val="000000"/>
                <w:sz w:val="18"/>
                <w:szCs w:val="18"/>
              </w:rPr>
            </w:pPr>
            <w:r w:rsidRPr="003A138C">
              <w:rPr>
                <w:rFonts w:eastAsia="Times New Roman" w:cs="Calibri"/>
                <w:b/>
                <w:i/>
                <w:color w:val="000000"/>
                <w:sz w:val="18"/>
                <w:szCs w:val="18"/>
              </w:rPr>
              <w:t>O1 - Spesa pubblica totale</w:t>
            </w:r>
          </w:p>
        </w:tc>
        <w:tc>
          <w:tcPr>
            <w:tcW w:w="735" w:type="pct"/>
            <w:tcBorders>
              <w:top w:val="nil"/>
              <w:left w:val="nil"/>
              <w:bottom w:val="single" w:sz="4" w:space="0" w:color="000000"/>
              <w:right w:val="single" w:sz="4" w:space="0" w:color="000000"/>
            </w:tcBorders>
            <w:shd w:val="clear" w:color="auto" w:fill="auto"/>
            <w:vAlign w:val="center"/>
            <w:hideMark/>
          </w:tcPr>
          <w:p w14:paraId="1FA697CB" w14:textId="77777777" w:rsidR="003A138C" w:rsidRPr="003A138C" w:rsidRDefault="003A138C" w:rsidP="00AF58DF">
            <w:pPr>
              <w:jc w:val="right"/>
              <w:rPr>
                <w:rFonts w:eastAsia="Times New Roman" w:cs="Calibri"/>
                <w:b/>
                <w:i/>
                <w:color w:val="000000"/>
                <w:sz w:val="18"/>
                <w:szCs w:val="18"/>
              </w:rPr>
            </w:pPr>
            <w:r w:rsidRPr="003A138C">
              <w:rPr>
                <w:rFonts w:eastAsia="Times New Roman" w:cs="Calibri"/>
                <w:b/>
                <w:i/>
                <w:color w:val="000000"/>
                <w:sz w:val="18"/>
                <w:szCs w:val="18"/>
              </w:rPr>
              <w:t>2.266.541,31</w:t>
            </w:r>
          </w:p>
        </w:tc>
        <w:tc>
          <w:tcPr>
            <w:tcW w:w="594" w:type="pct"/>
            <w:tcBorders>
              <w:top w:val="nil"/>
              <w:left w:val="nil"/>
              <w:bottom w:val="single" w:sz="4" w:space="0" w:color="000000"/>
              <w:right w:val="single" w:sz="4" w:space="0" w:color="000000"/>
            </w:tcBorders>
            <w:shd w:val="clear" w:color="auto" w:fill="auto"/>
            <w:vAlign w:val="center"/>
            <w:hideMark/>
          </w:tcPr>
          <w:p w14:paraId="551A08AF" w14:textId="77777777" w:rsidR="003A138C" w:rsidRPr="003A138C" w:rsidRDefault="003A138C" w:rsidP="00B962B4">
            <w:pPr>
              <w:jc w:val="right"/>
              <w:rPr>
                <w:rFonts w:eastAsia="Times New Roman" w:cs="Calibri"/>
                <w:b/>
                <w:i/>
                <w:color w:val="000000"/>
                <w:sz w:val="18"/>
                <w:szCs w:val="18"/>
              </w:rPr>
            </w:pPr>
            <w:r w:rsidRPr="003A138C">
              <w:rPr>
                <w:rFonts w:eastAsia="Times New Roman" w:cs="Calibri"/>
                <w:b/>
                <w:i/>
                <w:color w:val="000000"/>
                <w:sz w:val="18"/>
                <w:szCs w:val="18"/>
              </w:rPr>
              <w:t>96,45</w:t>
            </w:r>
          </w:p>
        </w:tc>
        <w:tc>
          <w:tcPr>
            <w:tcW w:w="736" w:type="pct"/>
            <w:tcBorders>
              <w:top w:val="nil"/>
              <w:left w:val="nil"/>
              <w:bottom w:val="single" w:sz="4" w:space="0" w:color="000000"/>
              <w:right w:val="single" w:sz="4" w:space="0" w:color="000000"/>
            </w:tcBorders>
            <w:shd w:val="clear" w:color="auto" w:fill="auto"/>
            <w:vAlign w:val="center"/>
            <w:hideMark/>
          </w:tcPr>
          <w:p w14:paraId="62CBF56B" w14:textId="77777777" w:rsidR="003A138C" w:rsidRPr="003A138C" w:rsidRDefault="003A138C" w:rsidP="009E6E33">
            <w:pPr>
              <w:jc w:val="right"/>
              <w:rPr>
                <w:rFonts w:eastAsia="Times New Roman" w:cs="Calibri"/>
                <w:b/>
                <w:i/>
                <w:color w:val="000000"/>
                <w:sz w:val="18"/>
                <w:szCs w:val="18"/>
              </w:rPr>
            </w:pPr>
            <w:r w:rsidRPr="003A138C">
              <w:rPr>
                <w:rFonts w:eastAsia="Times New Roman" w:cs="Calibri"/>
                <w:b/>
                <w:i/>
                <w:color w:val="000000"/>
                <w:sz w:val="18"/>
                <w:szCs w:val="18"/>
              </w:rPr>
              <w:t>150.000,00</w:t>
            </w:r>
          </w:p>
        </w:tc>
        <w:tc>
          <w:tcPr>
            <w:tcW w:w="589" w:type="pct"/>
            <w:tcBorders>
              <w:top w:val="nil"/>
              <w:left w:val="nil"/>
              <w:bottom w:val="single" w:sz="4" w:space="0" w:color="000000"/>
              <w:right w:val="single" w:sz="4" w:space="0" w:color="000000"/>
            </w:tcBorders>
            <w:shd w:val="clear" w:color="auto" w:fill="auto"/>
            <w:vAlign w:val="center"/>
            <w:hideMark/>
          </w:tcPr>
          <w:p w14:paraId="4592ED87" w14:textId="77777777" w:rsidR="003A138C" w:rsidRPr="003A138C" w:rsidRDefault="003A138C" w:rsidP="00AF58DF">
            <w:pPr>
              <w:jc w:val="center"/>
              <w:rPr>
                <w:rFonts w:eastAsia="Times New Roman" w:cs="Calibri"/>
                <w:b/>
                <w:i/>
                <w:color w:val="000000"/>
                <w:sz w:val="18"/>
                <w:szCs w:val="18"/>
              </w:rPr>
            </w:pPr>
            <w:r w:rsidRPr="003A138C">
              <w:rPr>
                <w:rFonts w:eastAsia="Times New Roman" w:cs="Calibri"/>
                <w:b/>
                <w:i/>
                <w:color w:val="000000"/>
                <w:sz w:val="18"/>
                <w:szCs w:val="18"/>
              </w:rPr>
              <w:t>6,38</w:t>
            </w:r>
          </w:p>
        </w:tc>
        <w:tc>
          <w:tcPr>
            <w:tcW w:w="729" w:type="pct"/>
            <w:tcBorders>
              <w:top w:val="nil"/>
              <w:left w:val="nil"/>
              <w:bottom w:val="single" w:sz="4" w:space="0" w:color="000000"/>
              <w:right w:val="single" w:sz="4" w:space="0" w:color="000000"/>
            </w:tcBorders>
            <w:shd w:val="clear" w:color="auto" w:fill="auto"/>
            <w:noWrap/>
            <w:vAlign w:val="center"/>
            <w:hideMark/>
          </w:tcPr>
          <w:p w14:paraId="30AF1DD9" w14:textId="77777777" w:rsidR="003A138C" w:rsidRPr="003A138C" w:rsidRDefault="003A138C" w:rsidP="00AF58DF">
            <w:pPr>
              <w:jc w:val="right"/>
              <w:rPr>
                <w:rFonts w:eastAsia="Times New Roman" w:cs="Calibri"/>
                <w:b/>
                <w:i/>
                <w:color w:val="000000"/>
                <w:sz w:val="18"/>
                <w:szCs w:val="18"/>
              </w:rPr>
            </w:pPr>
            <w:r w:rsidRPr="003A138C">
              <w:rPr>
                <w:rFonts w:eastAsia="Times New Roman" w:cs="Calibri"/>
                <w:b/>
                <w:i/>
                <w:color w:val="000000"/>
                <w:sz w:val="18"/>
                <w:szCs w:val="18"/>
              </w:rPr>
              <w:t>2.350.000,00</w:t>
            </w:r>
          </w:p>
        </w:tc>
      </w:tr>
      <w:tr w:rsidR="009E6E33" w:rsidRPr="003A138C" w14:paraId="315EFE4A" w14:textId="77777777" w:rsidTr="00B962B4">
        <w:trPr>
          <w:trHeight w:val="1100"/>
        </w:trPr>
        <w:tc>
          <w:tcPr>
            <w:tcW w:w="735" w:type="pct"/>
            <w:vMerge w:val="restart"/>
            <w:tcBorders>
              <w:top w:val="nil"/>
              <w:left w:val="single" w:sz="4" w:space="0" w:color="000000"/>
              <w:right w:val="single" w:sz="4" w:space="0" w:color="000000"/>
            </w:tcBorders>
            <w:shd w:val="clear" w:color="auto" w:fill="auto"/>
            <w:noWrap/>
            <w:vAlign w:val="center"/>
            <w:hideMark/>
          </w:tcPr>
          <w:p w14:paraId="5B00E8B7"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5D) Ridurre le emissioni di gas a effetto serra e di ammoniaca prodotte dall'agricoltura</w:t>
            </w:r>
          </w:p>
        </w:tc>
        <w:tc>
          <w:tcPr>
            <w:tcW w:w="882" w:type="pct"/>
            <w:tcBorders>
              <w:top w:val="nil"/>
              <w:left w:val="nil"/>
              <w:bottom w:val="single" w:sz="4" w:space="0" w:color="000000"/>
              <w:right w:val="single" w:sz="4" w:space="0" w:color="000000"/>
            </w:tcBorders>
            <w:shd w:val="clear" w:color="auto" w:fill="auto"/>
            <w:vAlign w:val="center"/>
            <w:hideMark/>
          </w:tcPr>
          <w:p w14:paraId="4CECA59F"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T18: percentuale di terreni agricoli oggetto di contratti di gestione miranti a ridurre le emissioni di GHG e/o ammoniaca</w:t>
            </w:r>
          </w:p>
        </w:tc>
        <w:tc>
          <w:tcPr>
            <w:tcW w:w="735" w:type="pct"/>
            <w:tcBorders>
              <w:top w:val="nil"/>
              <w:left w:val="nil"/>
              <w:bottom w:val="single" w:sz="4" w:space="0" w:color="000000"/>
              <w:right w:val="single" w:sz="4" w:space="0" w:color="000000"/>
            </w:tcBorders>
            <w:shd w:val="clear" w:color="auto" w:fill="auto"/>
            <w:noWrap/>
            <w:vAlign w:val="center"/>
            <w:hideMark/>
          </w:tcPr>
          <w:p w14:paraId="2D9AA93E"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 </w:t>
            </w:r>
          </w:p>
        </w:tc>
        <w:tc>
          <w:tcPr>
            <w:tcW w:w="594" w:type="pct"/>
            <w:tcBorders>
              <w:top w:val="nil"/>
              <w:left w:val="nil"/>
              <w:bottom w:val="single" w:sz="4" w:space="0" w:color="000000"/>
              <w:right w:val="single" w:sz="4" w:space="0" w:color="000000"/>
            </w:tcBorders>
            <w:shd w:val="clear" w:color="auto" w:fill="auto"/>
            <w:noWrap/>
            <w:vAlign w:val="center"/>
            <w:hideMark/>
          </w:tcPr>
          <w:p w14:paraId="215B7941" w14:textId="77777777" w:rsidR="003A138C" w:rsidRPr="003A138C" w:rsidRDefault="003A138C" w:rsidP="00B962B4">
            <w:pPr>
              <w:jc w:val="right"/>
              <w:rPr>
                <w:rFonts w:eastAsia="Times New Roman" w:cs="Calibri"/>
                <w:color w:val="000000"/>
                <w:sz w:val="18"/>
                <w:szCs w:val="18"/>
              </w:rPr>
            </w:pPr>
          </w:p>
        </w:tc>
        <w:tc>
          <w:tcPr>
            <w:tcW w:w="736" w:type="pct"/>
            <w:tcBorders>
              <w:top w:val="nil"/>
              <w:left w:val="nil"/>
              <w:bottom w:val="single" w:sz="4" w:space="0" w:color="000000"/>
              <w:right w:val="single" w:sz="4" w:space="0" w:color="000000"/>
            </w:tcBorders>
            <w:shd w:val="clear" w:color="auto" w:fill="auto"/>
            <w:noWrap/>
            <w:vAlign w:val="center"/>
            <w:hideMark/>
          </w:tcPr>
          <w:p w14:paraId="4D478243" w14:textId="77777777" w:rsidR="003A138C" w:rsidRPr="003A138C" w:rsidRDefault="003A138C" w:rsidP="009E6E33">
            <w:pPr>
              <w:jc w:val="right"/>
              <w:rPr>
                <w:rFonts w:eastAsia="Times New Roman" w:cs="Calibri"/>
                <w:color w:val="000000"/>
                <w:sz w:val="18"/>
                <w:szCs w:val="18"/>
              </w:rPr>
            </w:pPr>
            <w:r w:rsidRPr="003A138C">
              <w:rPr>
                <w:rFonts w:eastAsia="Times New Roman" w:cs="Calibri"/>
                <w:color w:val="000000"/>
                <w:sz w:val="18"/>
                <w:szCs w:val="18"/>
              </w:rPr>
              <w:t>0,24</w:t>
            </w:r>
          </w:p>
        </w:tc>
        <w:tc>
          <w:tcPr>
            <w:tcW w:w="589" w:type="pct"/>
            <w:tcBorders>
              <w:top w:val="nil"/>
              <w:left w:val="nil"/>
              <w:bottom w:val="single" w:sz="4" w:space="0" w:color="000000"/>
              <w:right w:val="single" w:sz="4" w:space="0" w:color="000000"/>
            </w:tcBorders>
            <w:shd w:val="clear" w:color="auto" w:fill="auto"/>
            <w:noWrap/>
            <w:vAlign w:val="center"/>
            <w:hideMark/>
          </w:tcPr>
          <w:p w14:paraId="4B5D2167" w14:textId="561A43A1"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39,</w:t>
            </w:r>
            <w:r w:rsidR="00661EED">
              <w:rPr>
                <w:rFonts w:eastAsia="Times New Roman" w:cs="Calibri"/>
                <w:color w:val="000000"/>
                <w:sz w:val="18"/>
                <w:szCs w:val="18"/>
              </w:rPr>
              <w:t>34</w:t>
            </w:r>
          </w:p>
        </w:tc>
        <w:tc>
          <w:tcPr>
            <w:tcW w:w="729" w:type="pct"/>
            <w:tcBorders>
              <w:top w:val="nil"/>
              <w:left w:val="nil"/>
              <w:bottom w:val="single" w:sz="4" w:space="0" w:color="000000"/>
              <w:right w:val="single" w:sz="4" w:space="0" w:color="000000"/>
            </w:tcBorders>
            <w:shd w:val="clear" w:color="99FF99" w:fill="auto"/>
            <w:noWrap/>
            <w:vAlign w:val="center"/>
            <w:hideMark/>
          </w:tcPr>
          <w:p w14:paraId="4ED736D2"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0,61</w:t>
            </w:r>
          </w:p>
        </w:tc>
      </w:tr>
      <w:tr w:rsidR="009E6E33" w:rsidRPr="003A138C" w14:paraId="0C6A48F9" w14:textId="77777777" w:rsidTr="00B962B4">
        <w:trPr>
          <w:trHeight w:val="1100"/>
        </w:trPr>
        <w:tc>
          <w:tcPr>
            <w:tcW w:w="735" w:type="pct"/>
            <w:vMerge/>
            <w:tcBorders>
              <w:left w:val="single" w:sz="4" w:space="0" w:color="000000"/>
              <w:bottom w:val="single" w:sz="4" w:space="0" w:color="000000"/>
              <w:right w:val="single" w:sz="4" w:space="0" w:color="000000"/>
            </w:tcBorders>
            <w:shd w:val="clear" w:color="auto" w:fill="auto"/>
            <w:noWrap/>
            <w:vAlign w:val="center"/>
            <w:hideMark/>
          </w:tcPr>
          <w:p w14:paraId="244E3B38" w14:textId="77777777" w:rsidR="003A138C" w:rsidRPr="003A138C" w:rsidRDefault="003A138C" w:rsidP="00AF58DF">
            <w:pPr>
              <w:rPr>
                <w:rFonts w:eastAsia="Times New Roman" w:cs="Calibri"/>
                <w:color w:val="000000"/>
                <w:sz w:val="18"/>
                <w:szCs w:val="18"/>
              </w:rPr>
            </w:pPr>
          </w:p>
        </w:tc>
        <w:tc>
          <w:tcPr>
            <w:tcW w:w="882" w:type="pct"/>
            <w:tcBorders>
              <w:top w:val="nil"/>
              <w:left w:val="nil"/>
              <w:bottom w:val="single" w:sz="4" w:space="0" w:color="000000"/>
              <w:right w:val="single" w:sz="4" w:space="0" w:color="000000"/>
            </w:tcBorders>
            <w:shd w:val="clear" w:color="auto" w:fill="auto"/>
            <w:vAlign w:val="center"/>
            <w:hideMark/>
          </w:tcPr>
          <w:p w14:paraId="6842A11E"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T17: percentuale di UBA interessata da investimenti nella gestione dell'allevamento miranti a ridurre le emissioni di GHG e/o ammoniaca</w:t>
            </w:r>
          </w:p>
        </w:tc>
        <w:tc>
          <w:tcPr>
            <w:tcW w:w="735" w:type="pct"/>
            <w:tcBorders>
              <w:top w:val="nil"/>
              <w:left w:val="nil"/>
              <w:bottom w:val="single" w:sz="4" w:space="0" w:color="000000"/>
              <w:right w:val="single" w:sz="4" w:space="0" w:color="000000"/>
            </w:tcBorders>
            <w:shd w:val="clear" w:color="auto" w:fill="auto"/>
            <w:noWrap/>
            <w:vAlign w:val="center"/>
            <w:hideMark/>
          </w:tcPr>
          <w:p w14:paraId="5F2BEA91"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 </w:t>
            </w:r>
          </w:p>
        </w:tc>
        <w:tc>
          <w:tcPr>
            <w:tcW w:w="594" w:type="pct"/>
            <w:tcBorders>
              <w:top w:val="nil"/>
              <w:left w:val="nil"/>
              <w:bottom w:val="single" w:sz="4" w:space="0" w:color="000000"/>
              <w:right w:val="single" w:sz="4" w:space="0" w:color="000000"/>
            </w:tcBorders>
            <w:shd w:val="clear" w:color="auto" w:fill="auto"/>
            <w:noWrap/>
            <w:vAlign w:val="center"/>
            <w:hideMark/>
          </w:tcPr>
          <w:p w14:paraId="32D2A161" w14:textId="77777777" w:rsidR="003A138C" w:rsidRPr="003A138C" w:rsidRDefault="003A138C" w:rsidP="00B962B4">
            <w:pPr>
              <w:jc w:val="right"/>
              <w:rPr>
                <w:rFonts w:eastAsia="Times New Roman" w:cs="Calibri"/>
                <w:color w:val="000000"/>
                <w:sz w:val="18"/>
                <w:szCs w:val="18"/>
              </w:rPr>
            </w:pPr>
          </w:p>
        </w:tc>
        <w:tc>
          <w:tcPr>
            <w:tcW w:w="736" w:type="pct"/>
            <w:tcBorders>
              <w:top w:val="nil"/>
              <w:left w:val="nil"/>
              <w:bottom w:val="single" w:sz="4" w:space="0" w:color="000000"/>
              <w:right w:val="single" w:sz="4" w:space="0" w:color="000000"/>
            </w:tcBorders>
            <w:shd w:val="clear" w:color="auto" w:fill="auto"/>
            <w:noWrap/>
            <w:vAlign w:val="center"/>
            <w:hideMark/>
          </w:tcPr>
          <w:p w14:paraId="5585E4DF" w14:textId="77777777" w:rsidR="003A138C" w:rsidRPr="003A138C" w:rsidRDefault="003A138C" w:rsidP="009E6E33">
            <w:pPr>
              <w:jc w:val="right"/>
              <w:rPr>
                <w:rFonts w:eastAsia="Times New Roman" w:cs="Calibri"/>
                <w:color w:val="000000"/>
                <w:sz w:val="18"/>
                <w:szCs w:val="18"/>
              </w:rPr>
            </w:pPr>
            <w:r w:rsidRPr="003A138C">
              <w:rPr>
                <w:rFonts w:eastAsia="Times New Roman" w:cs="Calibri"/>
                <w:color w:val="000000"/>
                <w:sz w:val="18"/>
                <w:szCs w:val="18"/>
              </w:rPr>
              <w:t> </w:t>
            </w:r>
          </w:p>
        </w:tc>
        <w:tc>
          <w:tcPr>
            <w:tcW w:w="589" w:type="pct"/>
            <w:tcBorders>
              <w:top w:val="nil"/>
              <w:left w:val="nil"/>
              <w:bottom w:val="single" w:sz="4" w:space="0" w:color="000000"/>
              <w:right w:val="single" w:sz="4" w:space="0" w:color="000000"/>
            </w:tcBorders>
            <w:shd w:val="clear" w:color="auto" w:fill="auto"/>
            <w:noWrap/>
            <w:vAlign w:val="center"/>
            <w:hideMark/>
          </w:tcPr>
          <w:p w14:paraId="0CAA28AA" w14:textId="77777777" w:rsidR="003A138C" w:rsidRPr="003A138C" w:rsidRDefault="003A138C" w:rsidP="00AF58DF">
            <w:pPr>
              <w:jc w:val="center"/>
              <w:rPr>
                <w:rFonts w:eastAsia="Times New Roman" w:cs="Calibri"/>
                <w:color w:val="000000"/>
                <w:sz w:val="18"/>
                <w:szCs w:val="18"/>
              </w:rPr>
            </w:pPr>
          </w:p>
        </w:tc>
        <w:tc>
          <w:tcPr>
            <w:tcW w:w="729" w:type="pct"/>
            <w:tcBorders>
              <w:top w:val="nil"/>
              <w:left w:val="nil"/>
              <w:bottom w:val="single" w:sz="4" w:space="0" w:color="000000"/>
              <w:right w:val="single" w:sz="4" w:space="0" w:color="000000"/>
            </w:tcBorders>
            <w:shd w:val="clear" w:color="99FF99" w:fill="auto"/>
            <w:noWrap/>
            <w:vAlign w:val="center"/>
            <w:hideMark/>
          </w:tcPr>
          <w:p w14:paraId="76E6B994"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0</w:t>
            </w:r>
          </w:p>
        </w:tc>
      </w:tr>
      <w:tr w:rsidR="009E6E33" w:rsidRPr="003A138C" w14:paraId="6AC0C68B" w14:textId="77777777" w:rsidTr="00B962B4">
        <w:trPr>
          <w:trHeight w:val="6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647E22A4"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M1</w:t>
            </w:r>
          </w:p>
        </w:tc>
        <w:tc>
          <w:tcPr>
            <w:tcW w:w="882" w:type="pct"/>
            <w:vMerge w:val="restart"/>
            <w:tcBorders>
              <w:top w:val="nil"/>
              <w:left w:val="nil"/>
              <w:right w:val="single" w:sz="4" w:space="0" w:color="000000"/>
            </w:tcBorders>
            <w:shd w:val="clear" w:color="auto" w:fill="auto"/>
            <w:noWrap/>
            <w:vAlign w:val="center"/>
            <w:hideMark/>
          </w:tcPr>
          <w:p w14:paraId="5603D188"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O1 - Spesa pubblica totale</w:t>
            </w:r>
          </w:p>
        </w:tc>
        <w:tc>
          <w:tcPr>
            <w:tcW w:w="735" w:type="pct"/>
            <w:tcBorders>
              <w:top w:val="nil"/>
              <w:left w:val="nil"/>
              <w:bottom w:val="single" w:sz="4" w:space="0" w:color="000000"/>
              <w:right w:val="single" w:sz="4" w:space="0" w:color="000000"/>
            </w:tcBorders>
            <w:shd w:val="clear" w:color="auto" w:fill="auto"/>
            <w:vAlign w:val="center"/>
            <w:hideMark/>
          </w:tcPr>
          <w:p w14:paraId="6B8A3415"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227.626,97</w:t>
            </w:r>
          </w:p>
        </w:tc>
        <w:tc>
          <w:tcPr>
            <w:tcW w:w="594" w:type="pct"/>
            <w:tcBorders>
              <w:top w:val="nil"/>
              <w:left w:val="nil"/>
              <w:bottom w:val="single" w:sz="4" w:space="0" w:color="000000"/>
              <w:right w:val="single" w:sz="4" w:space="0" w:color="000000"/>
            </w:tcBorders>
            <w:shd w:val="clear" w:color="auto" w:fill="auto"/>
            <w:vAlign w:val="center"/>
            <w:hideMark/>
          </w:tcPr>
          <w:p w14:paraId="2FFCF620" w14:textId="77777777" w:rsidR="003A138C" w:rsidRPr="003A138C" w:rsidRDefault="003A138C" w:rsidP="00B962B4">
            <w:pPr>
              <w:jc w:val="right"/>
              <w:rPr>
                <w:rFonts w:eastAsia="Times New Roman" w:cs="Calibri"/>
                <w:color w:val="000000"/>
                <w:sz w:val="18"/>
                <w:szCs w:val="18"/>
              </w:rPr>
            </w:pPr>
            <w:r w:rsidRPr="003A138C">
              <w:rPr>
                <w:rFonts w:eastAsia="Times New Roman" w:cs="Calibri"/>
                <w:color w:val="000000"/>
                <w:sz w:val="18"/>
                <w:szCs w:val="18"/>
              </w:rPr>
              <w:t>113,81</w:t>
            </w:r>
          </w:p>
        </w:tc>
        <w:tc>
          <w:tcPr>
            <w:tcW w:w="736" w:type="pct"/>
            <w:tcBorders>
              <w:top w:val="nil"/>
              <w:left w:val="nil"/>
              <w:bottom w:val="single" w:sz="4" w:space="0" w:color="000000"/>
              <w:right w:val="single" w:sz="4" w:space="0" w:color="000000"/>
            </w:tcBorders>
            <w:shd w:val="clear" w:color="auto" w:fill="F8943F" w:themeFill="accent6"/>
            <w:vAlign w:val="center"/>
            <w:hideMark/>
          </w:tcPr>
          <w:p w14:paraId="167B0411" w14:textId="77777777" w:rsidR="003A138C" w:rsidRPr="003A138C" w:rsidRDefault="003A138C" w:rsidP="009E6E33">
            <w:pPr>
              <w:jc w:val="right"/>
              <w:rPr>
                <w:rFonts w:eastAsia="Times New Roman" w:cs="Calibri"/>
                <w:color w:val="000000"/>
                <w:sz w:val="18"/>
                <w:szCs w:val="18"/>
              </w:rPr>
            </w:pPr>
            <w:r w:rsidRPr="003A138C">
              <w:rPr>
                <w:rFonts w:eastAsia="Times New Roman" w:cs="Calibri"/>
                <w:color w:val="000000"/>
                <w:sz w:val="18"/>
                <w:szCs w:val="18"/>
              </w:rPr>
              <w:t>194.608,40</w:t>
            </w:r>
          </w:p>
        </w:tc>
        <w:tc>
          <w:tcPr>
            <w:tcW w:w="589" w:type="pct"/>
            <w:tcBorders>
              <w:top w:val="nil"/>
              <w:left w:val="nil"/>
              <w:bottom w:val="single" w:sz="4" w:space="0" w:color="000000"/>
              <w:right w:val="single" w:sz="4" w:space="0" w:color="000000"/>
            </w:tcBorders>
            <w:shd w:val="clear" w:color="auto" w:fill="F8943F" w:themeFill="accent6"/>
            <w:vAlign w:val="center"/>
            <w:hideMark/>
          </w:tcPr>
          <w:p w14:paraId="0857BCDF"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97,3</w:t>
            </w:r>
          </w:p>
        </w:tc>
        <w:tc>
          <w:tcPr>
            <w:tcW w:w="729" w:type="pct"/>
            <w:tcBorders>
              <w:top w:val="nil"/>
              <w:left w:val="nil"/>
              <w:bottom w:val="single" w:sz="4" w:space="0" w:color="000000"/>
              <w:right w:val="single" w:sz="4" w:space="0" w:color="000000"/>
            </w:tcBorders>
            <w:shd w:val="clear" w:color="auto" w:fill="F8943F" w:themeFill="accent6"/>
            <w:noWrap/>
            <w:vAlign w:val="center"/>
            <w:hideMark/>
          </w:tcPr>
          <w:p w14:paraId="28F56F6F"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200.000,00</w:t>
            </w:r>
          </w:p>
        </w:tc>
      </w:tr>
      <w:tr w:rsidR="009E6E33" w:rsidRPr="003A138C" w14:paraId="6017FAB1" w14:textId="77777777" w:rsidTr="00B962B4">
        <w:trPr>
          <w:trHeight w:val="6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008DBECE"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M2</w:t>
            </w:r>
          </w:p>
        </w:tc>
        <w:tc>
          <w:tcPr>
            <w:tcW w:w="882" w:type="pct"/>
            <w:vMerge/>
            <w:tcBorders>
              <w:left w:val="nil"/>
              <w:right w:val="single" w:sz="4" w:space="0" w:color="000000"/>
            </w:tcBorders>
            <w:shd w:val="clear" w:color="auto" w:fill="auto"/>
            <w:noWrap/>
            <w:vAlign w:val="center"/>
            <w:hideMark/>
          </w:tcPr>
          <w:p w14:paraId="58DDA56C" w14:textId="77777777" w:rsidR="003A138C" w:rsidRPr="003A138C" w:rsidRDefault="003A138C" w:rsidP="00AF58DF">
            <w:pPr>
              <w:rPr>
                <w:rFonts w:eastAsia="Times New Roman" w:cs="Calibri"/>
                <w:color w:val="000000"/>
                <w:sz w:val="18"/>
                <w:szCs w:val="18"/>
              </w:rPr>
            </w:pPr>
          </w:p>
        </w:tc>
        <w:tc>
          <w:tcPr>
            <w:tcW w:w="735" w:type="pct"/>
            <w:tcBorders>
              <w:top w:val="nil"/>
              <w:left w:val="nil"/>
              <w:bottom w:val="single" w:sz="4" w:space="0" w:color="000000"/>
              <w:right w:val="single" w:sz="4" w:space="0" w:color="000000"/>
            </w:tcBorders>
            <w:shd w:val="clear" w:color="auto" w:fill="auto"/>
            <w:noWrap/>
            <w:vAlign w:val="center"/>
            <w:hideMark/>
          </w:tcPr>
          <w:p w14:paraId="4A20101A"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0,00</w:t>
            </w:r>
          </w:p>
        </w:tc>
        <w:tc>
          <w:tcPr>
            <w:tcW w:w="594" w:type="pct"/>
            <w:tcBorders>
              <w:top w:val="nil"/>
              <w:left w:val="nil"/>
              <w:bottom w:val="single" w:sz="4" w:space="0" w:color="000000"/>
              <w:right w:val="single" w:sz="4" w:space="0" w:color="000000"/>
            </w:tcBorders>
            <w:shd w:val="clear" w:color="auto" w:fill="auto"/>
            <w:noWrap/>
            <w:vAlign w:val="center"/>
            <w:hideMark/>
          </w:tcPr>
          <w:p w14:paraId="4B16A204" w14:textId="77777777" w:rsidR="003A138C" w:rsidRPr="003A138C" w:rsidRDefault="003A138C" w:rsidP="00B962B4">
            <w:pPr>
              <w:jc w:val="right"/>
              <w:rPr>
                <w:rFonts w:eastAsia="Times New Roman" w:cs="Calibri"/>
                <w:color w:val="000000"/>
                <w:sz w:val="18"/>
                <w:szCs w:val="18"/>
              </w:rPr>
            </w:pPr>
            <w:r w:rsidRPr="003A138C">
              <w:rPr>
                <w:rFonts w:eastAsia="Times New Roman" w:cs="Calibri"/>
                <w:color w:val="000000"/>
                <w:sz w:val="18"/>
                <w:szCs w:val="18"/>
              </w:rPr>
              <w:t>0</w:t>
            </w:r>
          </w:p>
        </w:tc>
        <w:tc>
          <w:tcPr>
            <w:tcW w:w="736" w:type="pct"/>
            <w:tcBorders>
              <w:top w:val="nil"/>
              <w:left w:val="nil"/>
              <w:bottom w:val="single" w:sz="4" w:space="0" w:color="000000"/>
              <w:right w:val="single" w:sz="4" w:space="0" w:color="000000"/>
            </w:tcBorders>
            <w:shd w:val="clear" w:color="auto" w:fill="auto"/>
            <w:noWrap/>
            <w:vAlign w:val="center"/>
            <w:hideMark/>
          </w:tcPr>
          <w:p w14:paraId="3E5254DC" w14:textId="77777777" w:rsidR="003A138C" w:rsidRPr="003A138C" w:rsidRDefault="003A138C" w:rsidP="009E6E33">
            <w:pPr>
              <w:jc w:val="right"/>
              <w:rPr>
                <w:rFonts w:eastAsia="Times New Roman" w:cs="Calibri"/>
                <w:color w:val="000000"/>
                <w:sz w:val="18"/>
                <w:szCs w:val="18"/>
              </w:rPr>
            </w:pPr>
            <w:r w:rsidRPr="003A138C">
              <w:rPr>
                <w:rFonts w:eastAsia="Times New Roman" w:cs="Calibri"/>
                <w:color w:val="000000"/>
                <w:sz w:val="18"/>
                <w:szCs w:val="18"/>
              </w:rPr>
              <w:t> </w:t>
            </w:r>
          </w:p>
        </w:tc>
        <w:tc>
          <w:tcPr>
            <w:tcW w:w="589" w:type="pct"/>
            <w:tcBorders>
              <w:top w:val="nil"/>
              <w:left w:val="nil"/>
              <w:bottom w:val="single" w:sz="4" w:space="0" w:color="000000"/>
              <w:right w:val="single" w:sz="4" w:space="0" w:color="000000"/>
            </w:tcBorders>
            <w:shd w:val="clear" w:color="auto" w:fill="auto"/>
            <w:noWrap/>
            <w:vAlign w:val="center"/>
            <w:hideMark/>
          </w:tcPr>
          <w:p w14:paraId="778E5ADA" w14:textId="77777777" w:rsidR="003A138C" w:rsidRPr="003A138C" w:rsidRDefault="003A138C" w:rsidP="00AF58DF">
            <w:pPr>
              <w:jc w:val="center"/>
              <w:rPr>
                <w:rFonts w:eastAsia="Times New Roman" w:cs="Calibri"/>
                <w:color w:val="000000"/>
                <w:sz w:val="18"/>
                <w:szCs w:val="18"/>
              </w:rPr>
            </w:pPr>
          </w:p>
        </w:tc>
        <w:tc>
          <w:tcPr>
            <w:tcW w:w="729" w:type="pct"/>
            <w:tcBorders>
              <w:top w:val="nil"/>
              <w:left w:val="nil"/>
              <w:bottom w:val="single" w:sz="4" w:space="0" w:color="000000"/>
              <w:right w:val="single" w:sz="4" w:space="0" w:color="000000"/>
            </w:tcBorders>
            <w:shd w:val="clear" w:color="auto" w:fill="auto"/>
            <w:noWrap/>
            <w:vAlign w:val="center"/>
            <w:hideMark/>
          </w:tcPr>
          <w:p w14:paraId="2B4062B8"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100.000,00</w:t>
            </w:r>
          </w:p>
        </w:tc>
      </w:tr>
      <w:tr w:rsidR="009E6E33" w:rsidRPr="003A138C" w14:paraId="26D417F5" w14:textId="77777777" w:rsidTr="00B962B4">
        <w:trPr>
          <w:trHeight w:val="6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12F94DF1"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M10</w:t>
            </w:r>
          </w:p>
        </w:tc>
        <w:tc>
          <w:tcPr>
            <w:tcW w:w="882" w:type="pct"/>
            <w:vMerge/>
            <w:tcBorders>
              <w:left w:val="nil"/>
              <w:bottom w:val="single" w:sz="4" w:space="0" w:color="000000"/>
              <w:right w:val="single" w:sz="4" w:space="0" w:color="000000"/>
            </w:tcBorders>
            <w:shd w:val="clear" w:color="auto" w:fill="auto"/>
            <w:noWrap/>
            <w:vAlign w:val="center"/>
            <w:hideMark/>
          </w:tcPr>
          <w:p w14:paraId="012FD0C6" w14:textId="77777777" w:rsidR="003A138C" w:rsidRPr="003A138C" w:rsidRDefault="003A138C" w:rsidP="00AF58DF">
            <w:pPr>
              <w:rPr>
                <w:rFonts w:eastAsia="Times New Roman" w:cs="Calibri"/>
                <w:color w:val="000000"/>
                <w:sz w:val="18"/>
                <w:szCs w:val="18"/>
              </w:rPr>
            </w:pPr>
          </w:p>
        </w:tc>
        <w:tc>
          <w:tcPr>
            <w:tcW w:w="735" w:type="pct"/>
            <w:tcBorders>
              <w:top w:val="nil"/>
              <w:left w:val="nil"/>
              <w:bottom w:val="single" w:sz="4" w:space="0" w:color="000000"/>
              <w:right w:val="single" w:sz="4" w:space="0" w:color="000000"/>
            </w:tcBorders>
            <w:shd w:val="clear" w:color="auto" w:fill="auto"/>
            <w:vAlign w:val="center"/>
            <w:hideMark/>
          </w:tcPr>
          <w:p w14:paraId="2268F494"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628.987,21</w:t>
            </w:r>
          </w:p>
        </w:tc>
        <w:tc>
          <w:tcPr>
            <w:tcW w:w="594" w:type="pct"/>
            <w:tcBorders>
              <w:top w:val="nil"/>
              <w:left w:val="nil"/>
              <w:bottom w:val="single" w:sz="4" w:space="0" w:color="000000"/>
              <w:right w:val="single" w:sz="4" w:space="0" w:color="000000"/>
            </w:tcBorders>
            <w:shd w:val="clear" w:color="auto" w:fill="auto"/>
            <w:vAlign w:val="center"/>
            <w:hideMark/>
          </w:tcPr>
          <w:p w14:paraId="2F7B9188" w14:textId="77777777" w:rsidR="003A138C" w:rsidRPr="003A138C" w:rsidRDefault="003A138C" w:rsidP="00B962B4">
            <w:pPr>
              <w:jc w:val="right"/>
              <w:rPr>
                <w:rFonts w:eastAsia="Times New Roman" w:cs="Calibri"/>
                <w:color w:val="000000"/>
                <w:sz w:val="18"/>
                <w:szCs w:val="18"/>
              </w:rPr>
            </w:pPr>
            <w:r w:rsidRPr="003A138C">
              <w:rPr>
                <w:rFonts w:eastAsia="Times New Roman" w:cs="Calibri"/>
                <w:color w:val="000000"/>
                <w:sz w:val="18"/>
                <w:szCs w:val="18"/>
              </w:rPr>
              <w:t>11,65</w:t>
            </w:r>
          </w:p>
        </w:tc>
        <w:tc>
          <w:tcPr>
            <w:tcW w:w="736" w:type="pct"/>
            <w:tcBorders>
              <w:top w:val="nil"/>
              <w:left w:val="nil"/>
              <w:bottom w:val="single" w:sz="4" w:space="0" w:color="000000"/>
              <w:right w:val="single" w:sz="4" w:space="0" w:color="000000"/>
            </w:tcBorders>
            <w:shd w:val="clear" w:color="auto" w:fill="auto"/>
            <w:vAlign w:val="center"/>
            <w:hideMark/>
          </w:tcPr>
          <w:p w14:paraId="328AE37D" w14:textId="6F359B22" w:rsidR="003A138C" w:rsidRPr="003A138C" w:rsidRDefault="00CE5BCF" w:rsidP="009E6E33">
            <w:pPr>
              <w:jc w:val="right"/>
              <w:rPr>
                <w:rFonts w:eastAsia="Times New Roman" w:cs="Calibri"/>
                <w:color w:val="000000"/>
                <w:sz w:val="18"/>
                <w:szCs w:val="18"/>
              </w:rPr>
            </w:pPr>
            <w:r w:rsidRPr="00CE5BCF">
              <w:rPr>
                <w:rFonts w:eastAsia="Times New Roman" w:cs="Calibri"/>
                <w:color w:val="000000"/>
                <w:sz w:val="18"/>
                <w:szCs w:val="18"/>
              </w:rPr>
              <w:t>582.875,86</w:t>
            </w:r>
          </w:p>
        </w:tc>
        <w:tc>
          <w:tcPr>
            <w:tcW w:w="589" w:type="pct"/>
            <w:tcBorders>
              <w:top w:val="nil"/>
              <w:left w:val="nil"/>
              <w:bottom w:val="single" w:sz="4" w:space="0" w:color="000000"/>
              <w:right w:val="single" w:sz="4" w:space="0" w:color="000000"/>
            </w:tcBorders>
            <w:shd w:val="clear" w:color="auto" w:fill="auto"/>
            <w:vAlign w:val="center"/>
            <w:hideMark/>
          </w:tcPr>
          <w:p w14:paraId="154602C6"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10,97</w:t>
            </w:r>
          </w:p>
        </w:tc>
        <w:tc>
          <w:tcPr>
            <w:tcW w:w="729" w:type="pct"/>
            <w:tcBorders>
              <w:top w:val="nil"/>
              <w:left w:val="nil"/>
              <w:bottom w:val="single" w:sz="4" w:space="0" w:color="000000"/>
              <w:right w:val="single" w:sz="4" w:space="0" w:color="000000"/>
            </w:tcBorders>
            <w:shd w:val="clear" w:color="auto" w:fill="auto"/>
            <w:noWrap/>
            <w:vAlign w:val="center"/>
            <w:hideMark/>
          </w:tcPr>
          <w:p w14:paraId="39E52548"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5.400.000,00</w:t>
            </w:r>
          </w:p>
        </w:tc>
      </w:tr>
      <w:tr w:rsidR="009E6E33" w:rsidRPr="003A138C" w14:paraId="20A76C46" w14:textId="77777777" w:rsidTr="00B962B4">
        <w:trPr>
          <w:trHeight w:val="28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31A7D73D" w14:textId="77777777" w:rsidR="003A138C" w:rsidRPr="003A138C" w:rsidRDefault="003A138C" w:rsidP="00AF58DF">
            <w:pPr>
              <w:rPr>
                <w:rFonts w:eastAsia="Times New Roman" w:cs="Calibri"/>
                <w:b/>
                <w:i/>
                <w:color w:val="000000"/>
                <w:sz w:val="18"/>
                <w:szCs w:val="18"/>
              </w:rPr>
            </w:pPr>
            <w:r w:rsidRPr="003A138C">
              <w:rPr>
                <w:rFonts w:eastAsia="Times New Roman" w:cs="Calibri"/>
                <w:b/>
                <w:i/>
                <w:color w:val="000000"/>
                <w:sz w:val="18"/>
                <w:szCs w:val="18"/>
              </w:rPr>
              <w:t>TOTALE</w:t>
            </w:r>
          </w:p>
        </w:tc>
        <w:tc>
          <w:tcPr>
            <w:tcW w:w="882" w:type="pct"/>
            <w:tcBorders>
              <w:top w:val="nil"/>
              <w:left w:val="nil"/>
              <w:bottom w:val="single" w:sz="4" w:space="0" w:color="000000"/>
              <w:right w:val="single" w:sz="4" w:space="0" w:color="000000"/>
            </w:tcBorders>
            <w:shd w:val="clear" w:color="auto" w:fill="auto"/>
            <w:noWrap/>
            <w:vAlign w:val="center"/>
            <w:hideMark/>
          </w:tcPr>
          <w:p w14:paraId="0EF912B5" w14:textId="77777777" w:rsidR="003A138C" w:rsidRPr="003A138C" w:rsidRDefault="003A138C" w:rsidP="00AF58DF">
            <w:pPr>
              <w:rPr>
                <w:rFonts w:eastAsia="Times New Roman" w:cs="Calibri"/>
                <w:b/>
                <w:i/>
                <w:color w:val="000000"/>
                <w:sz w:val="18"/>
                <w:szCs w:val="18"/>
              </w:rPr>
            </w:pPr>
            <w:r w:rsidRPr="003A138C">
              <w:rPr>
                <w:rFonts w:eastAsia="Times New Roman" w:cs="Calibri"/>
                <w:b/>
                <w:i/>
                <w:color w:val="000000"/>
                <w:sz w:val="18"/>
                <w:szCs w:val="18"/>
              </w:rPr>
              <w:t>O1 - Spesa pubblica totale</w:t>
            </w:r>
          </w:p>
        </w:tc>
        <w:tc>
          <w:tcPr>
            <w:tcW w:w="735" w:type="pct"/>
            <w:tcBorders>
              <w:top w:val="nil"/>
              <w:left w:val="nil"/>
              <w:bottom w:val="single" w:sz="4" w:space="0" w:color="000000"/>
              <w:right w:val="single" w:sz="4" w:space="0" w:color="000000"/>
            </w:tcBorders>
            <w:shd w:val="clear" w:color="auto" w:fill="auto"/>
            <w:vAlign w:val="center"/>
            <w:hideMark/>
          </w:tcPr>
          <w:p w14:paraId="044F718A" w14:textId="77777777" w:rsidR="003A138C" w:rsidRPr="003A138C" w:rsidRDefault="003A138C" w:rsidP="00AF58DF">
            <w:pPr>
              <w:jc w:val="right"/>
              <w:rPr>
                <w:rFonts w:eastAsia="Times New Roman" w:cs="Calibri"/>
                <w:b/>
                <w:i/>
                <w:color w:val="000000"/>
                <w:sz w:val="18"/>
                <w:szCs w:val="18"/>
              </w:rPr>
            </w:pPr>
            <w:r w:rsidRPr="003A138C">
              <w:rPr>
                <w:rFonts w:eastAsia="Times New Roman" w:cs="Calibri"/>
                <w:b/>
                <w:i/>
                <w:color w:val="000000"/>
                <w:sz w:val="18"/>
                <w:szCs w:val="18"/>
              </w:rPr>
              <w:t>856.614,18</w:t>
            </w:r>
          </w:p>
        </w:tc>
        <w:tc>
          <w:tcPr>
            <w:tcW w:w="594" w:type="pct"/>
            <w:tcBorders>
              <w:top w:val="nil"/>
              <w:left w:val="nil"/>
              <w:bottom w:val="single" w:sz="4" w:space="0" w:color="000000"/>
              <w:right w:val="single" w:sz="4" w:space="0" w:color="000000"/>
            </w:tcBorders>
            <w:shd w:val="clear" w:color="auto" w:fill="auto"/>
            <w:vAlign w:val="center"/>
            <w:hideMark/>
          </w:tcPr>
          <w:p w14:paraId="76C36F0E" w14:textId="77777777" w:rsidR="003A138C" w:rsidRPr="003A138C" w:rsidRDefault="003A138C" w:rsidP="00B962B4">
            <w:pPr>
              <w:jc w:val="right"/>
              <w:rPr>
                <w:rFonts w:eastAsia="Times New Roman" w:cs="Calibri"/>
                <w:b/>
                <w:i/>
                <w:color w:val="000000"/>
                <w:sz w:val="18"/>
                <w:szCs w:val="18"/>
              </w:rPr>
            </w:pPr>
            <w:r w:rsidRPr="003A138C">
              <w:rPr>
                <w:rFonts w:eastAsia="Times New Roman" w:cs="Calibri"/>
                <w:b/>
                <w:i/>
                <w:color w:val="000000"/>
                <w:sz w:val="18"/>
                <w:szCs w:val="18"/>
              </w:rPr>
              <w:t>15,03</w:t>
            </w:r>
          </w:p>
        </w:tc>
        <w:tc>
          <w:tcPr>
            <w:tcW w:w="736" w:type="pct"/>
            <w:tcBorders>
              <w:top w:val="nil"/>
              <w:left w:val="nil"/>
              <w:bottom w:val="single" w:sz="4" w:space="0" w:color="000000"/>
              <w:right w:val="single" w:sz="4" w:space="0" w:color="000000"/>
            </w:tcBorders>
            <w:shd w:val="clear" w:color="auto" w:fill="auto"/>
            <w:vAlign w:val="center"/>
            <w:hideMark/>
          </w:tcPr>
          <w:p w14:paraId="42886791" w14:textId="296308FD" w:rsidR="003A138C" w:rsidRPr="003A138C" w:rsidRDefault="008C2B0E" w:rsidP="009E6E33">
            <w:pPr>
              <w:jc w:val="right"/>
              <w:rPr>
                <w:rFonts w:eastAsia="Times New Roman" w:cs="Calibri"/>
                <w:b/>
                <w:i/>
                <w:color w:val="000000"/>
                <w:sz w:val="18"/>
                <w:szCs w:val="18"/>
              </w:rPr>
            </w:pPr>
            <w:r w:rsidRPr="008C2B0E">
              <w:rPr>
                <w:rFonts w:eastAsia="Times New Roman" w:cs="Calibri"/>
                <w:b/>
                <w:i/>
                <w:color w:val="000000"/>
                <w:sz w:val="18"/>
                <w:szCs w:val="18"/>
              </w:rPr>
              <w:t>777.484,26</w:t>
            </w:r>
          </w:p>
        </w:tc>
        <w:tc>
          <w:tcPr>
            <w:tcW w:w="589" w:type="pct"/>
            <w:tcBorders>
              <w:top w:val="nil"/>
              <w:left w:val="nil"/>
              <w:bottom w:val="single" w:sz="4" w:space="0" w:color="000000"/>
              <w:right w:val="single" w:sz="4" w:space="0" w:color="000000"/>
            </w:tcBorders>
            <w:shd w:val="clear" w:color="auto" w:fill="auto"/>
            <w:vAlign w:val="center"/>
            <w:hideMark/>
          </w:tcPr>
          <w:p w14:paraId="05FA0CB5" w14:textId="196F33D7" w:rsidR="003A138C" w:rsidRPr="003A138C" w:rsidRDefault="00777ED6" w:rsidP="00AF58DF">
            <w:pPr>
              <w:jc w:val="center"/>
              <w:rPr>
                <w:rFonts w:eastAsia="Times New Roman" w:cs="Calibri"/>
                <w:b/>
                <w:i/>
                <w:color w:val="000000"/>
                <w:sz w:val="18"/>
                <w:szCs w:val="18"/>
              </w:rPr>
            </w:pPr>
            <w:r w:rsidRPr="00777ED6">
              <w:rPr>
                <w:rFonts w:eastAsia="Times New Roman" w:cs="Calibri"/>
                <w:b/>
                <w:i/>
                <w:color w:val="000000"/>
                <w:sz w:val="18"/>
                <w:szCs w:val="18"/>
              </w:rPr>
              <w:t>13,64</w:t>
            </w:r>
          </w:p>
        </w:tc>
        <w:tc>
          <w:tcPr>
            <w:tcW w:w="729" w:type="pct"/>
            <w:tcBorders>
              <w:top w:val="nil"/>
              <w:left w:val="nil"/>
              <w:bottom w:val="single" w:sz="4" w:space="0" w:color="000000"/>
              <w:right w:val="single" w:sz="4" w:space="0" w:color="000000"/>
            </w:tcBorders>
            <w:shd w:val="clear" w:color="auto" w:fill="auto"/>
            <w:noWrap/>
            <w:vAlign w:val="center"/>
            <w:hideMark/>
          </w:tcPr>
          <w:p w14:paraId="64C625DD" w14:textId="77777777" w:rsidR="003A138C" w:rsidRPr="003A138C" w:rsidRDefault="003A138C" w:rsidP="00AF58DF">
            <w:pPr>
              <w:jc w:val="right"/>
              <w:rPr>
                <w:rFonts w:eastAsia="Times New Roman" w:cs="Calibri"/>
                <w:b/>
                <w:i/>
                <w:color w:val="000000"/>
                <w:sz w:val="18"/>
                <w:szCs w:val="18"/>
              </w:rPr>
            </w:pPr>
            <w:r w:rsidRPr="003A138C">
              <w:rPr>
                <w:rFonts w:eastAsia="Times New Roman" w:cs="Calibri"/>
                <w:b/>
                <w:i/>
                <w:color w:val="000000"/>
                <w:sz w:val="18"/>
                <w:szCs w:val="18"/>
              </w:rPr>
              <w:t>5.700.000,00</w:t>
            </w:r>
          </w:p>
        </w:tc>
      </w:tr>
      <w:tr w:rsidR="009E6E33" w:rsidRPr="003A138C" w14:paraId="14FA2F06" w14:textId="77777777" w:rsidTr="00B962B4">
        <w:trPr>
          <w:trHeight w:val="132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51F17CDD"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5E) Promuovere la conservazione e il sequestro del carbonio nel settore agricolo e forestale</w:t>
            </w:r>
          </w:p>
        </w:tc>
        <w:tc>
          <w:tcPr>
            <w:tcW w:w="882" w:type="pct"/>
            <w:tcBorders>
              <w:top w:val="nil"/>
              <w:left w:val="nil"/>
              <w:bottom w:val="single" w:sz="4" w:space="0" w:color="000000"/>
              <w:right w:val="single" w:sz="4" w:space="0" w:color="000000"/>
            </w:tcBorders>
            <w:shd w:val="clear" w:color="auto" w:fill="auto"/>
            <w:vAlign w:val="center"/>
            <w:hideMark/>
          </w:tcPr>
          <w:p w14:paraId="38501668"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T19: percentuale di terreni agricoli e forestali oggetto di contratti di gestione che contribuiscono al sequestro e alla conservazione del carbonio</w:t>
            </w:r>
          </w:p>
        </w:tc>
        <w:tc>
          <w:tcPr>
            <w:tcW w:w="735" w:type="pct"/>
            <w:tcBorders>
              <w:top w:val="nil"/>
              <w:left w:val="nil"/>
              <w:bottom w:val="single" w:sz="4" w:space="0" w:color="000000"/>
              <w:right w:val="single" w:sz="4" w:space="0" w:color="000000"/>
            </w:tcBorders>
            <w:shd w:val="clear" w:color="auto" w:fill="auto"/>
            <w:noWrap/>
            <w:vAlign w:val="center"/>
            <w:hideMark/>
          </w:tcPr>
          <w:p w14:paraId="737871BD"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 </w:t>
            </w:r>
          </w:p>
        </w:tc>
        <w:tc>
          <w:tcPr>
            <w:tcW w:w="594" w:type="pct"/>
            <w:tcBorders>
              <w:top w:val="nil"/>
              <w:left w:val="nil"/>
              <w:bottom w:val="single" w:sz="4" w:space="0" w:color="000000"/>
              <w:right w:val="single" w:sz="4" w:space="0" w:color="000000"/>
            </w:tcBorders>
            <w:shd w:val="clear" w:color="auto" w:fill="auto"/>
            <w:noWrap/>
            <w:vAlign w:val="center"/>
            <w:hideMark/>
          </w:tcPr>
          <w:p w14:paraId="6EB05751" w14:textId="77777777" w:rsidR="003A138C" w:rsidRPr="003A138C" w:rsidRDefault="003A138C" w:rsidP="00B962B4">
            <w:pPr>
              <w:jc w:val="right"/>
              <w:rPr>
                <w:rFonts w:eastAsia="Times New Roman" w:cs="Calibri"/>
                <w:color w:val="000000"/>
                <w:sz w:val="18"/>
                <w:szCs w:val="18"/>
              </w:rPr>
            </w:pPr>
          </w:p>
        </w:tc>
        <w:tc>
          <w:tcPr>
            <w:tcW w:w="736" w:type="pct"/>
            <w:tcBorders>
              <w:top w:val="nil"/>
              <w:left w:val="nil"/>
              <w:bottom w:val="single" w:sz="4" w:space="0" w:color="000000"/>
              <w:right w:val="single" w:sz="4" w:space="0" w:color="000000"/>
            </w:tcBorders>
            <w:shd w:val="clear" w:color="auto" w:fill="F8943F" w:themeFill="accent6"/>
            <w:noWrap/>
            <w:vAlign w:val="center"/>
            <w:hideMark/>
          </w:tcPr>
          <w:p w14:paraId="7E12C1C6" w14:textId="77777777" w:rsidR="003A138C" w:rsidRPr="003A138C" w:rsidRDefault="003A138C" w:rsidP="009E6E33">
            <w:pPr>
              <w:jc w:val="right"/>
              <w:rPr>
                <w:rFonts w:eastAsia="Times New Roman" w:cs="Calibri"/>
                <w:color w:val="000000"/>
                <w:sz w:val="18"/>
                <w:szCs w:val="18"/>
              </w:rPr>
            </w:pPr>
            <w:r w:rsidRPr="003A138C">
              <w:rPr>
                <w:rFonts w:eastAsia="Times New Roman" w:cs="Calibri"/>
                <w:color w:val="000000"/>
                <w:sz w:val="18"/>
                <w:szCs w:val="18"/>
              </w:rPr>
              <w:t>4,61</w:t>
            </w:r>
          </w:p>
        </w:tc>
        <w:tc>
          <w:tcPr>
            <w:tcW w:w="589" w:type="pct"/>
            <w:tcBorders>
              <w:top w:val="nil"/>
              <w:left w:val="nil"/>
              <w:bottom w:val="single" w:sz="4" w:space="0" w:color="000000"/>
              <w:right w:val="single" w:sz="4" w:space="0" w:color="000000"/>
            </w:tcBorders>
            <w:shd w:val="clear" w:color="auto" w:fill="F8943F" w:themeFill="accent6"/>
            <w:noWrap/>
            <w:vAlign w:val="center"/>
            <w:hideMark/>
          </w:tcPr>
          <w:p w14:paraId="30A0B2CE" w14:textId="5A246C70"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128,</w:t>
            </w:r>
            <w:r w:rsidR="00661EED">
              <w:rPr>
                <w:rFonts w:eastAsia="Times New Roman" w:cs="Calibri"/>
                <w:color w:val="000000"/>
                <w:sz w:val="18"/>
                <w:szCs w:val="18"/>
              </w:rPr>
              <w:t>8</w:t>
            </w:r>
          </w:p>
        </w:tc>
        <w:tc>
          <w:tcPr>
            <w:tcW w:w="729" w:type="pct"/>
            <w:tcBorders>
              <w:top w:val="nil"/>
              <w:left w:val="nil"/>
              <w:bottom w:val="single" w:sz="4" w:space="0" w:color="000000"/>
              <w:right w:val="single" w:sz="4" w:space="0" w:color="000000"/>
            </w:tcBorders>
            <w:shd w:val="clear" w:color="auto" w:fill="F8943F" w:themeFill="accent6"/>
            <w:noWrap/>
            <w:vAlign w:val="center"/>
            <w:hideMark/>
          </w:tcPr>
          <w:p w14:paraId="1FF855A4"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3,58</w:t>
            </w:r>
          </w:p>
        </w:tc>
      </w:tr>
      <w:tr w:rsidR="009E6E33" w:rsidRPr="003A138C" w14:paraId="29C7406E" w14:textId="77777777" w:rsidTr="00B962B4">
        <w:trPr>
          <w:trHeight w:val="6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5CEAC6BB"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M1</w:t>
            </w:r>
          </w:p>
        </w:tc>
        <w:tc>
          <w:tcPr>
            <w:tcW w:w="882" w:type="pct"/>
            <w:vMerge w:val="restart"/>
            <w:tcBorders>
              <w:top w:val="nil"/>
              <w:left w:val="nil"/>
              <w:right w:val="single" w:sz="4" w:space="0" w:color="000000"/>
            </w:tcBorders>
            <w:shd w:val="clear" w:color="auto" w:fill="auto"/>
            <w:vAlign w:val="center"/>
            <w:hideMark/>
          </w:tcPr>
          <w:p w14:paraId="35D6CDB3"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O1 - Spesa pubblica totale</w:t>
            </w:r>
          </w:p>
        </w:tc>
        <w:tc>
          <w:tcPr>
            <w:tcW w:w="735" w:type="pct"/>
            <w:tcBorders>
              <w:top w:val="nil"/>
              <w:left w:val="nil"/>
              <w:bottom w:val="single" w:sz="4" w:space="0" w:color="000000"/>
              <w:right w:val="single" w:sz="4" w:space="0" w:color="000000"/>
            </w:tcBorders>
            <w:shd w:val="clear" w:color="auto" w:fill="auto"/>
            <w:vAlign w:val="center"/>
            <w:hideMark/>
          </w:tcPr>
          <w:p w14:paraId="0C9E16BC"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64.339,69</w:t>
            </w:r>
          </w:p>
        </w:tc>
        <w:tc>
          <w:tcPr>
            <w:tcW w:w="594" w:type="pct"/>
            <w:tcBorders>
              <w:top w:val="nil"/>
              <w:left w:val="nil"/>
              <w:bottom w:val="single" w:sz="4" w:space="0" w:color="000000"/>
              <w:right w:val="single" w:sz="4" w:space="0" w:color="000000"/>
            </w:tcBorders>
            <w:shd w:val="clear" w:color="auto" w:fill="auto"/>
            <w:vAlign w:val="center"/>
            <w:hideMark/>
          </w:tcPr>
          <w:p w14:paraId="27DAE172" w14:textId="77777777" w:rsidR="003A138C" w:rsidRPr="003A138C" w:rsidRDefault="003A138C" w:rsidP="00B962B4">
            <w:pPr>
              <w:jc w:val="right"/>
              <w:rPr>
                <w:rFonts w:eastAsia="Times New Roman" w:cs="Calibri"/>
                <w:color w:val="000000"/>
                <w:sz w:val="18"/>
                <w:szCs w:val="18"/>
              </w:rPr>
            </w:pPr>
            <w:r w:rsidRPr="003A138C">
              <w:rPr>
                <w:rFonts w:eastAsia="Times New Roman" w:cs="Calibri"/>
                <w:color w:val="000000"/>
                <w:sz w:val="18"/>
                <w:szCs w:val="18"/>
              </w:rPr>
              <w:t>32,17</w:t>
            </w:r>
          </w:p>
        </w:tc>
        <w:tc>
          <w:tcPr>
            <w:tcW w:w="736" w:type="pct"/>
            <w:tcBorders>
              <w:top w:val="nil"/>
              <w:left w:val="nil"/>
              <w:bottom w:val="single" w:sz="4" w:space="0" w:color="000000"/>
              <w:right w:val="single" w:sz="4" w:space="0" w:color="000000"/>
            </w:tcBorders>
            <w:shd w:val="clear" w:color="auto" w:fill="auto"/>
            <w:vAlign w:val="center"/>
            <w:hideMark/>
          </w:tcPr>
          <w:p w14:paraId="1307A045" w14:textId="77777777" w:rsidR="003A138C" w:rsidRPr="003A138C" w:rsidRDefault="003A138C" w:rsidP="009E6E33">
            <w:pPr>
              <w:jc w:val="right"/>
              <w:rPr>
                <w:rFonts w:eastAsia="Times New Roman" w:cs="Calibri"/>
                <w:color w:val="000000"/>
                <w:sz w:val="18"/>
                <w:szCs w:val="18"/>
              </w:rPr>
            </w:pPr>
            <w:r w:rsidRPr="003A138C">
              <w:rPr>
                <w:rFonts w:eastAsia="Times New Roman" w:cs="Calibri"/>
                <w:color w:val="000000"/>
                <w:sz w:val="18"/>
                <w:szCs w:val="18"/>
              </w:rPr>
              <w:t>4.229,33</w:t>
            </w:r>
          </w:p>
        </w:tc>
        <w:tc>
          <w:tcPr>
            <w:tcW w:w="589" w:type="pct"/>
            <w:tcBorders>
              <w:top w:val="nil"/>
              <w:left w:val="nil"/>
              <w:bottom w:val="single" w:sz="4" w:space="0" w:color="000000"/>
              <w:right w:val="single" w:sz="4" w:space="0" w:color="000000"/>
            </w:tcBorders>
            <w:shd w:val="clear" w:color="auto" w:fill="auto"/>
            <w:vAlign w:val="center"/>
            <w:hideMark/>
          </w:tcPr>
          <w:p w14:paraId="269C1FFB"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2,11</w:t>
            </w:r>
          </w:p>
        </w:tc>
        <w:tc>
          <w:tcPr>
            <w:tcW w:w="729" w:type="pct"/>
            <w:tcBorders>
              <w:top w:val="nil"/>
              <w:left w:val="nil"/>
              <w:bottom w:val="single" w:sz="4" w:space="0" w:color="000000"/>
              <w:right w:val="single" w:sz="4" w:space="0" w:color="000000"/>
            </w:tcBorders>
            <w:shd w:val="clear" w:color="auto" w:fill="auto"/>
            <w:noWrap/>
            <w:vAlign w:val="center"/>
            <w:hideMark/>
          </w:tcPr>
          <w:p w14:paraId="4E839A67"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200.000,00</w:t>
            </w:r>
          </w:p>
        </w:tc>
      </w:tr>
      <w:tr w:rsidR="009E6E33" w:rsidRPr="003A138C" w14:paraId="7DF38059" w14:textId="77777777" w:rsidTr="00B962B4">
        <w:trPr>
          <w:trHeight w:val="6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5BFF7BB9"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M2</w:t>
            </w:r>
          </w:p>
        </w:tc>
        <w:tc>
          <w:tcPr>
            <w:tcW w:w="882" w:type="pct"/>
            <w:vMerge/>
            <w:tcBorders>
              <w:left w:val="nil"/>
              <w:right w:val="single" w:sz="4" w:space="0" w:color="000000"/>
            </w:tcBorders>
            <w:shd w:val="clear" w:color="auto" w:fill="auto"/>
            <w:vAlign w:val="center"/>
            <w:hideMark/>
          </w:tcPr>
          <w:p w14:paraId="733A5826" w14:textId="77777777" w:rsidR="003A138C" w:rsidRPr="003A138C" w:rsidRDefault="003A138C" w:rsidP="00AF58DF">
            <w:pPr>
              <w:rPr>
                <w:rFonts w:eastAsia="Times New Roman" w:cs="Calibri"/>
                <w:color w:val="000000"/>
                <w:sz w:val="18"/>
                <w:szCs w:val="18"/>
              </w:rPr>
            </w:pPr>
          </w:p>
        </w:tc>
        <w:tc>
          <w:tcPr>
            <w:tcW w:w="735" w:type="pct"/>
            <w:tcBorders>
              <w:top w:val="nil"/>
              <w:left w:val="nil"/>
              <w:bottom w:val="single" w:sz="4" w:space="0" w:color="000000"/>
              <w:right w:val="single" w:sz="4" w:space="0" w:color="000000"/>
            </w:tcBorders>
            <w:shd w:val="clear" w:color="auto" w:fill="auto"/>
            <w:noWrap/>
            <w:vAlign w:val="center"/>
            <w:hideMark/>
          </w:tcPr>
          <w:p w14:paraId="205491E2"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0,00</w:t>
            </w:r>
          </w:p>
        </w:tc>
        <w:tc>
          <w:tcPr>
            <w:tcW w:w="594" w:type="pct"/>
            <w:tcBorders>
              <w:top w:val="nil"/>
              <w:left w:val="nil"/>
              <w:bottom w:val="single" w:sz="4" w:space="0" w:color="000000"/>
              <w:right w:val="single" w:sz="4" w:space="0" w:color="000000"/>
            </w:tcBorders>
            <w:shd w:val="clear" w:color="auto" w:fill="auto"/>
            <w:noWrap/>
            <w:vAlign w:val="center"/>
            <w:hideMark/>
          </w:tcPr>
          <w:p w14:paraId="676D4A1D" w14:textId="77777777" w:rsidR="003A138C" w:rsidRPr="003A138C" w:rsidRDefault="003A138C" w:rsidP="00B962B4">
            <w:pPr>
              <w:jc w:val="right"/>
              <w:rPr>
                <w:rFonts w:eastAsia="Times New Roman" w:cs="Calibri"/>
                <w:color w:val="000000"/>
                <w:sz w:val="18"/>
                <w:szCs w:val="18"/>
              </w:rPr>
            </w:pPr>
            <w:r w:rsidRPr="003A138C">
              <w:rPr>
                <w:rFonts w:eastAsia="Times New Roman" w:cs="Calibri"/>
                <w:color w:val="000000"/>
                <w:sz w:val="18"/>
                <w:szCs w:val="18"/>
              </w:rPr>
              <w:t>0</w:t>
            </w:r>
          </w:p>
        </w:tc>
        <w:tc>
          <w:tcPr>
            <w:tcW w:w="736" w:type="pct"/>
            <w:tcBorders>
              <w:top w:val="nil"/>
              <w:left w:val="nil"/>
              <w:bottom w:val="single" w:sz="4" w:space="0" w:color="000000"/>
              <w:right w:val="single" w:sz="4" w:space="0" w:color="000000"/>
            </w:tcBorders>
            <w:shd w:val="clear" w:color="auto" w:fill="auto"/>
            <w:noWrap/>
            <w:vAlign w:val="center"/>
            <w:hideMark/>
          </w:tcPr>
          <w:p w14:paraId="66C13185" w14:textId="77777777" w:rsidR="003A138C" w:rsidRPr="003A138C" w:rsidRDefault="003A138C" w:rsidP="009E6E33">
            <w:pPr>
              <w:jc w:val="right"/>
              <w:rPr>
                <w:rFonts w:eastAsia="Times New Roman" w:cs="Calibri"/>
                <w:color w:val="000000"/>
                <w:sz w:val="18"/>
                <w:szCs w:val="18"/>
              </w:rPr>
            </w:pPr>
            <w:r w:rsidRPr="003A138C">
              <w:rPr>
                <w:rFonts w:eastAsia="Times New Roman" w:cs="Calibri"/>
                <w:color w:val="000000"/>
                <w:sz w:val="18"/>
                <w:szCs w:val="18"/>
              </w:rPr>
              <w:t> </w:t>
            </w:r>
          </w:p>
        </w:tc>
        <w:tc>
          <w:tcPr>
            <w:tcW w:w="589" w:type="pct"/>
            <w:tcBorders>
              <w:top w:val="nil"/>
              <w:left w:val="nil"/>
              <w:bottom w:val="single" w:sz="4" w:space="0" w:color="000000"/>
              <w:right w:val="single" w:sz="4" w:space="0" w:color="000000"/>
            </w:tcBorders>
            <w:shd w:val="clear" w:color="auto" w:fill="auto"/>
            <w:noWrap/>
            <w:vAlign w:val="center"/>
            <w:hideMark/>
          </w:tcPr>
          <w:p w14:paraId="1C95A63E" w14:textId="77777777" w:rsidR="003A138C" w:rsidRPr="003A138C" w:rsidRDefault="003A138C" w:rsidP="00AF58DF">
            <w:pPr>
              <w:jc w:val="center"/>
              <w:rPr>
                <w:rFonts w:eastAsia="Times New Roman" w:cs="Calibri"/>
                <w:color w:val="000000"/>
                <w:sz w:val="18"/>
                <w:szCs w:val="18"/>
              </w:rPr>
            </w:pPr>
          </w:p>
        </w:tc>
        <w:tc>
          <w:tcPr>
            <w:tcW w:w="729" w:type="pct"/>
            <w:tcBorders>
              <w:top w:val="nil"/>
              <w:left w:val="nil"/>
              <w:bottom w:val="single" w:sz="4" w:space="0" w:color="000000"/>
              <w:right w:val="single" w:sz="4" w:space="0" w:color="000000"/>
            </w:tcBorders>
            <w:shd w:val="clear" w:color="auto" w:fill="auto"/>
            <w:noWrap/>
            <w:vAlign w:val="center"/>
            <w:hideMark/>
          </w:tcPr>
          <w:p w14:paraId="341753B8"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100.000,00</w:t>
            </w:r>
          </w:p>
        </w:tc>
      </w:tr>
      <w:tr w:rsidR="009E6E33" w:rsidRPr="003A138C" w14:paraId="6B99B13A" w14:textId="77777777" w:rsidTr="00B962B4">
        <w:trPr>
          <w:trHeight w:val="6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018FD39E"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M8</w:t>
            </w:r>
          </w:p>
        </w:tc>
        <w:tc>
          <w:tcPr>
            <w:tcW w:w="882" w:type="pct"/>
            <w:vMerge/>
            <w:tcBorders>
              <w:left w:val="nil"/>
              <w:right w:val="single" w:sz="4" w:space="0" w:color="000000"/>
            </w:tcBorders>
            <w:shd w:val="clear" w:color="auto" w:fill="auto"/>
            <w:vAlign w:val="center"/>
            <w:hideMark/>
          </w:tcPr>
          <w:p w14:paraId="05B5FC7D" w14:textId="77777777" w:rsidR="003A138C" w:rsidRPr="003A138C" w:rsidRDefault="003A138C" w:rsidP="00AF58DF">
            <w:pPr>
              <w:rPr>
                <w:rFonts w:eastAsia="Times New Roman" w:cs="Calibri"/>
                <w:color w:val="000000"/>
                <w:sz w:val="18"/>
                <w:szCs w:val="18"/>
              </w:rPr>
            </w:pPr>
          </w:p>
        </w:tc>
        <w:tc>
          <w:tcPr>
            <w:tcW w:w="735" w:type="pct"/>
            <w:tcBorders>
              <w:top w:val="nil"/>
              <w:left w:val="nil"/>
              <w:bottom w:val="single" w:sz="4" w:space="0" w:color="000000"/>
              <w:right w:val="single" w:sz="4" w:space="0" w:color="000000"/>
            </w:tcBorders>
            <w:shd w:val="clear" w:color="auto" w:fill="auto"/>
            <w:vAlign w:val="center"/>
            <w:hideMark/>
          </w:tcPr>
          <w:p w14:paraId="31A401B5"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51.306.048,59</w:t>
            </w:r>
          </w:p>
        </w:tc>
        <w:tc>
          <w:tcPr>
            <w:tcW w:w="594" w:type="pct"/>
            <w:tcBorders>
              <w:top w:val="nil"/>
              <w:left w:val="nil"/>
              <w:bottom w:val="single" w:sz="4" w:space="0" w:color="000000"/>
              <w:right w:val="single" w:sz="4" w:space="0" w:color="000000"/>
            </w:tcBorders>
            <w:shd w:val="clear" w:color="auto" w:fill="auto"/>
            <w:vAlign w:val="center"/>
            <w:hideMark/>
          </w:tcPr>
          <w:p w14:paraId="7BE247DD" w14:textId="77777777" w:rsidR="003A138C" w:rsidRPr="003A138C" w:rsidRDefault="003A138C" w:rsidP="00B962B4">
            <w:pPr>
              <w:jc w:val="right"/>
              <w:rPr>
                <w:rFonts w:eastAsia="Times New Roman" w:cs="Calibri"/>
                <w:color w:val="000000"/>
                <w:sz w:val="18"/>
                <w:szCs w:val="18"/>
              </w:rPr>
            </w:pPr>
            <w:r w:rsidRPr="003A138C">
              <w:rPr>
                <w:rFonts w:eastAsia="Times New Roman" w:cs="Calibri"/>
                <w:color w:val="000000"/>
                <w:sz w:val="18"/>
                <w:szCs w:val="18"/>
              </w:rPr>
              <w:t>92,28</w:t>
            </w:r>
          </w:p>
        </w:tc>
        <w:tc>
          <w:tcPr>
            <w:tcW w:w="736" w:type="pct"/>
            <w:tcBorders>
              <w:top w:val="nil"/>
              <w:left w:val="nil"/>
              <w:bottom w:val="single" w:sz="4" w:space="0" w:color="000000"/>
              <w:right w:val="single" w:sz="4" w:space="0" w:color="000000"/>
            </w:tcBorders>
            <w:shd w:val="clear" w:color="auto" w:fill="auto"/>
            <w:vAlign w:val="center"/>
            <w:hideMark/>
          </w:tcPr>
          <w:p w14:paraId="32EBD24C" w14:textId="18A799D5" w:rsidR="003A138C" w:rsidRPr="003A138C" w:rsidRDefault="00777ED6" w:rsidP="009E6E33">
            <w:pPr>
              <w:jc w:val="right"/>
              <w:rPr>
                <w:rFonts w:eastAsia="Times New Roman" w:cs="Calibri"/>
                <w:color w:val="000000"/>
                <w:sz w:val="18"/>
                <w:szCs w:val="18"/>
              </w:rPr>
            </w:pPr>
            <w:r w:rsidRPr="00777ED6">
              <w:rPr>
                <w:rFonts w:eastAsia="Times New Roman" w:cs="Calibri"/>
                <w:color w:val="000000"/>
                <w:sz w:val="18"/>
                <w:szCs w:val="18"/>
              </w:rPr>
              <w:t>46.781.203,12</w:t>
            </w:r>
          </w:p>
        </w:tc>
        <w:tc>
          <w:tcPr>
            <w:tcW w:w="589" w:type="pct"/>
            <w:tcBorders>
              <w:top w:val="nil"/>
              <w:left w:val="nil"/>
              <w:bottom w:val="single" w:sz="4" w:space="0" w:color="000000"/>
              <w:right w:val="single" w:sz="4" w:space="0" w:color="000000"/>
            </w:tcBorders>
            <w:shd w:val="clear" w:color="auto" w:fill="auto"/>
            <w:vAlign w:val="center"/>
            <w:hideMark/>
          </w:tcPr>
          <w:p w14:paraId="1BEF8A26" w14:textId="57CAD115" w:rsidR="003A138C" w:rsidRPr="003A138C" w:rsidRDefault="00777ED6" w:rsidP="00AF58DF">
            <w:pPr>
              <w:jc w:val="center"/>
              <w:rPr>
                <w:rFonts w:eastAsia="Times New Roman" w:cs="Calibri"/>
                <w:color w:val="000000"/>
                <w:sz w:val="18"/>
                <w:szCs w:val="18"/>
              </w:rPr>
            </w:pPr>
            <w:r w:rsidRPr="00777ED6">
              <w:rPr>
                <w:rFonts w:eastAsia="Times New Roman" w:cs="Calibri"/>
                <w:color w:val="000000"/>
                <w:sz w:val="18"/>
                <w:szCs w:val="18"/>
              </w:rPr>
              <w:t>84,14</w:t>
            </w:r>
          </w:p>
        </w:tc>
        <w:tc>
          <w:tcPr>
            <w:tcW w:w="729" w:type="pct"/>
            <w:tcBorders>
              <w:top w:val="nil"/>
              <w:left w:val="nil"/>
              <w:bottom w:val="single" w:sz="4" w:space="0" w:color="000000"/>
              <w:right w:val="single" w:sz="4" w:space="0" w:color="000000"/>
            </w:tcBorders>
            <w:shd w:val="clear" w:color="auto" w:fill="auto"/>
            <w:noWrap/>
            <w:vAlign w:val="center"/>
            <w:hideMark/>
          </w:tcPr>
          <w:p w14:paraId="4F9393CB"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55.600.000,00</w:t>
            </w:r>
          </w:p>
        </w:tc>
      </w:tr>
      <w:tr w:rsidR="009E6E33" w:rsidRPr="003A138C" w14:paraId="46D6CC82" w14:textId="77777777" w:rsidTr="00B962B4">
        <w:trPr>
          <w:trHeight w:val="6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02310026"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M10</w:t>
            </w:r>
          </w:p>
        </w:tc>
        <w:tc>
          <w:tcPr>
            <w:tcW w:w="882" w:type="pct"/>
            <w:vMerge/>
            <w:tcBorders>
              <w:left w:val="nil"/>
              <w:bottom w:val="single" w:sz="4" w:space="0" w:color="000000"/>
              <w:right w:val="single" w:sz="4" w:space="0" w:color="000000"/>
            </w:tcBorders>
            <w:shd w:val="clear" w:color="auto" w:fill="auto"/>
            <w:vAlign w:val="center"/>
            <w:hideMark/>
          </w:tcPr>
          <w:p w14:paraId="2CDF71DF" w14:textId="77777777" w:rsidR="003A138C" w:rsidRPr="003A138C" w:rsidRDefault="003A138C" w:rsidP="00AF58DF">
            <w:pPr>
              <w:rPr>
                <w:rFonts w:eastAsia="Times New Roman" w:cs="Calibri"/>
                <w:color w:val="000000"/>
                <w:sz w:val="18"/>
                <w:szCs w:val="18"/>
              </w:rPr>
            </w:pPr>
          </w:p>
        </w:tc>
        <w:tc>
          <w:tcPr>
            <w:tcW w:w="735" w:type="pct"/>
            <w:tcBorders>
              <w:top w:val="nil"/>
              <w:left w:val="nil"/>
              <w:bottom w:val="single" w:sz="4" w:space="0" w:color="000000"/>
              <w:right w:val="single" w:sz="4" w:space="0" w:color="000000"/>
            </w:tcBorders>
            <w:shd w:val="clear" w:color="auto" w:fill="auto"/>
            <w:vAlign w:val="center"/>
            <w:hideMark/>
          </w:tcPr>
          <w:p w14:paraId="1320371B"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74.009.945,29</w:t>
            </w:r>
          </w:p>
        </w:tc>
        <w:tc>
          <w:tcPr>
            <w:tcW w:w="594" w:type="pct"/>
            <w:tcBorders>
              <w:top w:val="nil"/>
              <w:left w:val="nil"/>
              <w:bottom w:val="single" w:sz="4" w:space="0" w:color="000000"/>
              <w:right w:val="single" w:sz="4" w:space="0" w:color="000000"/>
            </w:tcBorders>
            <w:shd w:val="clear" w:color="auto" w:fill="auto"/>
            <w:vAlign w:val="center"/>
            <w:hideMark/>
          </w:tcPr>
          <w:p w14:paraId="55EECF0A" w14:textId="77777777" w:rsidR="003A138C" w:rsidRPr="003A138C" w:rsidRDefault="003A138C" w:rsidP="00B962B4">
            <w:pPr>
              <w:jc w:val="right"/>
              <w:rPr>
                <w:rFonts w:eastAsia="Times New Roman" w:cs="Calibri"/>
                <w:color w:val="000000"/>
                <w:sz w:val="18"/>
                <w:szCs w:val="18"/>
              </w:rPr>
            </w:pPr>
            <w:r w:rsidRPr="003A138C">
              <w:rPr>
                <w:rFonts w:eastAsia="Times New Roman" w:cs="Calibri"/>
                <w:color w:val="000000"/>
                <w:sz w:val="18"/>
                <w:szCs w:val="18"/>
              </w:rPr>
              <w:t>84,1</w:t>
            </w:r>
          </w:p>
        </w:tc>
        <w:tc>
          <w:tcPr>
            <w:tcW w:w="736" w:type="pct"/>
            <w:tcBorders>
              <w:top w:val="nil"/>
              <w:left w:val="nil"/>
              <w:bottom w:val="single" w:sz="4" w:space="0" w:color="000000"/>
              <w:right w:val="single" w:sz="4" w:space="0" w:color="000000"/>
            </w:tcBorders>
            <w:shd w:val="clear" w:color="auto" w:fill="auto"/>
            <w:vAlign w:val="center"/>
            <w:hideMark/>
          </w:tcPr>
          <w:p w14:paraId="4589905E" w14:textId="6D419C00" w:rsidR="003A138C" w:rsidRPr="003A138C" w:rsidRDefault="00777ED6" w:rsidP="009E6E33">
            <w:pPr>
              <w:jc w:val="right"/>
              <w:rPr>
                <w:rFonts w:eastAsia="Times New Roman" w:cs="Calibri"/>
                <w:color w:val="000000"/>
                <w:sz w:val="18"/>
                <w:szCs w:val="18"/>
              </w:rPr>
            </w:pPr>
            <w:r w:rsidRPr="00777ED6">
              <w:rPr>
                <w:rFonts w:eastAsia="Times New Roman" w:cs="Calibri"/>
                <w:color w:val="000000"/>
                <w:sz w:val="18"/>
                <w:szCs w:val="18"/>
              </w:rPr>
              <w:t>69.536.719,36</w:t>
            </w:r>
          </w:p>
        </w:tc>
        <w:tc>
          <w:tcPr>
            <w:tcW w:w="589" w:type="pct"/>
            <w:tcBorders>
              <w:top w:val="nil"/>
              <w:left w:val="nil"/>
              <w:bottom w:val="single" w:sz="4" w:space="0" w:color="000000"/>
              <w:right w:val="single" w:sz="4" w:space="0" w:color="000000"/>
            </w:tcBorders>
            <w:shd w:val="clear" w:color="auto" w:fill="auto"/>
            <w:vAlign w:val="center"/>
            <w:hideMark/>
          </w:tcPr>
          <w:p w14:paraId="497448E7" w14:textId="75FC40FC" w:rsidR="003A138C" w:rsidRPr="003A138C" w:rsidRDefault="00777ED6" w:rsidP="00AF58DF">
            <w:pPr>
              <w:jc w:val="center"/>
              <w:rPr>
                <w:rFonts w:eastAsia="Times New Roman" w:cs="Calibri"/>
                <w:color w:val="000000"/>
                <w:sz w:val="18"/>
                <w:szCs w:val="18"/>
              </w:rPr>
            </w:pPr>
            <w:r w:rsidRPr="00777ED6">
              <w:rPr>
                <w:rFonts w:eastAsia="Times New Roman" w:cs="Calibri"/>
                <w:color w:val="000000"/>
                <w:sz w:val="18"/>
                <w:szCs w:val="18"/>
              </w:rPr>
              <w:t>79,02</w:t>
            </w:r>
          </w:p>
        </w:tc>
        <w:tc>
          <w:tcPr>
            <w:tcW w:w="729" w:type="pct"/>
            <w:tcBorders>
              <w:top w:val="nil"/>
              <w:left w:val="nil"/>
              <w:bottom w:val="single" w:sz="4" w:space="0" w:color="000000"/>
              <w:right w:val="single" w:sz="4" w:space="0" w:color="000000"/>
            </w:tcBorders>
            <w:shd w:val="clear" w:color="auto" w:fill="auto"/>
            <w:noWrap/>
            <w:vAlign w:val="center"/>
            <w:hideMark/>
          </w:tcPr>
          <w:p w14:paraId="0D1DAF32"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88.000.000,00</w:t>
            </w:r>
          </w:p>
        </w:tc>
      </w:tr>
      <w:tr w:rsidR="009E6E33" w:rsidRPr="003A138C" w14:paraId="68251069" w14:textId="77777777" w:rsidTr="00B962B4">
        <w:trPr>
          <w:trHeight w:val="280"/>
        </w:trPr>
        <w:tc>
          <w:tcPr>
            <w:tcW w:w="735" w:type="pct"/>
            <w:tcBorders>
              <w:top w:val="nil"/>
              <w:left w:val="single" w:sz="4" w:space="0" w:color="000000"/>
              <w:bottom w:val="single" w:sz="4" w:space="0" w:color="000000"/>
              <w:right w:val="single" w:sz="4" w:space="0" w:color="000000"/>
            </w:tcBorders>
            <w:shd w:val="clear" w:color="auto" w:fill="auto"/>
            <w:noWrap/>
            <w:vAlign w:val="center"/>
            <w:hideMark/>
          </w:tcPr>
          <w:p w14:paraId="39706BAC" w14:textId="77777777" w:rsidR="003A138C" w:rsidRPr="003A138C" w:rsidRDefault="003A138C" w:rsidP="00AF58DF">
            <w:pPr>
              <w:rPr>
                <w:rFonts w:eastAsia="Times New Roman" w:cs="Calibri"/>
                <w:b/>
                <w:i/>
                <w:color w:val="000000"/>
                <w:sz w:val="18"/>
                <w:szCs w:val="18"/>
              </w:rPr>
            </w:pPr>
            <w:r w:rsidRPr="003A138C">
              <w:rPr>
                <w:rFonts w:eastAsia="Times New Roman" w:cs="Calibri"/>
                <w:b/>
                <w:i/>
                <w:color w:val="000000"/>
                <w:sz w:val="18"/>
                <w:szCs w:val="18"/>
              </w:rPr>
              <w:t>TOTALE</w:t>
            </w:r>
          </w:p>
        </w:tc>
        <w:tc>
          <w:tcPr>
            <w:tcW w:w="882" w:type="pct"/>
            <w:tcBorders>
              <w:top w:val="nil"/>
              <w:left w:val="nil"/>
              <w:bottom w:val="single" w:sz="4" w:space="0" w:color="000000"/>
              <w:right w:val="single" w:sz="4" w:space="0" w:color="000000"/>
            </w:tcBorders>
            <w:shd w:val="clear" w:color="auto" w:fill="auto"/>
            <w:vAlign w:val="center"/>
            <w:hideMark/>
          </w:tcPr>
          <w:p w14:paraId="28DF7429" w14:textId="77777777" w:rsidR="003A138C" w:rsidRPr="003A138C" w:rsidRDefault="003A138C" w:rsidP="00AF58DF">
            <w:pPr>
              <w:rPr>
                <w:rFonts w:eastAsia="Times New Roman" w:cs="Calibri"/>
                <w:b/>
                <w:i/>
                <w:color w:val="000000"/>
                <w:sz w:val="18"/>
                <w:szCs w:val="18"/>
              </w:rPr>
            </w:pPr>
            <w:r w:rsidRPr="003A138C">
              <w:rPr>
                <w:rFonts w:eastAsia="Times New Roman" w:cs="Calibri"/>
                <w:b/>
                <w:i/>
                <w:color w:val="000000"/>
                <w:sz w:val="18"/>
                <w:szCs w:val="18"/>
              </w:rPr>
              <w:t>O1 - Spesa pubblica totale</w:t>
            </w:r>
          </w:p>
        </w:tc>
        <w:tc>
          <w:tcPr>
            <w:tcW w:w="735" w:type="pct"/>
            <w:tcBorders>
              <w:top w:val="nil"/>
              <w:left w:val="nil"/>
              <w:bottom w:val="single" w:sz="4" w:space="0" w:color="000000"/>
              <w:right w:val="single" w:sz="4" w:space="0" w:color="000000"/>
            </w:tcBorders>
            <w:shd w:val="clear" w:color="auto" w:fill="auto"/>
            <w:vAlign w:val="center"/>
            <w:hideMark/>
          </w:tcPr>
          <w:p w14:paraId="1F781819" w14:textId="77777777" w:rsidR="003A138C" w:rsidRPr="003A138C" w:rsidRDefault="003A138C" w:rsidP="00AF58DF">
            <w:pPr>
              <w:jc w:val="right"/>
              <w:rPr>
                <w:rFonts w:eastAsia="Times New Roman" w:cs="Calibri"/>
                <w:b/>
                <w:i/>
                <w:color w:val="000000"/>
                <w:sz w:val="18"/>
                <w:szCs w:val="18"/>
              </w:rPr>
            </w:pPr>
            <w:r w:rsidRPr="003A138C">
              <w:rPr>
                <w:rFonts w:eastAsia="Times New Roman" w:cs="Calibri"/>
                <w:b/>
                <w:i/>
                <w:color w:val="000000"/>
                <w:sz w:val="18"/>
                <w:szCs w:val="18"/>
              </w:rPr>
              <w:t>125.380.333,57</w:t>
            </w:r>
          </w:p>
        </w:tc>
        <w:tc>
          <w:tcPr>
            <w:tcW w:w="594" w:type="pct"/>
            <w:tcBorders>
              <w:top w:val="nil"/>
              <w:left w:val="nil"/>
              <w:bottom w:val="single" w:sz="4" w:space="0" w:color="000000"/>
              <w:right w:val="single" w:sz="4" w:space="0" w:color="000000"/>
            </w:tcBorders>
            <w:shd w:val="clear" w:color="auto" w:fill="auto"/>
            <w:vAlign w:val="center"/>
            <w:hideMark/>
          </w:tcPr>
          <w:p w14:paraId="5D412A55" w14:textId="77777777" w:rsidR="003A138C" w:rsidRPr="003A138C" w:rsidRDefault="003A138C" w:rsidP="00B962B4">
            <w:pPr>
              <w:jc w:val="right"/>
              <w:rPr>
                <w:rFonts w:eastAsia="Times New Roman" w:cs="Calibri"/>
                <w:b/>
                <w:i/>
                <w:color w:val="000000"/>
                <w:sz w:val="18"/>
                <w:szCs w:val="18"/>
              </w:rPr>
            </w:pPr>
            <w:r w:rsidRPr="003A138C">
              <w:rPr>
                <w:rFonts w:eastAsia="Times New Roman" w:cs="Calibri"/>
                <w:b/>
                <w:i/>
                <w:color w:val="000000"/>
                <w:sz w:val="18"/>
                <w:szCs w:val="18"/>
              </w:rPr>
              <w:t>87,13</w:t>
            </w:r>
          </w:p>
        </w:tc>
        <w:tc>
          <w:tcPr>
            <w:tcW w:w="736" w:type="pct"/>
            <w:tcBorders>
              <w:top w:val="nil"/>
              <w:left w:val="nil"/>
              <w:bottom w:val="single" w:sz="4" w:space="0" w:color="000000"/>
              <w:right w:val="single" w:sz="4" w:space="0" w:color="000000"/>
            </w:tcBorders>
            <w:shd w:val="clear" w:color="auto" w:fill="auto"/>
            <w:vAlign w:val="center"/>
            <w:hideMark/>
          </w:tcPr>
          <w:p w14:paraId="2801E203" w14:textId="220BE365" w:rsidR="003A138C" w:rsidRPr="003A138C" w:rsidRDefault="00777ED6" w:rsidP="009E6E33">
            <w:pPr>
              <w:jc w:val="right"/>
              <w:rPr>
                <w:rFonts w:eastAsia="Times New Roman" w:cs="Calibri"/>
                <w:b/>
                <w:i/>
                <w:color w:val="000000"/>
                <w:sz w:val="18"/>
                <w:szCs w:val="18"/>
              </w:rPr>
            </w:pPr>
            <w:r w:rsidRPr="00777ED6">
              <w:rPr>
                <w:rFonts w:eastAsia="Times New Roman" w:cs="Calibri"/>
                <w:b/>
                <w:i/>
                <w:color w:val="000000"/>
                <w:sz w:val="18"/>
                <w:szCs w:val="18"/>
              </w:rPr>
              <w:t>116.322.151,81</w:t>
            </w:r>
          </w:p>
        </w:tc>
        <w:tc>
          <w:tcPr>
            <w:tcW w:w="589" w:type="pct"/>
            <w:tcBorders>
              <w:top w:val="nil"/>
              <w:left w:val="nil"/>
              <w:bottom w:val="single" w:sz="4" w:space="0" w:color="000000"/>
              <w:right w:val="single" w:sz="4" w:space="0" w:color="000000"/>
            </w:tcBorders>
            <w:shd w:val="clear" w:color="auto" w:fill="auto"/>
            <w:vAlign w:val="center"/>
            <w:hideMark/>
          </w:tcPr>
          <w:p w14:paraId="6B484C7A" w14:textId="7897B17C" w:rsidR="003A138C" w:rsidRPr="003A138C" w:rsidRDefault="00777ED6" w:rsidP="00AF58DF">
            <w:pPr>
              <w:jc w:val="center"/>
              <w:rPr>
                <w:rFonts w:eastAsia="Times New Roman" w:cs="Calibri"/>
                <w:b/>
                <w:i/>
                <w:color w:val="000000"/>
                <w:sz w:val="18"/>
                <w:szCs w:val="18"/>
              </w:rPr>
            </w:pPr>
            <w:r w:rsidRPr="00777ED6">
              <w:rPr>
                <w:rFonts w:eastAsia="Times New Roman" w:cs="Calibri"/>
                <w:b/>
                <w:i/>
                <w:color w:val="000000"/>
                <w:sz w:val="18"/>
                <w:szCs w:val="18"/>
              </w:rPr>
              <w:t>80,84</w:t>
            </w:r>
          </w:p>
        </w:tc>
        <w:tc>
          <w:tcPr>
            <w:tcW w:w="729" w:type="pct"/>
            <w:tcBorders>
              <w:top w:val="nil"/>
              <w:left w:val="nil"/>
              <w:bottom w:val="single" w:sz="4" w:space="0" w:color="000000"/>
              <w:right w:val="single" w:sz="4" w:space="0" w:color="000000"/>
            </w:tcBorders>
            <w:shd w:val="clear" w:color="auto" w:fill="auto"/>
            <w:noWrap/>
            <w:vAlign w:val="center"/>
            <w:hideMark/>
          </w:tcPr>
          <w:p w14:paraId="4FAAD7C9" w14:textId="77777777" w:rsidR="003A138C" w:rsidRPr="003A138C" w:rsidRDefault="003A138C" w:rsidP="00AF58DF">
            <w:pPr>
              <w:jc w:val="right"/>
              <w:rPr>
                <w:rFonts w:eastAsia="Times New Roman" w:cs="Calibri"/>
                <w:b/>
                <w:i/>
                <w:color w:val="000000"/>
                <w:sz w:val="18"/>
                <w:szCs w:val="18"/>
              </w:rPr>
            </w:pPr>
            <w:r w:rsidRPr="003A138C">
              <w:rPr>
                <w:rFonts w:eastAsia="Times New Roman" w:cs="Calibri"/>
                <w:b/>
                <w:i/>
                <w:color w:val="000000"/>
                <w:sz w:val="18"/>
                <w:szCs w:val="18"/>
              </w:rPr>
              <w:t>143.900.000,00</w:t>
            </w:r>
          </w:p>
        </w:tc>
      </w:tr>
    </w:tbl>
    <w:p w14:paraId="70F3768A" w14:textId="77777777" w:rsidR="003A138C" w:rsidRPr="00164FC9" w:rsidRDefault="003A138C" w:rsidP="009E6E33">
      <w:pPr>
        <w:pStyle w:val="Fonte"/>
      </w:pPr>
      <w:r w:rsidRPr="00164FC9">
        <w:t>Fonte RAA 2020</w:t>
      </w:r>
    </w:p>
    <w:p w14:paraId="471789A3" w14:textId="77777777" w:rsidR="00D52C06" w:rsidRDefault="00D52C06" w:rsidP="00B027A4"/>
    <w:p w14:paraId="6D0815A4" w14:textId="77777777" w:rsidR="00D52C06" w:rsidRPr="00D52C06" w:rsidRDefault="00D52C06" w:rsidP="00B027A4"/>
    <w:p w14:paraId="6A333634" w14:textId="77777777" w:rsidR="00B4132E" w:rsidRDefault="00417A91" w:rsidP="00B27AA3">
      <w:pPr>
        <w:pStyle w:val="Titolo3"/>
      </w:pPr>
      <w:bookmarkStart w:id="48" w:name="_Toc91081394"/>
      <w:bookmarkEnd w:id="45"/>
      <w:r>
        <w:t xml:space="preserve">Considerazioni </w:t>
      </w:r>
      <w:r w:rsidR="00B027A4">
        <w:t xml:space="preserve">conclusive </w:t>
      </w:r>
      <w:r>
        <w:t>di sintesi</w:t>
      </w:r>
      <w:bookmarkEnd w:id="48"/>
    </w:p>
    <w:p w14:paraId="49B34C05" w14:textId="77777777" w:rsidR="00B027A4" w:rsidRDefault="00B027A4" w:rsidP="0005770D"/>
    <w:p w14:paraId="7E784191" w14:textId="77777777" w:rsidR="004D5D36" w:rsidRPr="00624B2A" w:rsidRDefault="00B243AD" w:rsidP="004D5D36">
      <w:r w:rsidRPr="00624B2A">
        <w:t>Nell’area territoriale, l</w:t>
      </w:r>
      <w:r w:rsidR="0005770D" w:rsidRPr="00DF11B7">
        <w:t xml:space="preserve">e risorse dedicate alle politiche per la crescita sostenibile ammontano a circa </w:t>
      </w:r>
      <w:r w:rsidR="00E8751D" w:rsidRPr="00DF11B7">
        <w:t>575,3</w:t>
      </w:r>
      <w:r w:rsidR="0005770D" w:rsidRPr="00DF11B7">
        <w:t xml:space="preserve"> milioni di euro (fondi FESR e FEASR programmati). </w:t>
      </w:r>
      <w:r w:rsidR="00E8751D" w:rsidRPr="00DF11B7">
        <w:t>A seguito dell</w:t>
      </w:r>
      <w:r w:rsidRPr="00624B2A">
        <w:t>’ultima</w:t>
      </w:r>
      <w:r w:rsidR="00E8751D" w:rsidRPr="00DF11B7">
        <w:t xml:space="preserve"> riprogrammazione del POR FESR la dotazione finanziaria </w:t>
      </w:r>
      <w:r w:rsidR="008B07EF" w:rsidRPr="00DF11B7">
        <w:t>disponibile per interventi volti a sostenere la trans</w:t>
      </w:r>
      <w:r w:rsidR="00117387">
        <w:t>i</w:t>
      </w:r>
      <w:r w:rsidR="008B07EF" w:rsidRPr="00DF11B7">
        <w:t>zione verso un’economia a basse emissioni di carbonio (</w:t>
      </w:r>
      <w:r w:rsidRPr="00624B2A">
        <w:t>A</w:t>
      </w:r>
      <w:r w:rsidR="008B07EF" w:rsidRPr="00DF11B7">
        <w:t>sse I</w:t>
      </w:r>
      <w:r w:rsidR="00830167" w:rsidRPr="00DF11B7">
        <w:t>V</w:t>
      </w:r>
      <w:r w:rsidR="008B07EF" w:rsidRPr="00DF11B7">
        <w:t>) è stata quasi dimezzata, passando da un importo programmato di 194,6 milioni di euro nel 2019 a 95,6 milioni di euro nel 2020.</w:t>
      </w:r>
      <w:r w:rsidR="00912DBB" w:rsidRPr="00DF11B7">
        <w:t xml:space="preserve"> </w:t>
      </w:r>
      <w:r w:rsidR="00E63FAD" w:rsidRPr="00DF11B7">
        <w:t xml:space="preserve">L’avanzamento </w:t>
      </w:r>
      <w:r w:rsidR="00830167" w:rsidRPr="00DF11B7">
        <w:t>finanziario dell’</w:t>
      </w:r>
      <w:r w:rsidRPr="00624B2A">
        <w:t>A</w:t>
      </w:r>
      <w:r w:rsidR="00830167" w:rsidRPr="00DF11B7">
        <w:t>sse</w:t>
      </w:r>
      <w:r w:rsidRPr="00624B2A">
        <w:t xml:space="preserve"> ha subito un’accelerazione nell’ultimo anno </w:t>
      </w:r>
      <w:r w:rsidR="00830167" w:rsidRPr="00DF11B7">
        <w:t>passando da 10,26% nel 2019 al 25,23%</w:t>
      </w:r>
      <w:r w:rsidRPr="00624B2A">
        <w:t xml:space="preserve"> </w:t>
      </w:r>
      <w:r w:rsidR="00E63FAD" w:rsidRPr="00DF11B7">
        <w:t>nel 2020</w:t>
      </w:r>
      <w:r w:rsidR="00616851" w:rsidRPr="00DF11B7">
        <w:t xml:space="preserve">. Questo </w:t>
      </w:r>
      <w:r w:rsidR="00830167" w:rsidRPr="00DF11B7">
        <w:t xml:space="preserve">aumento </w:t>
      </w:r>
      <w:r w:rsidR="00616851" w:rsidRPr="00DF11B7">
        <w:t xml:space="preserve">è </w:t>
      </w:r>
      <w:r w:rsidR="00830167" w:rsidRPr="00DF11B7">
        <w:t>attribuibile sia alla diminuzione della dotazione finanziaria sia alla crescita della spesa ammissibile dichiarata dai beneficiari</w:t>
      </w:r>
      <w:r w:rsidR="00E63FAD" w:rsidRPr="00DF11B7">
        <w:t xml:space="preserve">, la quale </w:t>
      </w:r>
      <w:r w:rsidR="00B027A4">
        <w:t xml:space="preserve">è </w:t>
      </w:r>
      <w:r w:rsidR="00830167" w:rsidRPr="00117387">
        <w:t>aumenta</w:t>
      </w:r>
      <w:r w:rsidR="00F0489B">
        <w:t>ta</w:t>
      </w:r>
      <w:r w:rsidR="00830167" w:rsidRPr="00117387">
        <w:t xml:space="preserve"> di circa 4 milioni di euro passando da circa 20 milioni di euro nel 2019 a 24 milioni di euro nel 2020.</w:t>
      </w:r>
      <w:r w:rsidR="004D5D36" w:rsidRPr="00117387">
        <w:t xml:space="preserve"> A seguito della riprogrammazione è stato reso necessario anche ridurre i target di diversi indicatori di output relativi all’Asse IV.</w:t>
      </w:r>
      <w:r w:rsidR="004D5D36" w:rsidRPr="00624B2A">
        <w:t xml:space="preserve"> </w:t>
      </w:r>
    </w:p>
    <w:p w14:paraId="66784B23" w14:textId="77777777" w:rsidR="00E6308C" w:rsidRDefault="00E6308C" w:rsidP="00E6308C"/>
    <w:p w14:paraId="2FE77A79" w14:textId="19AB3315" w:rsidR="00E6308C" w:rsidRDefault="00001DC5" w:rsidP="00E6308C">
      <w:r>
        <w:t xml:space="preserve">Nel caso </w:t>
      </w:r>
      <w:r w:rsidR="00E6308C" w:rsidRPr="00DF11B7">
        <w:t xml:space="preserve">del PSR FEASR le azioni volte a preservare, ripristinare e valorizzare gli ecosistemi in agricoltura e in silvicoltura (priorità IV) e gli interventi relativi ad un uso efficiente delle risorse e </w:t>
      </w:r>
      <w:r w:rsidR="00E6308C" w:rsidRPr="00624B2A">
        <w:t xml:space="preserve">al </w:t>
      </w:r>
      <w:r w:rsidR="00E6308C" w:rsidRPr="00DF11B7">
        <w:t xml:space="preserve">passaggio ad un'economia a basse emissioni di carbonio e resiliente ai cambiamenti (priorità V) </w:t>
      </w:r>
      <w:r w:rsidR="00E6308C" w:rsidRPr="00624B2A">
        <w:t xml:space="preserve">mostravano </w:t>
      </w:r>
      <w:r w:rsidR="00E6308C" w:rsidRPr="00DF11B7">
        <w:t>già nel 2019 un</w:t>
      </w:r>
      <w:r w:rsidR="00E6308C" w:rsidRPr="00624B2A">
        <w:t xml:space="preserve"> buon avanzamento</w:t>
      </w:r>
      <w:r w:rsidR="00E6308C" w:rsidRPr="00DF11B7">
        <w:t xml:space="preserve"> finanziari</w:t>
      </w:r>
      <w:r w:rsidR="00E6308C" w:rsidRPr="00624B2A">
        <w:t>o</w:t>
      </w:r>
      <w:r w:rsidR="00E6308C" w:rsidRPr="00DF11B7">
        <w:t xml:space="preserve">, </w:t>
      </w:r>
      <w:r w:rsidR="00E6308C">
        <w:t>il m</w:t>
      </w:r>
      <w:r w:rsidR="00E6308C" w:rsidRPr="00DF11B7">
        <w:t xml:space="preserve">igliore tra programmi e aree oggetto di studio, pari a 58,05% per la priorità IV e 57,19% per la priorità V. Nel 2020, </w:t>
      </w:r>
      <w:r w:rsidR="00A554AA">
        <w:t xml:space="preserve">queste </w:t>
      </w:r>
      <w:r w:rsidR="00E6308C" w:rsidRPr="00DF11B7">
        <w:t xml:space="preserve"> mostrano un </w:t>
      </w:r>
      <w:r w:rsidR="00E6308C" w:rsidRPr="00624B2A">
        <w:t xml:space="preserve">ulteriore miglioramento in termini </w:t>
      </w:r>
      <w:r w:rsidR="00E6308C" w:rsidRPr="00DF11B7">
        <w:t>di avanzamento finanziario</w:t>
      </w:r>
      <w:r w:rsidR="00E6308C" w:rsidRPr="00624B2A">
        <w:t>,</w:t>
      </w:r>
      <w:r w:rsidR="00E6308C" w:rsidRPr="00DF11B7">
        <w:t xml:space="preserve"> rispettivamente pari a 79,</w:t>
      </w:r>
      <w:r w:rsidR="00661EED">
        <w:t>6</w:t>
      </w:r>
      <w:r w:rsidR="00F0489B">
        <w:t>//78,9</w:t>
      </w:r>
      <w:r w:rsidR="00E6308C" w:rsidRPr="00DF11B7">
        <w:t xml:space="preserve">% </w:t>
      </w:r>
      <w:r w:rsidR="00A554AA">
        <w:t xml:space="preserve">(P4) </w:t>
      </w:r>
      <w:r w:rsidR="00E6308C" w:rsidRPr="00DF11B7">
        <w:t xml:space="preserve">e </w:t>
      </w:r>
      <w:r w:rsidR="00661EED">
        <w:t>81</w:t>
      </w:r>
      <w:r w:rsidR="00E6308C" w:rsidRPr="00DF11B7">
        <w:t>,1</w:t>
      </w:r>
      <w:r w:rsidR="00F0489B">
        <w:t>//80,8</w:t>
      </w:r>
      <w:r w:rsidR="00E6308C" w:rsidRPr="00DF11B7">
        <w:t>%</w:t>
      </w:r>
      <w:r w:rsidR="00A554AA">
        <w:t xml:space="preserve"> (P5)</w:t>
      </w:r>
      <w:r w:rsidR="00E6308C" w:rsidRPr="00DF11B7">
        <w:t>.</w:t>
      </w:r>
      <w:r w:rsidR="00E6308C">
        <w:t xml:space="preserve"> </w:t>
      </w:r>
    </w:p>
    <w:p w14:paraId="5E5237FE" w14:textId="77777777" w:rsidR="0005770D" w:rsidRPr="00624B2A" w:rsidRDefault="0005770D" w:rsidP="0005770D"/>
    <w:p w14:paraId="133AE26B" w14:textId="77777777" w:rsidR="00E6308C" w:rsidRDefault="00417A91" w:rsidP="00B4132E">
      <w:r w:rsidRPr="00624B2A">
        <w:t xml:space="preserve">Gli indicatori di realizzazione del POR FESR mostrano un avanzamento apprezzabile, soprattutto in riferimento agli interventi per la mobilità. Si può osservare </w:t>
      </w:r>
      <w:r w:rsidR="0099739C" w:rsidRPr="00624B2A">
        <w:t>un miglioramento significativo anche ne</w:t>
      </w:r>
      <w:r w:rsidR="0072368E" w:rsidRPr="00624B2A">
        <w:t>gl</w:t>
      </w:r>
      <w:r w:rsidR="0099739C" w:rsidRPr="00624B2A">
        <w:t xml:space="preserve">i </w:t>
      </w:r>
      <w:r w:rsidR="0072368E" w:rsidRPr="00624B2A">
        <w:t xml:space="preserve">indicatori di </w:t>
      </w:r>
      <w:r w:rsidR="0099739C" w:rsidRPr="00624B2A">
        <w:t>risultat</w:t>
      </w:r>
      <w:r w:rsidR="0072368E" w:rsidRPr="00624B2A">
        <w:t>o</w:t>
      </w:r>
      <w:r w:rsidR="0099739C" w:rsidRPr="00624B2A">
        <w:t xml:space="preserve">. Per esempio, gli indicatori relativi ai consumi di energia </w:t>
      </w:r>
      <w:r w:rsidR="0072368E" w:rsidRPr="00624B2A">
        <w:t xml:space="preserve">e alle emissioni </w:t>
      </w:r>
      <w:r w:rsidR="0099739C" w:rsidRPr="00624B2A">
        <w:t xml:space="preserve">per </w:t>
      </w:r>
      <w:r w:rsidR="0072368E" w:rsidRPr="00624B2A">
        <w:t>l’</w:t>
      </w:r>
      <w:r w:rsidR="0099739C" w:rsidRPr="00624B2A">
        <w:t>illuminazione pubblica,</w:t>
      </w:r>
      <w:r w:rsidR="0072368E" w:rsidRPr="00624B2A">
        <w:t xml:space="preserve"> la classe energetica degli edifici, l’utilizzo di mezzi pubblici, le emissioni nel settore dei trasporti etc. mostrano tutti un miglioramento </w:t>
      </w:r>
      <w:r w:rsidR="00C6122C">
        <w:t xml:space="preserve">notevole </w:t>
      </w:r>
      <w:r w:rsidR="0072368E" w:rsidRPr="00624B2A">
        <w:t>a fine 2020.</w:t>
      </w:r>
      <w:r w:rsidR="0099739C" w:rsidRPr="00624B2A">
        <w:t xml:space="preserve"> </w:t>
      </w:r>
    </w:p>
    <w:p w14:paraId="550CDFDD" w14:textId="77777777" w:rsidR="00E6308C" w:rsidRDefault="00E6308C" w:rsidP="00B4132E"/>
    <w:p w14:paraId="69F4F594" w14:textId="77777777" w:rsidR="004D5D36" w:rsidRDefault="00E6308C" w:rsidP="00B4132E">
      <w:r>
        <w:t>Per quanto riguarda il FEASR, s</w:t>
      </w:r>
      <w:r w:rsidR="004D5D36">
        <w:t>e si guarda ai target di programma, in riferimento al</w:t>
      </w:r>
      <w:r w:rsidR="004D5D36" w:rsidRPr="004D5D36">
        <w:t>la Priorità 4</w:t>
      </w:r>
      <w:r w:rsidR="004D5D36">
        <w:t>,</w:t>
      </w:r>
      <w:r w:rsidR="004D5D36" w:rsidRPr="004D5D36">
        <w:t xml:space="preserve"> si registra</w:t>
      </w:r>
      <w:r w:rsidR="004D5D36">
        <w:t xml:space="preserve"> </w:t>
      </w:r>
      <w:r w:rsidR="004D5D36" w:rsidRPr="004D5D36">
        <w:t>il superamento del</w:t>
      </w:r>
      <w:r w:rsidR="00391246">
        <w:t xml:space="preserve"> valore obiettivo</w:t>
      </w:r>
      <w:r w:rsidR="004D5D36" w:rsidRPr="004D5D36">
        <w:t xml:space="preserve"> per l’indicatore </w:t>
      </w:r>
      <w:r w:rsidR="005A6ED9">
        <w:t>T9 (percentuale di terreni agricoli oggetto di contratti di gestione a sostegno della biodiversità e/o dei paesaggi)</w:t>
      </w:r>
      <w:r w:rsidR="004D5D36" w:rsidRPr="004D5D36">
        <w:t xml:space="preserve">, mentre il T10 </w:t>
      </w:r>
      <w:r w:rsidR="005A6ED9">
        <w:t xml:space="preserve">(percentuale di terreni agricoli oggetto di contratti di gestione volti a migliorare la gestione idrica) </w:t>
      </w:r>
      <w:r w:rsidR="004D5D36" w:rsidRPr="004D5D36">
        <w:t>è prossimo al 100%.</w:t>
      </w:r>
      <w:r w:rsidR="005A6ED9">
        <w:t xml:space="preserve"> Nel caso </w:t>
      </w:r>
      <w:r w:rsidR="004D5D36" w:rsidRPr="004D5D36">
        <w:t>della Priorità 5</w:t>
      </w:r>
      <w:r w:rsidR="005A6ED9">
        <w:t xml:space="preserve">, gli indicatori indicano </w:t>
      </w:r>
      <w:r w:rsidR="004D5D36" w:rsidRPr="004D5D36">
        <w:t>un ritardo. Sol</w:t>
      </w:r>
      <w:r w:rsidR="005A6ED9">
        <w:t xml:space="preserve">o </w:t>
      </w:r>
      <w:r w:rsidR="004D5D36" w:rsidRPr="004D5D36">
        <w:t>l’indicatore T19</w:t>
      </w:r>
      <w:r w:rsidR="00391246">
        <w:t xml:space="preserve"> (</w:t>
      </w:r>
      <w:r w:rsidR="00391246" w:rsidRPr="00391246">
        <w:t>percentuale di terreni agricoli e forestali oggetto di contratti di gestione che contribuiscono al sequestro e alla conservazione del carbonio</w:t>
      </w:r>
      <w:r w:rsidR="00391246">
        <w:t>)</w:t>
      </w:r>
      <w:r w:rsidR="004D5D36" w:rsidRPr="004D5D36">
        <w:t xml:space="preserve"> ha superato il target previsto, mentre gli altri indicatori target sono ad oggi lontani dall’obiettivo di fine programmazione. Per quanto </w:t>
      </w:r>
      <w:r w:rsidR="005A6ED9">
        <w:t>la spesa pubblica totale</w:t>
      </w:r>
      <w:r w:rsidR="004D5D36" w:rsidRPr="004D5D36">
        <w:t xml:space="preserve">, solo </w:t>
      </w:r>
      <w:r w:rsidR="005A6ED9">
        <w:t xml:space="preserve">alcune misure </w:t>
      </w:r>
      <w:r w:rsidR="004D5D36" w:rsidRPr="004D5D36">
        <w:t>fanno registrare dati positivi</w:t>
      </w:r>
      <w:r w:rsidR="005A6ED9">
        <w:t xml:space="preserve"> e contribuiscono al buon dato dell’avanzamento complessivo</w:t>
      </w:r>
      <w:r w:rsidR="004D5D36" w:rsidRPr="004D5D36">
        <w:t>.</w:t>
      </w:r>
    </w:p>
    <w:p w14:paraId="757E15DD" w14:textId="77777777" w:rsidR="0072368E" w:rsidRDefault="0072368E" w:rsidP="00B4132E"/>
    <w:p w14:paraId="0119BD18" w14:textId="77777777" w:rsidR="00B962B4" w:rsidRDefault="00B962B4" w:rsidP="00B4132E"/>
    <w:p w14:paraId="5377F44B" w14:textId="77777777" w:rsidR="00B4132E" w:rsidRDefault="004D6333" w:rsidP="00B27AA3">
      <w:pPr>
        <w:pStyle w:val="Titolo2"/>
      </w:pPr>
      <w:bookmarkStart w:id="49" w:name="_Toc91081395"/>
      <w:r>
        <w:t>Politiche riconducibili all’a</w:t>
      </w:r>
      <w:r w:rsidR="00B4132E">
        <w:t>rea socio-economica</w:t>
      </w:r>
      <w:bookmarkEnd w:id="49"/>
    </w:p>
    <w:p w14:paraId="3BE3D264" w14:textId="77777777" w:rsidR="00B962B4" w:rsidRPr="00B962B4" w:rsidRDefault="00B962B4" w:rsidP="00B962B4"/>
    <w:p w14:paraId="2E0B0FE9" w14:textId="77777777" w:rsidR="00B4132E" w:rsidRDefault="00B4132E" w:rsidP="00B27AA3">
      <w:pPr>
        <w:pStyle w:val="Titolo3"/>
      </w:pPr>
      <w:bookmarkStart w:id="50" w:name="_Toc91081396"/>
      <w:r w:rsidRPr="00922E2A">
        <w:t>Avanzamento degli interventi</w:t>
      </w:r>
      <w:bookmarkEnd w:id="50"/>
      <w:r w:rsidRPr="00922E2A">
        <w:t xml:space="preserve"> </w:t>
      </w:r>
    </w:p>
    <w:p w14:paraId="796E1F5A" w14:textId="77777777" w:rsidR="00B4132E" w:rsidRDefault="00B4132E" w:rsidP="00B4132E"/>
    <w:p w14:paraId="10B5CB5D" w14:textId="77777777" w:rsidR="0086197B" w:rsidRDefault="0086197B" w:rsidP="0086197B">
      <w:pPr>
        <w:pStyle w:val="Titolo4"/>
      </w:pPr>
      <w:r>
        <w:t>Avanzamento finanziario</w:t>
      </w:r>
    </w:p>
    <w:p w14:paraId="29477871" w14:textId="77777777" w:rsidR="00624B2A" w:rsidRPr="00624B2A" w:rsidRDefault="00624B2A" w:rsidP="00624B2A"/>
    <w:p w14:paraId="35E44FBB" w14:textId="77777777" w:rsidR="005B0FBE" w:rsidRDefault="00C437DB" w:rsidP="005B0FBE">
      <w:r w:rsidRPr="009E54BC">
        <w:t>Le politiche co-finanziate dai fondi strutturali e di investimento europei che intendono contribuire ad una</w:t>
      </w:r>
      <w:r>
        <w:t xml:space="preserve"> </w:t>
      </w:r>
      <w:r w:rsidR="00C35DCC">
        <w:t>crescita inclusiva, ossia ad un'economia con un alto tasso di occupazione che favorisca la coesione economica, sociale e territoriale</w:t>
      </w:r>
      <w:r w:rsidRPr="009E54BC">
        <w:t xml:space="preserve">, convergono nell’area di analisi che nel presente rapporto è stata definita come “area </w:t>
      </w:r>
      <w:r w:rsidR="00742C9D">
        <w:t>socio-economica</w:t>
      </w:r>
      <w:r w:rsidRPr="009E54BC">
        <w:t xml:space="preserve">”. Le missioni del Programma Regionale di Sviluppo (PRS) della XI Legislatura di Regione Lombardia che rientrano in questa area sono: </w:t>
      </w:r>
      <w:r w:rsidR="00E263AD">
        <w:t>istruzione e diritto allo studio; politiche per il lavoro e la formazione professionale; tutela e valorizzazione dei beni e attività culturali; politiche giovanili, sport e tempo libero; tutela della salute; diritti sociali, politiche sociali, pari opportunità e famiglia</w:t>
      </w:r>
      <w:r w:rsidRPr="009E54BC">
        <w:t>. A queste missioni si possono ricondurre gli interventi finanziati nell’ambito de</w:t>
      </w:r>
      <w:r w:rsidR="00813061">
        <w:t xml:space="preserve">gli </w:t>
      </w:r>
      <w:r w:rsidR="005004C6">
        <w:t>A</w:t>
      </w:r>
      <w:r>
        <w:t>ss</w:t>
      </w:r>
      <w:r w:rsidR="00813061">
        <w:t>i</w:t>
      </w:r>
      <w:r w:rsidR="005B6554">
        <w:t xml:space="preserve"> I, II, e II del POR FSE, quelli finanziati dagli Assi</w:t>
      </w:r>
      <w:r>
        <w:t xml:space="preserve"> V</w:t>
      </w:r>
      <w:r w:rsidR="00813061">
        <w:t xml:space="preserve"> e VI</w:t>
      </w:r>
      <w:r>
        <w:t xml:space="preserve"> </w:t>
      </w:r>
      <w:r w:rsidRPr="009E54BC">
        <w:t>del POR FESR</w:t>
      </w:r>
      <w:r w:rsidR="00F468E0">
        <w:t xml:space="preserve">, </w:t>
      </w:r>
      <w:r w:rsidR="005B6554">
        <w:t xml:space="preserve">e </w:t>
      </w:r>
      <w:r w:rsidRPr="009E54BC">
        <w:t>l</w:t>
      </w:r>
      <w:r w:rsidR="00F468E0">
        <w:t>a</w:t>
      </w:r>
      <w:r w:rsidRPr="009E54BC">
        <w:t xml:space="preserve"> </w:t>
      </w:r>
      <w:r w:rsidR="005004C6">
        <w:t>P</w:t>
      </w:r>
      <w:r w:rsidRPr="009E54BC">
        <w:t>riorità</w:t>
      </w:r>
      <w:r w:rsidR="00F468E0">
        <w:t xml:space="preserve"> </w:t>
      </w:r>
      <w:r>
        <w:t>V</w:t>
      </w:r>
      <w:r w:rsidR="00F468E0">
        <w:t>I</w:t>
      </w:r>
      <w:r>
        <w:t xml:space="preserve"> </w:t>
      </w:r>
      <w:r w:rsidRPr="009E54BC">
        <w:t>del PSR FEASR.</w:t>
      </w:r>
    </w:p>
    <w:p w14:paraId="12D39A1E" w14:textId="77777777" w:rsidR="00014FA7" w:rsidRDefault="00014FA7" w:rsidP="005B0FBE"/>
    <w:p w14:paraId="5ACC3AED" w14:textId="60DEDF0E" w:rsidR="00014FA7" w:rsidRDefault="00014FA7" w:rsidP="005B0FBE">
      <w:r>
        <w:t>A seguito dell’emergenza pandemica da Covid-19, si è resa necessaria una riprogrammazione delle risorse allocate nei POR</w:t>
      </w:r>
      <w:r w:rsidR="00473AC8">
        <w:t xml:space="preserve"> FSE e FESR 2014-2020</w:t>
      </w:r>
      <w:r>
        <w:t>, e la Regione Lombardia ha conseguentemente sottoscritto il cosiddetto “Accordo Provenzano”</w:t>
      </w:r>
      <w:r w:rsidR="00E80697">
        <w:t xml:space="preserve">. </w:t>
      </w:r>
      <w:r w:rsidR="00A70D48">
        <w:t>L</w:t>
      </w:r>
      <w:r w:rsidR="00E80697" w:rsidRPr="00E80697">
        <w:rPr>
          <w:bCs/>
        </w:rPr>
        <w:t>e risorse f</w:t>
      </w:r>
      <w:r w:rsidR="00E80697" w:rsidRPr="00E80697">
        <w:t>inanziarie riprogrammate</w:t>
      </w:r>
      <w:r w:rsidR="00A70D48">
        <w:t xml:space="preserve"> del POR FSE</w:t>
      </w:r>
      <w:r w:rsidR="00E80697">
        <w:t>, in totale 168,5</w:t>
      </w:r>
      <w:r w:rsidR="00E80697">
        <w:rPr>
          <w:rStyle w:val="Rimandonotaapidipagina"/>
        </w:rPr>
        <w:footnoteReference w:id="6"/>
      </w:r>
      <w:r w:rsidR="00E80697">
        <w:t xml:space="preserve"> Meuro,</w:t>
      </w:r>
      <w:r w:rsidR="00E80697" w:rsidRPr="00E80697">
        <w:t xml:space="preserve"> sono state destinate alla priorità d’investimento 9.iv, azione 9.8.1, con l’obiettivo di contribuire al finanziamento degli ammortizzatori sociali (Cassa Integrazione in Deroga) già anticipati dallo Stato e decretati dalla Regione Lombardia</w:t>
      </w:r>
      <w:r w:rsidR="00E80697">
        <w:t xml:space="preserve">. Tutto ciò ha implicato </w:t>
      </w:r>
      <w:r w:rsidR="00E80697" w:rsidRPr="00445DFB">
        <w:rPr>
          <w:rFonts w:cs="Arial"/>
          <w:szCs w:val="22"/>
        </w:rPr>
        <w:t>una riduzione delle risorse allocate sugli Assi I e III e</w:t>
      </w:r>
      <w:r w:rsidR="00E80697">
        <w:rPr>
          <w:rFonts w:cs="Arial"/>
          <w:szCs w:val="22"/>
        </w:rPr>
        <w:t>, di conseguenza,</w:t>
      </w:r>
      <w:r w:rsidR="00E80697" w:rsidRPr="00445DFB">
        <w:rPr>
          <w:rFonts w:cs="Arial"/>
          <w:szCs w:val="22"/>
        </w:rPr>
        <w:t xml:space="preserve"> un aumento di quelle allocate sull’Asse II</w:t>
      </w:r>
      <w:r w:rsidR="00E80697">
        <w:rPr>
          <w:rFonts w:cs="Arial"/>
          <w:szCs w:val="22"/>
        </w:rPr>
        <w:t xml:space="preserve">. </w:t>
      </w:r>
    </w:p>
    <w:p w14:paraId="67FD819E" w14:textId="77777777" w:rsidR="005004C6" w:rsidRDefault="005004C6" w:rsidP="005B6554"/>
    <w:p w14:paraId="03627D58" w14:textId="77777777" w:rsidR="005B6554" w:rsidRDefault="005B6554" w:rsidP="005B0FBE">
      <w:r>
        <w:t xml:space="preserve">La tabella che segue riporta l’avanzamento finanziario degli assi del </w:t>
      </w:r>
      <w:r w:rsidRPr="005B6554">
        <w:rPr>
          <w:b/>
          <w:bCs/>
        </w:rPr>
        <w:t>POR FSE</w:t>
      </w:r>
      <w:r>
        <w:t xml:space="preserve"> che contribuiscono agli obiettivi dell’area socio-economica, al 31 dicembre 2020. Gli interventi finanziati dal FSE relativi all’area socio-economica ammontano a 917,6 milioni di euro, rappresentando la quasi totalità delle risorse del programma (97,87%). Complessivamente gli interventi FSE mostrano una discreta realizzazione finanziaria. Difatti, le risorse impegnate e spese rappresentano rispettivamente il 65% e 53,32% delle risorse totali programmate per l’area. Gli Assi I e III dimostrano un buon avanzamento finanziario rispettivamente di 69,26% e 67,03%, molto più alto rispetto al 32,45% dell’Asse II. Ciò è verosimilmente imputabile alla riprogrammazione del POR avvenuta nella seconda metà del 2020.</w:t>
      </w:r>
    </w:p>
    <w:p w14:paraId="746F3E81" w14:textId="77777777" w:rsidR="005B0FBE" w:rsidRDefault="005B0FBE" w:rsidP="005B0FBE">
      <w:pPr>
        <w:pStyle w:val="Didascalia"/>
      </w:pPr>
      <w:bookmarkStart w:id="51" w:name="_Toc91081444"/>
      <w:r>
        <w:t xml:space="preserve">Tabella </w:t>
      </w:r>
      <w:r w:rsidR="004E6566">
        <w:fldChar w:fldCharType="begin"/>
      </w:r>
      <w:r>
        <w:instrText xml:space="preserve"> SEQ Tabella \* ARABIC </w:instrText>
      </w:r>
      <w:r w:rsidR="004E6566">
        <w:fldChar w:fldCharType="separate"/>
      </w:r>
      <w:r w:rsidR="00E53D6C">
        <w:rPr>
          <w:noProof/>
        </w:rPr>
        <w:t>18</w:t>
      </w:r>
      <w:r w:rsidR="004E6566">
        <w:fldChar w:fldCharType="end"/>
      </w:r>
      <w:r w:rsidR="001230B4">
        <w:t>. A</w:t>
      </w:r>
      <w:r>
        <w:t>vanzamento degli assi FSE - Area socio-economica – fine 2020</w:t>
      </w:r>
      <w:bookmarkEnd w:id="51"/>
    </w:p>
    <w:tbl>
      <w:tblPr>
        <w:tblW w:w="9881" w:type="dxa"/>
        <w:tblLook w:val="04A0" w:firstRow="1" w:lastRow="0" w:firstColumn="1" w:lastColumn="0" w:noHBand="0" w:noVBand="1"/>
      </w:tblPr>
      <w:tblGrid>
        <w:gridCol w:w="3798"/>
        <w:gridCol w:w="1361"/>
        <w:gridCol w:w="1361"/>
        <w:gridCol w:w="1361"/>
        <w:gridCol w:w="1000"/>
        <w:gridCol w:w="1000"/>
      </w:tblGrid>
      <w:tr w:rsidR="005B0FBE" w:rsidRPr="005004C6" w14:paraId="3144FD10" w14:textId="77777777" w:rsidTr="001A51AA">
        <w:trPr>
          <w:trHeight w:val="345"/>
        </w:trPr>
        <w:tc>
          <w:tcPr>
            <w:tcW w:w="3798" w:type="dxa"/>
            <w:tcBorders>
              <w:top w:val="nil"/>
              <w:left w:val="nil"/>
              <w:bottom w:val="nil"/>
              <w:right w:val="nil"/>
            </w:tcBorders>
            <w:shd w:val="clear" w:color="auto" w:fill="669748" w:themeFill="accent2" w:themeFillShade="BF"/>
            <w:noWrap/>
            <w:vAlign w:val="bottom"/>
            <w:hideMark/>
          </w:tcPr>
          <w:p w14:paraId="6ABDDB23" w14:textId="77777777" w:rsidR="005B0FBE" w:rsidRPr="005004C6" w:rsidRDefault="005B0FBE" w:rsidP="00AF58DF">
            <w:pPr>
              <w:jc w:val="left"/>
              <w:rPr>
                <w:rFonts w:eastAsia="Times New Roman" w:cs="Calibri"/>
                <w:b/>
                <w:bCs/>
                <w:color w:val="FFFFFF"/>
                <w:sz w:val="16"/>
                <w:szCs w:val="16"/>
                <w:lang w:eastAsia="en-US"/>
              </w:rPr>
            </w:pPr>
            <w:r w:rsidRPr="005004C6">
              <w:rPr>
                <w:rFonts w:eastAsia="Times New Roman" w:cs="Calibri"/>
                <w:b/>
                <w:bCs/>
                <w:color w:val="FFFFFF"/>
                <w:sz w:val="16"/>
                <w:szCs w:val="16"/>
                <w:lang w:eastAsia="en-US"/>
              </w:rPr>
              <w:t>Area</w:t>
            </w:r>
          </w:p>
        </w:tc>
        <w:tc>
          <w:tcPr>
            <w:tcW w:w="1361" w:type="dxa"/>
            <w:tcBorders>
              <w:top w:val="nil"/>
              <w:left w:val="nil"/>
              <w:bottom w:val="nil"/>
              <w:right w:val="nil"/>
            </w:tcBorders>
            <w:shd w:val="clear" w:color="auto" w:fill="669748" w:themeFill="accent2" w:themeFillShade="BF"/>
            <w:noWrap/>
            <w:vAlign w:val="bottom"/>
            <w:hideMark/>
          </w:tcPr>
          <w:p w14:paraId="108CCCB9" w14:textId="77777777" w:rsidR="005B0FBE" w:rsidRPr="005004C6" w:rsidRDefault="005B0FBE" w:rsidP="00AF58DF">
            <w:pPr>
              <w:jc w:val="right"/>
              <w:rPr>
                <w:rFonts w:eastAsia="Times New Roman" w:cs="Calibri"/>
                <w:b/>
                <w:bCs/>
                <w:color w:val="FFFFFF"/>
                <w:sz w:val="16"/>
                <w:szCs w:val="16"/>
                <w:lang w:eastAsia="en-US"/>
              </w:rPr>
            </w:pPr>
            <w:r w:rsidRPr="005004C6">
              <w:rPr>
                <w:rFonts w:eastAsia="Times New Roman" w:cs="Calibri"/>
                <w:b/>
                <w:bCs/>
                <w:color w:val="FFFFFF"/>
                <w:sz w:val="16"/>
                <w:szCs w:val="16"/>
                <w:lang w:eastAsia="en-US"/>
              </w:rPr>
              <w:t>A - Importo programmato</w:t>
            </w:r>
            <w:r w:rsidRPr="005004C6">
              <w:rPr>
                <w:rFonts w:eastAsia="Times New Roman" w:cs="Calibri"/>
                <w:b/>
                <w:bCs/>
                <w:color w:val="FFFFFF"/>
                <w:sz w:val="16"/>
                <w:szCs w:val="16"/>
                <w:vertAlign w:val="superscript"/>
                <w:lang w:eastAsia="en-US"/>
              </w:rPr>
              <w:t>1</w:t>
            </w:r>
          </w:p>
        </w:tc>
        <w:tc>
          <w:tcPr>
            <w:tcW w:w="1361" w:type="dxa"/>
            <w:tcBorders>
              <w:top w:val="nil"/>
              <w:left w:val="nil"/>
              <w:bottom w:val="nil"/>
              <w:right w:val="nil"/>
            </w:tcBorders>
            <w:shd w:val="clear" w:color="auto" w:fill="669748" w:themeFill="accent2" w:themeFillShade="BF"/>
            <w:noWrap/>
            <w:vAlign w:val="bottom"/>
            <w:hideMark/>
          </w:tcPr>
          <w:p w14:paraId="0496841E" w14:textId="77777777" w:rsidR="005B0FBE" w:rsidRPr="005004C6" w:rsidRDefault="005B0FBE" w:rsidP="00AF58DF">
            <w:pPr>
              <w:jc w:val="right"/>
              <w:rPr>
                <w:rFonts w:eastAsia="Times New Roman" w:cs="Calibri"/>
                <w:b/>
                <w:bCs/>
                <w:color w:val="FFFFFF"/>
                <w:sz w:val="16"/>
                <w:szCs w:val="16"/>
                <w:lang w:eastAsia="en-US"/>
              </w:rPr>
            </w:pPr>
            <w:r w:rsidRPr="005004C6">
              <w:rPr>
                <w:rFonts w:eastAsia="Times New Roman" w:cs="Calibri"/>
                <w:b/>
                <w:bCs/>
                <w:color w:val="FFFFFF"/>
                <w:sz w:val="16"/>
                <w:szCs w:val="16"/>
                <w:lang w:eastAsia="en-US"/>
              </w:rPr>
              <w:t>B - Importo impegnato</w:t>
            </w:r>
          </w:p>
        </w:tc>
        <w:tc>
          <w:tcPr>
            <w:tcW w:w="1361" w:type="dxa"/>
            <w:tcBorders>
              <w:top w:val="nil"/>
              <w:left w:val="nil"/>
              <w:bottom w:val="nil"/>
              <w:right w:val="nil"/>
            </w:tcBorders>
            <w:shd w:val="clear" w:color="auto" w:fill="669748" w:themeFill="accent2" w:themeFillShade="BF"/>
            <w:noWrap/>
            <w:vAlign w:val="bottom"/>
            <w:hideMark/>
          </w:tcPr>
          <w:p w14:paraId="1D571B23" w14:textId="77777777" w:rsidR="005B0FBE" w:rsidRPr="005004C6" w:rsidRDefault="005B0FBE" w:rsidP="00AF58DF">
            <w:pPr>
              <w:jc w:val="right"/>
              <w:rPr>
                <w:rFonts w:eastAsia="Times New Roman" w:cs="Calibri"/>
                <w:b/>
                <w:bCs/>
                <w:color w:val="FFFFFF"/>
                <w:sz w:val="16"/>
                <w:szCs w:val="16"/>
                <w:lang w:eastAsia="en-US"/>
              </w:rPr>
            </w:pPr>
            <w:r w:rsidRPr="005004C6">
              <w:rPr>
                <w:rFonts w:eastAsia="Times New Roman" w:cs="Calibri"/>
                <w:b/>
                <w:bCs/>
                <w:color w:val="FFFFFF"/>
                <w:sz w:val="16"/>
                <w:szCs w:val="16"/>
                <w:lang w:eastAsia="en-US"/>
              </w:rPr>
              <w:t>C - Spesa ammissibile dichiarata dai beneficiari</w:t>
            </w:r>
          </w:p>
        </w:tc>
        <w:tc>
          <w:tcPr>
            <w:tcW w:w="1000" w:type="dxa"/>
            <w:tcBorders>
              <w:top w:val="nil"/>
              <w:left w:val="nil"/>
              <w:bottom w:val="nil"/>
              <w:right w:val="nil"/>
            </w:tcBorders>
            <w:shd w:val="clear" w:color="auto" w:fill="669748" w:themeFill="accent2" w:themeFillShade="BF"/>
            <w:noWrap/>
            <w:vAlign w:val="bottom"/>
            <w:hideMark/>
          </w:tcPr>
          <w:p w14:paraId="31B8D5F2" w14:textId="77777777" w:rsidR="005B0FBE" w:rsidRPr="005004C6" w:rsidRDefault="005B0FBE" w:rsidP="00AF58DF">
            <w:pPr>
              <w:jc w:val="right"/>
              <w:rPr>
                <w:rFonts w:eastAsia="Times New Roman" w:cs="Calibri"/>
                <w:b/>
                <w:bCs/>
                <w:color w:val="FFFFFF"/>
                <w:sz w:val="16"/>
                <w:szCs w:val="16"/>
                <w:lang w:eastAsia="en-US"/>
              </w:rPr>
            </w:pPr>
            <w:r w:rsidRPr="005004C6">
              <w:rPr>
                <w:rFonts w:eastAsia="Times New Roman" w:cs="Calibri"/>
                <w:b/>
                <w:bCs/>
                <w:color w:val="FFFFFF"/>
                <w:sz w:val="16"/>
                <w:szCs w:val="16"/>
                <w:lang w:eastAsia="en-US"/>
              </w:rPr>
              <w:t>B/A - % impegnato</w:t>
            </w:r>
          </w:p>
        </w:tc>
        <w:tc>
          <w:tcPr>
            <w:tcW w:w="1000" w:type="dxa"/>
            <w:tcBorders>
              <w:top w:val="nil"/>
              <w:left w:val="nil"/>
              <w:bottom w:val="nil"/>
              <w:right w:val="nil"/>
            </w:tcBorders>
            <w:shd w:val="clear" w:color="auto" w:fill="669748" w:themeFill="accent2" w:themeFillShade="BF"/>
            <w:noWrap/>
            <w:vAlign w:val="bottom"/>
            <w:hideMark/>
          </w:tcPr>
          <w:p w14:paraId="1AF482A7" w14:textId="77777777" w:rsidR="005B0FBE" w:rsidRPr="005004C6" w:rsidRDefault="005B0FBE" w:rsidP="00AF58DF">
            <w:pPr>
              <w:jc w:val="right"/>
              <w:rPr>
                <w:rFonts w:eastAsia="Times New Roman" w:cs="Calibri"/>
                <w:b/>
                <w:bCs/>
                <w:color w:val="FFFFFF"/>
                <w:sz w:val="16"/>
                <w:szCs w:val="16"/>
                <w:lang w:eastAsia="en-US"/>
              </w:rPr>
            </w:pPr>
            <w:r w:rsidRPr="005004C6">
              <w:rPr>
                <w:rFonts w:eastAsia="Times New Roman" w:cs="Calibri"/>
                <w:b/>
                <w:bCs/>
                <w:color w:val="FFFFFF"/>
                <w:sz w:val="16"/>
                <w:szCs w:val="16"/>
                <w:lang w:eastAsia="en-US"/>
              </w:rPr>
              <w:t>C/A - % speso</w:t>
            </w:r>
          </w:p>
        </w:tc>
      </w:tr>
      <w:tr w:rsidR="005B0FBE" w:rsidRPr="005004C6" w14:paraId="0FB9014B" w14:textId="77777777" w:rsidTr="00AF58DF">
        <w:trPr>
          <w:trHeight w:val="300"/>
        </w:trPr>
        <w:tc>
          <w:tcPr>
            <w:tcW w:w="3798" w:type="dxa"/>
            <w:tcBorders>
              <w:top w:val="nil"/>
              <w:left w:val="nil"/>
              <w:bottom w:val="single" w:sz="4" w:space="0" w:color="305496"/>
              <w:right w:val="nil"/>
            </w:tcBorders>
            <w:shd w:val="clear" w:color="000000" w:fill="E7E6E6"/>
            <w:noWrap/>
            <w:vAlign w:val="bottom"/>
            <w:hideMark/>
          </w:tcPr>
          <w:p w14:paraId="3EAD11B9" w14:textId="77777777" w:rsidR="005B0FBE" w:rsidRPr="005004C6" w:rsidRDefault="005B0FBE" w:rsidP="00AF58DF">
            <w:pPr>
              <w:jc w:val="left"/>
              <w:rPr>
                <w:rFonts w:eastAsia="Times New Roman" w:cs="Calibri"/>
                <w:b/>
                <w:bCs/>
                <w:color w:val="000000"/>
                <w:sz w:val="16"/>
                <w:szCs w:val="16"/>
                <w:lang w:eastAsia="en-US"/>
              </w:rPr>
            </w:pPr>
            <w:r w:rsidRPr="005004C6">
              <w:rPr>
                <w:rFonts w:eastAsia="Times New Roman" w:cs="Calibri"/>
                <w:b/>
                <w:bCs/>
                <w:color w:val="000000"/>
                <w:sz w:val="16"/>
                <w:szCs w:val="16"/>
                <w:lang w:eastAsia="en-US"/>
              </w:rPr>
              <w:t>Area socio-economica</w:t>
            </w:r>
          </w:p>
        </w:tc>
        <w:tc>
          <w:tcPr>
            <w:tcW w:w="1361" w:type="dxa"/>
            <w:tcBorders>
              <w:top w:val="nil"/>
              <w:left w:val="nil"/>
              <w:bottom w:val="single" w:sz="4" w:space="0" w:color="305496"/>
              <w:right w:val="nil"/>
            </w:tcBorders>
            <w:shd w:val="clear" w:color="000000" w:fill="E7E6E6"/>
            <w:noWrap/>
            <w:vAlign w:val="bottom"/>
            <w:hideMark/>
          </w:tcPr>
          <w:p w14:paraId="108DC7EB" w14:textId="77777777" w:rsidR="005B0FBE" w:rsidRPr="005004C6" w:rsidRDefault="005B0FBE" w:rsidP="00AF58DF">
            <w:pPr>
              <w:jc w:val="right"/>
              <w:rPr>
                <w:rFonts w:eastAsia="Times New Roman" w:cs="Calibri"/>
                <w:b/>
                <w:bCs/>
                <w:color w:val="000000"/>
                <w:sz w:val="16"/>
                <w:szCs w:val="16"/>
                <w:lang w:eastAsia="en-US"/>
              </w:rPr>
            </w:pPr>
            <w:r w:rsidRPr="005004C6">
              <w:rPr>
                <w:rFonts w:eastAsia="Times New Roman" w:cs="Calibri"/>
                <w:b/>
                <w:bCs/>
                <w:color w:val="000000"/>
                <w:sz w:val="16"/>
                <w:szCs w:val="16"/>
                <w:lang w:eastAsia="en-US"/>
              </w:rPr>
              <w:t>917.600.000,00</w:t>
            </w:r>
          </w:p>
        </w:tc>
        <w:tc>
          <w:tcPr>
            <w:tcW w:w="1361" w:type="dxa"/>
            <w:tcBorders>
              <w:top w:val="nil"/>
              <w:left w:val="nil"/>
              <w:bottom w:val="single" w:sz="4" w:space="0" w:color="305496"/>
              <w:right w:val="nil"/>
            </w:tcBorders>
            <w:shd w:val="clear" w:color="000000" w:fill="E7E6E6"/>
            <w:noWrap/>
            <w:vAlign w:val="bottom"/>
            <w:hideMark/>
          </w:tcPr>
          <w:p w14:paraId="2A3B3074" w14:textId="77777777" w:rsidR="005B0FBE" w:rsidRPr="005004C6" w:rsidRDefault="005B0FBE" w:rsidP="00AF58DF">
            <w:pPr>
              <w:jc w:val="right"/>
              <w:rPr>
                <w:rFonts w:eastAsia="Times New Roman" w:cs="Calibri"/>
                <w:b/>
                <w:bCs/>
                <w:color w:val="000000"/>
                <w:sz w:val="16"/>
                <w:szCs w:val="16"/>
                <w:lang w:eastAsia="en-US"/>
              </w:rPr>
            </w:pPr>
            <w:r w:rsidRPr="005004C6">
              <w:rPr>
                <w:rFonts w:eastAsia="Times New Roman" w:cs="Calibri"/>
                <w:b/>
                <w:bCs/>
                <w:color w:val="000000"/>
                <w:sz w:val="16"/>
                <w:szCs w:val="16"/>
                <w:lang w:eastAsia="en-US"/>
              </w:rPr>
              <w:t>601.485.489,90</w:t>
            </w:r>
          </w:p>
        </w:tc>
        <w:tc>
          <w:tcPr>
            <w:tcW w:w="1361" w:type="dxa"/>
            <w:tcBorders>
              <w:top w:val="nil"/>
              <w:left w:val="nil"/>
              <w:bottom w:val="single" w:sz="4" w:space="0" w:color="305496"/>
              <w:right w:val="nil"/>
            </w:tcBorders>
            <w:shd w:val="clear" w:color="000000" w:fill="E7E6E6"/>
            <w:noWrap/>
            <w:vAlign w:val="bottom"/>
            <w:hideMark/>
          </w:tcPr>
          <w:p w14:paraId="3BBEA0D1" w14:textId="77777777" w:rsidR="005B0FBE" w:rsidRPr="005004C6" w:rsidRDefault="005B0FBE" w:rsidP="00AF58DF">
            <w:pPr>
              <w:jc w:val="right"/>
              <w:rPr>
                <w:rFonts w:eastAsia="Times New Roman" w:cs="Calibri"/>
                <w:b/>
                <w:bCs/>
                <w:color w:val="000000"/>
                <w:sz w:val="16"/>
                <w:szCs w:val="16"/>
                <w:lang w:eastAsia="en-US"/>
              </w:rPr>
            </w:pPr>
            <w:r w:rsidRPr="005004C6">
              <w:rPr>
                <w:rFonts w:eastAsia="Times New Roman" w:cs="Calibri"/>
                <w:b/>
                <w:bCs/>
                <w:color w:val="000000"/>
                <w:sz w:val="16"/>
                <w:szCs w:val="16"/>
                <w:lang w:eastAsia="en-US"/>
              </w:rPr>
              <w:t>489.275.192,73</w:t>
            </w:r>
          </w:p>
        </w:tc>
        <w:tc>
          <w:tcPr>
            <w:tcW w:w="1000" w:type="dxa"/>
            <w:tcBorders>
              <w:top w:val="nil"/>
              <w:left w:val="nil"/>
              <w:bottom w:val="single" w:sz="4" w:space="0" w:color="305496"/>
              <w:right w:val="nil"/>
            </w:tcBorders>
            <w:shd w:val="clear" w:color="000000" w:fill="E7E6E6"/>
            <w:noWrap/>
            <w:vAlign w:val="bottom"/>
            <w:hideMark/>
          </w:tcPr>
          <w:p w14:paraId="1B2C4121" w14:textId="77777777" w:rsidR="005B0FBE" w:rsidRPr="005004C6" w:rsidRDefault="005B0FBE" w:rsidP="00AF58DF">
            <w:pPr>
              <w:jc w:val="right"/>
              <w:rPr>
                <w:rFonts w:eastAsia="Times New Roman" w:cs="Calibri"/>
                <w:b/>
                <w:bCs/>
                <w:color w:val="000000"/>
                <w:sz w:val="16"/>
                <w:szCs w:val="16"/>
                <w:lang w:eastAsia="en-US"/>
              </w:rPr>
            </w:pPr>
            <w:r w:rsidRPr="005004C6">
              <w:rPr>
                <w:rFonts w:eastAsia="Times New Roman" w:cs="Calibri"/>
                <w:b/>
                <w:bCs/>
                <w:color w:val="000000"/>
                <w:sz w:val="16"/>
                <w:szCs w:val="16"/>
                <w:lang w:eastAsia="en-US"/>
              </w:rPr>
              <w:t>65,55%</w:t>
            </w:r>
          </w:p>
        </w:tc>
        <w:tc>
          <w:tcPr>
            <w:tcW w:w="1000" w:type="dxa"/>
            <w:tcBorders>
              <w:top w:val="nil"/>
              <w:left w:val="nil"/>
              <w:bottom w:val="single" w:sz="4" w:space="0" w:color="305496"/>
              <w:right w:val="nil"/>
            </w:tcBorders>
            <w:shd w:val="clear" w:color="000000" w:fill="E7E6E6"/>
            <w:noWrap/>
            <w:vAlign w:val="bottom"/>
            <w:hideMark/>
          </w:tcPr>
          <w:p w14:paraId="0BCB423E" w14:textId="77777777" w:rsidR="005B0FBE" w:rsidRPr="005004C6" w:rsidRDefault="005B0FBE" w:rsidP="00AF58DF">
            <w:pPr>
              <w:jc w:val="right"/>
              <w:rPr>
                <w:rFonts w:eastAsia="Times New Roman" w:cs="Calibri"/>
                <w:b/>
                <w:bCs/>
                <w:color w:val="000000"/>
                <w:sz w:val="16"/>
                <w:szCs w:val="16"/>
                <w:lang w:eastAsia="en-US"/>
              </w:rPr>
            </w:pPr>
            <w:r w:rsidRPr="005004C6">
              <w:rPr>
                <w:rFonts w:eastAsia="Times New Roman" w:cs="Calibri"/>
                <w:b/>
                <w:bCs/>
                <w:color w:val="000000"/>
                <w:sz w:val="16"/>
                <w:szCs w:val="16"/>
                <w:lang w:eastAsia="en-US"/>
              </w:rPr>
              <w:t>53,32%</w:t>
            </w:r>
          </w:p>
        </w:tc>
      </w:tr>
      <w:tr w:rsidR="005B0FBE" w:rsidRPr="005004C6" w14:paraId="143C47E0" w14:textId="77777777" w:rsidTr="00AF58DF">
        <w:trPr>
          <w:trHeight w:val="300"/>
        </w:trPr>
        <w:tc>
          <w:tcPr>
            <w:tcW w:w="3798" w:type="dxa"/>
            <w:tcBorders>
              <w:top w:val="nil"/>
              <w:left w:val="nil"/>
              <w:bottom w:val="nil"/>
              <w:right w:val="nil"/>
            </w:tcBorders>
            <w:shd w:val="clear" w:color="auto" w:fill="auto"/>
            <w:noWrap/>
            <w:vAlign w:val="bottom"/>
            <w:hideMark/>
          </w:tcPr>
          <w:p w14:paraId="477359A3" w14:textId="6120104C" w:rsidR="005B0FBE" w:rsidRPr="005004C6" w:rsidRDefault="005B0FBE" w:rsidP="00AF58DF">
            <w:pPr>
              <w:jc w:val="left"/>
              <w:rPr>
                <w:rFonts w:eastAsia="Times New Roman" w:cs="Calibri"/>
                <w:color w:val="000000"/>
                <w:sz w:val="16"/>
                <w:szCs w:val="16"/>
                <w:lang w:eastAsia="en-US"/>
              </w:rPr>
            </w:pPr>
            <w:r w:rsidRPr="005004C6">
              <w:rPr>
                <w:rFonts w:eastAsia="Times New Roman" w:cs="Calibri"/>
                <w:color w:val="000000"/>
                <w:sz w:val="16"/>
                <w:szCs w:val="16"/>
                <w:lang w:eastAsia="en-US"/>
              </w:rPr>
              <w:t xml:space="preserve">I </w:t>
            </w:r>
            <w:r w:rsidR="00AF58DF">
              <w:rPr>
                <w:rFonts w:eastAsia="Times New Roman" w:cs="Calibri"/>
                <w:color w:val="000000"/>
                <w:sz w:val="16"/>
                <w:szCs w:val="16"/>
                <w:lang w:eastAsia="en-US"/>
              </w:rPr>
              <w:t>–</w:t>
            </w:r>
            <w:r w:rsidRPr="005004C6">
              <w:rPr>
                <w:rFonts w:eastAsia="Times New Roman" w:cs="Calibri"/>
                <w:color w:val="000000"/>
                <w:sz w:val="16"/>
                <w:szCs w:val="16"/>
                <w:lang w:eastAsia="en-US"/>
              </w:rPr>
              <w:t xml:space="preserve"> Occupazione</w:t>
            </w:r>
          </w:p>
        </w:tc>
        <w:tc>
          <w:tcPr>
            <w:tcW w:w="1361" w:type="dxa"/>
            <w:tcBorders>
              <w:top w:val="nil"/>
              <w:left w:val="nil"/>
              <w:bottom w:val="nil"/>
              <w:right w:val="nil"/>
            </w:tcBorders>
            <w:shd w:val="clear" w:color="auto" w:fill="auto"/>
            <w:noWrap/>
            <w:vAlign w:val="bottom"/>
            <w:hideMark/>
          </w:tcPr>
          <w:p w14:paraId="2F428F51" w14:textId="77777777" w:rsidR="005B0FBE" w:rsidRPr="005004C6" w:rsidRDefault="005B0FBE" w:rsidP="00AF58DF">
            <w:pPr>
              <w:jc w:val="right"/>
              <w:rPr>
                <w:rFonts w:eastAsia="Times New Roman" w:cs="Calibri"/>
                <w:color w:val="000000"/>
                <w:sz w:val="16"/>
                <w:szCs w:val="16"/>
                <w:lang w:eastAsia="en-US"/>
              </w:rPr>
            </w:pPr>
            <w:r w:rsidRPr="005004C6">
              <w:rPr>
                <w:rFonts w:eastAsia="Times New Roman" w:cs="Calibri"/>
                <w:color w:val="000000"/>
                <w:sz w:val="16"/>
                <w:szCs w:val="16"/>
                <w:lang w:eastAsia="en-US"/>
              </w:rPr>
              <w:t>236.700.000,00</w:t>
            </w:r>
          </w:p>
        </w:tc>
        <w:tc>
          <w:tcPr>
            <w:tcW w:w="1361" w:type="dxa"/>
            <w:tcBorders>
              <w:top w:val="nil"/>
              <w:left w:val="nil"/>
              <w:bottom w:val="nil"/>
              <w:right w:val="nil"/>
            </w:tcBorders>
            <w:shd w:val="clear" w:color="auto" w:fill="auto"/>
            <w:noWrap/>
            <w:vAlign w:val="bottom"/>
            <w:hideMark/>
          </w:tcPr>
          <w:p w14:paraId="2780ECBF" w14:textId="77777777" w:rsidR="005B0FBE" w:rsidRPr="005004C6" w:rsidRDefault="005B0FBE" w:rsidP="00AF58DF">
            <w:pPr>
              <w:jc w:val="right"/>
              <w:rPr>
                <w:rFonts w:eastAsia="Times New Roman" w:cs="Calibri"/>
                <w:color w:val="000000"/>
                <w:sz w:val="16"/>
                <w:szCs w:val="16"/>
                <w:lang w:eastAsia="en-US"/>
              </w:rPr>
            </w:pPr>
            <w:r w:rsidRPr="005004C6">
              <w:rPr>
                <w:rFonts w:eastAsia="Times New Roman" w:cs="Calibri"/>
                <w:color w:val="000000"/>
                <w:sz w:val="16"/>
                <w:szCs w:val="16"/>
                <w:lang w:eastAsia="en-US"/>
              </w:rPr>
              <w:t>190.927.704,06</w:t>
            </w:r>
          </w:p>
        </w:tc>
        <w:tc>
          <w:tcPr>
            <w:tcW w:w="1361" w:type="dxa"/>
            <w:tcBorders>
              <w:top w:val="nil"/>
              <w:left w:val="nil"/>
              <w:bottom w:val="nil"/>
              <w:right w:val="nil"/>
            </w:tcBorders>
            <w:shd w:val="clear" w:color="auto" w:fill="auto"/>
            <w:noWrap/>
            <w:vAlign w:val="bottom"/>
            <w:hideMark/>
          </w:tcPr>
          <w:p w14:paraId="18071875" w14:textId="77777777" w:rsidR="005B0FBE" w:rsidRPr="005004C6" w:rsidRDefault="005B0FBE" w:rsidP="00AF58DF">
            <w:pPr>
              <w:jc w:val="right"/>
              <w:rPr>
                <w:rFonts w:eastAsia="Times New Roman" w:cs="Calibri"/>
                <w:color w:val="000000"/>
                <w:sz w:val="16"/>
                <w:szCs w:val="16"/>
                <w:lang w:eastAsia="en-US"/>
              </w:rPr>
            </w:pPr>
            <w:r w:rsidRPr="005004C6">
              <w:rPr>
                <w:rFonts w:eastAsia="Times New Roman" w:cs="Calibri"/>
                <w:color w:val="000000"/>
                <w:sz w:val="16"/>
                <w:szCs w:val="16"/>
                <w:lang w:eastAsia="en-US"/>
              </w:rPr>
              <w:t>163.933.048,88</w:t>
            </w:r>
          </w:p>
        </w:tc>
        <w:tc>
          <w:tcPr>
            <w:tcW w:w="1000" w:type="dxa"/>
            <w:tcBorders>
              <w:top w:val="nil"/>
              <w:left w:val="nil"/>
              <w:bottom w:val="nil"/>
              <w:right w:val="nil"/>
            </w:tcBorders>
            <w:shd w:val="clear" w:color="auto" w:fill="auto"/>
            <w:noWrap/>
            <w:vAlign w:val="bottom"/>
            <w:hideMark/>
          </w:tcPr>
          <w:p w14:paraId="6341F567" w14:textId="77777777" w:rsidR="005B0FBE" w:rsidRPr="005004C6" w:rsidRDefault="005B0FBE" w:rsidP="00AF58DF">
            <w:pPr>
              <w:jc w:val="right"/>
              <w:rPr>
                <w:rFonts w:eastAsia="Times New Roman" w:cs="Calibri"/>
                <w:color w:val="000000"/>
                <w:sz w:val="16"/>
                <w:szCs w:val="16"/>
                <w:lang w:eastAsia="en-US"/>
              </w:rPr>
            </w:pPr>
            <w:r w:rsidRPr="005004C6">
              <w:rPr>
                <w:rFonts w:eastAsia="Times New Roman" w:cs="Calibri"/>
                <w:color w:val="000000"/>
                <w:sz w:val="16"/>
                <w:szCs w:val="16"/>
                <w:lang w:eastAsia="en-US"/>
              </w:rPr>
              <w:t>80,66%</w:t>
            </w:r>
          </w:p>
        </w:tc>
        <w:tc>
          <w:tcPr>
            <w:tcW w:w="1000" w:type="dxa"/>
            <w:tcBorders>
              <w:top w:val="nil"/>
              <w:left w:val="nil"/>
              <w:bottom w:val="nil"/>
              <w:right w:val="nil"/>
            </w:tcBorders>
            <w:shd w:val="clear" w:color="auto" w:fill="auto"/>
            <w:noWrap/>
            <w:vAlign w:val="bottom"/>
            <w:hideMark/>
          </w:tcPr>
          <w:p w14:paraId="74705365" w14:textId="77777777" w:rsidR="005B0FBE" w:rsidRPr="005004C6" w:rsidRDefault="005B0FBE" w:rsidP="00AF58DF">
            <w:pPr>
              <w:jc w:val="right"/>
              <w:rPr>
                <w:rFonts w:eastAsia="Times New Roman" w:cs="Calibri"/>
                <w:color w:val="000000"/>
                <w:sz w:val="16"/>
                <w:szCs w:val="16"/>
                <w:lang w:eastAsia="en-US"/>
              </w:rPr>
            </w:pPr>
            <w:r w:rsidRPr="005004C6">
              <w:rPr>
                <w:rFonts w:eastAsia="Times New Roman" w:cs="Calibri"/>
                <w:color w:val="000000"/>
                <w:sz w:val="16"/>
                <w:szCs w:val="16"/>
                <w:lang w:eastAsia="en-US"/>
              </w:rPr>
              <w:t>69,26%</w:t>
            </w:r>
          </w:p>
        </w:tc>
      </w:tr>
      <w:tr w:rsidR="005B0FBE" w:rsidRPr="005004C6" w14:paraId="5288AB44" w14:textId="77777777" w:rsidTr="00AF58DF">
        <w:trPr>
          <w:trHeight w:val="300"/>
        </w:trPr>
        <w:tc>
          <w:tcPr>
            <w:tcW w:w="3798" w:type="dxa"/>
            <w:tcBorders>
              <w:top w:val="nil"/>
              <w:left w:val="nil"/>
              <w:bottom w:val="nil"/>
              <w:right w:val="nil"/>
            </w:tcBorders>
            <w:shd w:val="clear" w:color="auto" w:fill="auto"/>
            <w:noWrap/>
            <w:vAlign w:val="bottom"/>
            <w:hideMark/>
          </w:tcPr>
          <w:p w14:paraId="679E0B5A" w14:textId="77777777" w:rsidR="005B0FBE" w:rsidRPr="005004C6" w:rsidRDefault="005B0FBE" w:rsidP="00AF58DF">
            <w:pPr>
              <w:jc w:val="left"/>
              <w:rPr>
                <w:rFonts w:eastAsia="Times New Roman" w:cs="Calibri"/>
                <w:color w:val="000000"/>
                <w:sz w:val="16"/>
                <w:szCs w:val="16"/>
                <w:lang w:eastAsia="en-US"/>
              </w:rPr>
            </w:pPr>
            <w:r w:rsidRPr="005004C6">
              <w:rPr>
                <w:rFonts w:eastAsia="Times New Roman" w:cs="Calibri"/>
                <w:color w:val="000000"/>
                <w:sz w:val="16"/>
                <w:szCs w:val="16"/>
                <w:lang w:eastAsia="en-US"/>
              </w:rPr>
              <w:t>II - Inclusione sociale</w:t>
            </w:r>
          </w:p>
        </w:tc>
        <w:tc>
          <w:tcPr>
            <w:tcW w:w="1361" w:type="dxa"/>
            <w:tcBorders>
              <w:top w:val="nil"/>
              <w:left w:val="nil"/>
              <w:bottom w:val="nil"/>
              <w:right w:val="nil"/>
            </w:tcBorders>
            <w:shd w:val="clear" w:color="auto" w:fill="auto"/>
            <w:noWrap/>
            <w:vAlign w:val="bottom"/>
            <w:hideMark/>
          </w:tcPr>
          <w:p w14:paraId="352677A1" w14:textId="77777777" w:rsidR="005B0FBE" w:rsidRPr="005004C6" w:rsidRDefault="005B0FBE" w:rsidP="00AF58DF">
            <w:pPr>
              <w:jc w:val="right"/>
              <w:rPr>
                <w:rFonts w:eastAsia="Times New Roman" w:cs="Calibri"/>
                <w:color w:val="000000"/>
                <w:sz w:val="16"/>
                <w:szCs w:val="16"/>
                <w:lang w:eastAsia="en-US"/>
              </w:rPr>
            </w:pPr>
            <w:r w:rsidRPr="005004C6">
              <w:rPr>
                <w:rFonts w:eastAsia="Times New Roman" w:cs="Calibri"/>
                <w:color w:val="000000"/>
                <w:sz w:val="16"/>
                <w:szCs w:val="16"/>
                <w:lang w:eastAsia="en-US"/>
              </w:rPr>
              <w:t>379.000.000,00</w:t>
            </w:r>
          </w:p>
        </w:tc>
        <w:tc>
          <w:tcPr>
            <w:tcW w:w="1361" w:type="dxa"/>
            <w:tcBorders>
              <w:top w:val="nil"/>
              <w:left w:val="nil"/>
              <w:bottom w:val="nil"/>
              <w:right w:val="nil"/>
            </w:tcBorders>
            <w:shd w:val="clear" w:color="auto" w:fill="auto"/>
            <w:noWrap/>
            <w:vAlign w:val="bottom"/>
            <w:hideMark/>
          </w:tcPr>
          <w:p w14:paraId="1FC81F9A" w14:textId="77777777" w:rsidR="005B0FBE" w:rsidRPr="005004C6" w:rsidRDefault="005B0FBE" w:rsidP="00AF58DF">
            <w:pPr>
              <w:jc w:val="right"/>
              <w:rPr>
                <w:rFonts w:eastAsia="Times New Roman" w:cs="Calibri"/>
                <w:color w:val="000000"/>
                <w:sz w:val="16"/>
                <w:szCs w:val="16"/>
                <w:lang w:eastAsia="en-US"/>
              </w:rPr>
            </w:pPr>
            <w:r w:rsidRPr="005004C6">
              <w:rPr>
                <w:rFonts w:eastAsia="Times New Roman" w:cs="Calibri"/>
                <w:color w:val="000000"/>
                <w:sz w:val="16"/>
                <w:szCs w:val="16"/>
                <w:lang w:eastAsia="en-US"/>
              </w:rPr>
              <w:t>184.312.574,33</w:t>
            </w:r>
          </w:p>
        </w:tc>
        <w:tc>
          <w:tcPr>
            <w:tcW w:w="1361" w:type="dxa"/>
            <w:tcBorders>
              <w:top w:val="nil"/>
              <w:left w:val="nil"/>
              <w:bottom w:val="nil"/>
              <w:right w:val="nil"/>
            </w:tcBorders>
            <w:shd w:val="clear" w:color="auto" w:fill="auto"/>
            <w:noWrap/>
            <w:vAlign w:val="bottom"/>
            <w:hideMark/>
          </w:tcPr>
          <w:p w14:paraId="5B710EB1" w14:textId="77777777" w:rsidR="005B0FBE" w:rsidRPr="005004C6" w:rsidRDefault="005B0FBE" w:rsidP="00AF58DF">
            <w:pPr>
              <w:jc w:val="right"/>
              <w:rPr>
                <w:rFonts w:eastAsia="Times New Roman" w:cs="Calibri"/>
                <w:color w:val="000000"/>
                <w:sz w:val="16"/>
                <w:szCs w:val="16"/>
                <w:lang w:eastAsia="en-US"/>
              </w:rPr>
            </w:pPr>
            <w:r w:rsidRPr="005004C6">
              <w:rPr>
                <w:rFonts w:eastAsia="Times New Roman" w:cs="Calibri"/>
                <w:color w:val="000000"/>
                <w:sz w:val="16"/>
                <w:szCs w:val="16"/>
                <w:lang w:eastAsia="en-US"/>
              </w:rPr>
              <w:t>122.977.484,17</w:t>
            </w:r>
          </w:p>
        </w:tc>
        <w:tc>
          <w:tcPr>
            <w:tcW w:w="1000" w:type="dxa"/>
            <w:tcBorders>
              <w:top w:val="nil"/>
              <w:left w:val="nil"/>
              <w:bottom w:val="nil"/>
              <w:right w:val="nil"/>
            </w:tcBorders>
            <w:shd w:val="clear" w:color="auto" w:fill="auto"/>
            <w:noWrap/>
            <w:vAlign w:val="bottom"/>
            <w:hideMark/>
          </w:tcPr>
          <w:p w14:paraId="1B4D7B8A" w14:textId="77777777" w:rsidR="005B0FBE" w:rsidRPr="005004C6" w:rsidRDefault="005B0FBE" w:rsidP="00AF58DF">
            <w:pPr>
              <w:jc w:val="right"/>
              <w:rPr>
                <w:rFonts w:eastAsia="Times New Roman" w:cs="Calibri"/>
                <w:color w:val="000000"/>
                <w:sz w:val="16"/>
                <w:szCs w:val="16"/>
                <w:lang w:eastAsia="en-US"/>
              </w:rPr>
            </w:pPr>
            <w:r w:rsidRPr="005004C6">
              <w:rPr>
                <w:rFonts w:eastAsia="Times New Roman" w:cs="Calibri"/>
                <w:color w:val="000000"/>
                <w:sz w:val="16"/>
                <w:szCs w:val="16"/>
                <w:lang w:eastAsia="en-US"/>
              </w:rPr>
              <w:t>48,63%</w:t>
            </w:r>
          </w:p>
        </w:tc>
        <w:tc>
          <w:tcPr>
            <w:tcW w:w="1000" w:type="dxa"/>
            <w:tcBorders>
              <w:top w:val="nil"/>
              <w:left w:val="nil"/>
              <w:bottom w:val="nil"/>
              <w:right w:val="nil"/>
            </w:tcBorders>
            <w:shd w:val="clear" w:color="auto" w:fill="auto"/>
            <w:noWrap/>
            <w:vAlign w:val="bottom"/>
            <w:hideMark/>
          </w:tcPr>
          <w:p w14:paraId="06890B71" w14:textId="77777777" w:rsidR="005B0FBE" w:rsidRPr="005004C6" w:rsidRDefault="005B0FBE" w:rsidP="00AF58DF">
            <w:pPr>
              <w:jc w:val="right"/>
              <w:rPr>
                <w:rFonts w:eastAsia="Times New Roman" w:cs="Calibri"/>
                <w:color w:val="000000"/>
                <w:sz w:val="16"/>
                <w:szCs w:val="16"/>
                <w:lang w:eastAsia="en-US"/>
              </w:rPr>
            </w:pPr>
            <w:r w:rsidRPr="005004C6">
              <w:rPr>
                <w:rFonts w:eastAsia="Times New Roman" w:cs="Calibri"/>
                <w:color w:val="000000"/>
                <w:sz w:val="16"/>
                <w:szCs w:val="16"/>
                <w:lang w:eastAsia="en-US"/>
              </w:rPr>
              <w:t>32,45%</w:t>
            </w:r>
          </w:p>
        </w:tc>
      </w:tr>
      <w:tr w:rsidR="005B0FBE" w:rsidRPr="005004C6" w14:paraId="4973E68F" w14:textId="77777777" w:rsidTr="00AF58DF">
        <w:trPr>
          <w:trHeight w:val="300"/>
        </w:trPr>
        <w:tc>
          <w:tcPr>
            <w:tcW w:w="3798" w:type="dxa"/>
            <w:tcBorders>
              <w:top w:val="nil"/>
              <w:left w:val="nil"/>
              <w:bottom w:val="single" w:sz="4" w:space="0" w:color="305496"/>
              <w:right w:val="nil"/>
            </w:tcBorders>
            <w:shd w:val="clear" w:color="auto" w:fill="auto"/>
            <w:noWrap/>
            <w:vAlign w:val="bottom"/>
            <w:hideMark/>
          </w:tcPr>
          <w:p w14:paraId="601F38E7" w14:textId="77777777" w:rsidR="005B0FBE" w:rsidRPr="005004C6" w:rsidRDefault="005B0FBE" w:rsidP="00AF58DF">
            <w:pPr>
              <w:jc w:val="left"/>
              <w:rPr>
                <w:rFonts w:eastAsia="Times New Roman" w:cs="Calibri"/>
                <w:color w:val="000000"/>
                <w:sz w:val="16"/>
                <w:szCs w:val="16"/>
                <w:lang w:eastAsia="en-US"/>
              </w:rPr>
            </w:pPr>
            <w:r w:rsidRPr="005004C6">
              <w:rPr>
                <w:rFonts w:eastAsia="Times New Roman" w:cs="Calibri"/>
                <w:color w:val="000000"/>
                <w:sz w:val="16"/>
                <w:szCs w:val="16"/>
                <w:lang w:eastAsia="en-US"/>
              </w:rPr>
              <w:t>III - Istruzione e formazione</w:t>
            </w:r>
          </w:p>
        </w:tc>
        <w:tc>
          <w:tcPr>
            <w:tcW w:w="1361" w:type="dxa"/>
            <w:tcBorders>
              <w:top w:val="nil"/>
              <w:left w:val="nil"/>
              <w:bottom w:val="single" w:sz="4" w:space="0" w:color="305496"/>
              <w:right w:val="nil"/>
            </w:tcBorders>
            <w:shd w:val="clear" w:color="auto" w:fill="auto"/>
            <w:noWrap/>
            <w:vAlign w:val="bottom"/>
            <w:hideMark/>
          </w:tcPr>
          <w:p w14:paraId="28D6D0A8" w14:textId="77777777" w:rsidR="005B0FBE" w:rsidRPr="005004C6" w:rsidRDefault="005B0FBE" w:rsidP="00AF58DF">
            <w:pPr>
              <w:jc w:val="right"/>
              <w:rPr>
                <w:rFonts w:eastAsia="Times New Roman" w:cs="Calibri"/>
                <w:color w:val="000000"/>
                <w:sz w:val="16"/>
                <w:szCs w:val="16"/>
                <w:lang w:eastAsia="en-US"/>
              </w:rPr>
            </w:pPr>
            <w:r w:rsidRPr="005004C6">
              <w:rPr>
                <w:rFonts w:eastAsia="Times New Roman" w:cs="Calibri"/>
                <w:color w:val="000000"/>
                <w:sz w:val="16"/>
                <w:szCs w:val="16"/>
                <w:lang w:eastAsia="en-US"/>
              </w:rPr>
              <w:t>301.900.000,00</w:t>
            </w:r>
          </w:p>
        </w:tc>
        <w:tc>
          <w:tcPr>
            <w:tcW w:w="1361" w:type="dxa"/>
            <w:tcBorders>
              <w:top w:val="nil"/>
              <w:left w:val="nil"/>
              <w:bottom w:val="single" w:sz="4" w:space="0" w:color="305496"/>
              <w:right w:val="nil"/>
            </w:tcBorders>
            <w:shd w:val="clear" w:color="auto" w:fill="auto"/>
            <w:noWrap/>
            <w:vAlign w:val="bottom"/>
            <w:hideMark/>
          </w:tcPr>
          <w:p w14:paraId="540F9598" w14:textId="77777777" w:rsidR="005B0FBE" w:rsidRPr="005004C6" w:rsidRDefault="005B0FBE" w:rsidP="00AF58DF">
            <w:pPr>
              <w:jc w:val="right"/>
              <w:rPr>
                <w:rFonts w:eastAsia="Times New Roman" w:cs="Calibri"/>
                <w:color w:val="000000"/>
                <w:sz w:val="16"/>
                <w:szCs w:val="16"/>
                <w:lang w:eastAsia="en-US"/>
              </w:rPr>
            </w:pPr>
            <w:r w:rsidRPr="005004C6">
              <w:rPr>
                <w:rFonts w:eastAsia="Times New Roman" w:cs="Calibri"/>
                <w:color w:val="000000"/>
                <w:sz w:val="16"/>
                <w:szCs w:val="16"/>
                <w:lang w:eastAsia="en-US"/>
              </w:rPr>
              <w:t>226.245.211,51</w:t>
            </w:r>
          </w:p>
        </w:tc>
        <w:tc>
          <w:tcPr>
            <w:tcW w:w="1361" w:type="dxa"/>
            <w:tcBorders>
              <w:top w:val="nil"/>
              <w:left w:val="nil"/>
              <w:bottom w:val="single" w:sz="4" w:space="0" w:color="305496"/>
              <w:right w:val="nil"/>
            </w:tcBorders>
            <w:shd w:val="clear" w:color="auto" w:fill="auto"/>
            <w:noWrap/>
            <w:vAlign w:val="bottom"/>
            <w:hideMark/>
          </w:tcPr>
          <w:p w14:paraId="74EADCE1" w14:textId="77777777" w:rsidR="005B0FBE" w:rsidRPr="005004C6" w:rsidRDefault="005B0FBE" w:rsidP="00AF58DF">
            <w:pPr>
              <w:jc w:val="right"/>
              <w:rPr>
                <w:rFonts w:eastAsia="Times New Roman" w:cs="Calibri"/>
                <w:color w:val="000000"/>
                <w:sz w:val="16"/>
                <w:szCs w:val="16"/>
                <w:lang w:eastAsia="en-US"/>
              </w:rPr>
            </w:pPr>
            <w:r w:rsidRPr="005004C6">
              <w:rPr>
                <w:rFonts w:eastAsia="Times New Roman" w:cs="Calibri"/>
                <w:color w:val="000000"/>
                <w:sz w:val="16"/>
                <w:szCs w:val="16"/>
                <w:lang w:eastAsia="en-US"/>
              </w:rPr>
              <w:t>202.364.659,68</w:t>
            </w:r>
          </w:p>
        </w:tc>
        <w:tc>
          <w:tcPr>
            <w:tcW w:w="1000" w:type="dxa"/>
            <w:tcBorders>
              <w:top w:val="nil"/>
              <w:left w:val="nil"/>
              <w:bottom w:val="single" w:sz="4" w:space="0" w:color="305496"/>
              <w:right w:val="nil"/>
            </w:tcBorders>
            <w:shd w:val="clear" w:color="auto" w:fill="auto"/>
            <w:noWrap/>
            <w:vAlign w:val="bottom"/>
            <w:hideMark/>
          </w:tcPr>
          <w:p w14:paraId="71289CD2" w14:textId="77777777" w:rsidR="005B0FBE" w:rsidRPr="005004C6" w:rsidRDefault="005B0FBE" w:rsidP="00AF58DF">
            <w:pPr>
              <w:jc w:val="right"/>
              <w:rPr>
                <w:rFonts w:eastAsia="Times New Roman" w:cs="Calibri"/>
                <w:color w:val="000000"/>
                <w:sz w:val="16"/>
                <w:szCs w:val="16"/>
                <w:lang w:eastAsia="en-US"/>
              </w:rPr>
            </w:pPr>
            <w:r w:rsidRPr="005004C6">
              <w:rPr>
                <w:rFonts w:eastAsia="Times New Roman" w:cs="Calibri"/>
                <w:color w:val="000000"/>
                <w:sz w:val="16"/>
                <w:szCs w:val="16"/>
                <w:lang w:eastAsia="en-US"/>
              </w:rPr>
              <w:t>74,94%</w:t>
            </w:r>
          </w:p>
        </w:tc>
        <w:tc>
          <w:tcPr>
            <w:tcW w:w="1000" w:type="dxa"/>
            <w:tcBorders>
              <w:top w:val="nil"/>
              <w:left w:val="nil"/>
              <w:bottom w:val="single" w:sz="4" w:space="0" w:color="305496"/>
              <w:right w:val="nil"/>
            </w:tcBorders>
            <w:shd w:val="clear" w:color="auto" w:fill="auto"/>
            <w:noWrap/>
            <w:vAlign w:val="bottom"/>
            <w:hideMark/>
          </w:tcPr>
          <w:p w14:paraId="3E151282" w14:textId="77777777" w:rsidR="005B0FBE" w:rsidRPr="005004C6" w:rsidRDefault="005B0FBE" w:rsidP="00AF58DF">
            <w:pPr>
              <w:jc w:val="right"/>
              <w:rPr>
                <w:rFonts w:eastAsia="Times New Roman" w:cs="Calibri"/>
                <w:color w:val="000000"/>
                <w:sz w:val="16"/>
                <w:szCs w:val="16"/>
                <w:lang w:eastAsia="en-US"/>
              </w:rPr>
            </w:pPr>
            <w:r w:rsidRPr="005004C6">
              <w:rPr>
                <w:rFonts w:eastAsia="Times New Roman" w:cs="Calibri"/>
                <w:color w:val="000000"/>
                <w:sz w:val="16"/>
                <w:szCs w:val="16"/>
                <w:lang w:eastAsia="en-US"/>
              </w:rPr>
              <w:t>67,03%</w:t>
            </w:r>
          </w:p>
        </w:tc>
      </w:tr>
    </w:tbl>
    <w:p w14:paraId="7E60D3E9" w14:textId="77777777" w:rsidR="005B0FBE" w:rsidRDefault="005B0FBE" w:rsidP="005B0FBE">
      <w:pPr>
        <w:rPr>
          <w:sz w:val="18"/>
          <w:szCs w:val="18"/>
        </w:rPr>
      </w:pPr>
      <w:r>
        <w:rPr>
          <w:sz w:val="18"/>
          <w:szCs w:val="18"/>
        </w:rPr>
        <w:t>Fonte: EU Open Data, 31.12.2020</w:t>
      </w:r>
    </w:p>
    <w:p w14:paraId="63AE9B49" w14:textId="77777777" w:rsidR="005B0FBE" w:rsidRPr="00AC1207" w:rsidRDefault="005B0FBE" w:rsidP="005B0FBE">
      <w:pPr>
        <w:rPr>
          <w:sz w:val="18"/>
          <w:szCs w:val="18"/>
        </w:rPr>
      </w:pPr>
      <w:r w:rsidRPr="00AC1207">
        <w:rPr>
          <w:sz w:val="18"/>
          <w:szCs w:val="18"/>
        </w:rPr>
        <w:t xml:space="preserve">Nota: </w:t>
      </w:r>
      <w:r w:rsidRPr="00AC1207">
        <w:rPr>
          <w:sz w:val="18"/>
          <w:szCs w:val="18"/>
          <w:vertAlign w:val="superscript"/>
        </w:rPr>
        <w:t>1</w:t>
      </w:r>
      <w:r w:rsidRPr="00AC1207">
        <w:rPr>
          <w:sz w:val="18"/>
          <w:szCs w:val="18"/>
        </w:rPr>
        <w:t xml:space="preserve"> L’importo programmato comprende sia le risorse finanziarie dell’UE che nazionali.</w:t>
      </w:r>
    </w:p>
    <w:p w14:paraId="3C883349" w14:textId="77777777" w:rsidR="005B0FBE" w:rsidRDefault="005B0FBE" w:rsidP="005B0FBE"/>
    <w:p w14:paraId="50244359" w14:textId="77777777" w:rsidR="005B6554" w:rsidRDefault="005B0FBE" w:rsidP="005B0FBE">
      <w:r>
        <w:t>A fine 2020, l’</w:t>
      </w:r>
      <w:r w:rsidR="005B6554">
        <w:t>A</w:t>
      </w:r>
      <w:r>
        <w:t xml:space="preserve">sse I </w:t>
      </w:r>
      <w:r w:rsidR="005B6554">
        <w:t xml:space="preserve">del </w:t>
      </w:r>
      <w:r w:rsidR="005B6554" w:rsidRPr="005004C6">
        <w:t>POR FSE</w:t>
      </w:r>
      <w:r w:rsidR="00F66338">
        <w:rPr>
          <w:rStyle w:val="Rimandonotaapidipagina"/>
        </w:rPr>
        <w:footnoteReference w:id="7"/>
      </w:r>
      <w:r w:rsidR="005B6554" w:rsidRPr="005004C6">
        <w:t xml:space="preserve"> </w:t>
      </w:r>
      <w:r w:rsidRPr="005004C6">
        <w:t>riporta la migliore</w:t>
      </w:r>
      <w:r>
        <w:t xml:space="preserve"> performance tra gli assi del programma, con una spesa ammissibile dichiarata dai beneficiari pari al 89,83% dell’importo impegnato. La quota della spesa pubblica dichiarata ammissibile coperta dalla spesa ammissibile dichiarata dai beneficiari varia notevolmente tra gli interventi. </w:t>
      </w:r>
    </w:p>
    <w:p w14:paraId="1A388048" w14:textId="77777777" w:rsidR="005B0FBE" w:rsidRPr="00451F67" w:rsidRDefault="005B6554" w:rsidP="005B0FBE">
      <w:r>
        <w:t>Come indicato nella tabella successiva, a</w:t>
      </w:r>
      <w:r w:rsidR="005B0FBE">
        <w:t xml:space="preserve"> fine 2020, </w:t>
      </w:r>
      <w:r>
        <w:t>una metà degli interventi (</w:t>
      </w:r>
      <w:r w:rsidR="005B0FBE">
        <w:t>15</w:t>
      </w:r>
      <w:r>
        <w:t>)</w:t>
      </w:r>
      <w:r w:rsidR="005B0FBE">
        <w:t xml:space="preserve"> riportano pagamenti ai beneficiari pari alle risorse impegnate, mentre </w:t>
      </w:r>
      <w:r>
        <w:t>i rimanenti (14)</w:t>
      </w:r>
      <w:r w:rsidR="005B0FBE">
        <w:t xml:space="preserve"> riportano una spesa ammissibile dichiarata dai beneficiari pari a zero.</w:t>
      </w:r>
      <w:r w:rsidR="00964F04">
        <w:t xml:space="preserve"> </w:t>
      </w:r>
    </w:p>
    <w:p w14:paraId="049E008F" w14:textId="77777777" w:rsidR="005B0FBE" w:rsidRDefault="005B0FBE" w:rsidP="005B0FBE">
      <w:pPr>
        <w:pStyle w:val="Didascalia"/>
      </w:pPr>
      <w:bookmarkStart w:id="52" w:name="_Toc91081445"/>
      <w:r>
        <w:t xml:space="preserve">Tabella </w:t>
      </w:r>
      <w:r w:rsidR="004E6566">
        <w:fldChar w:fldCharType="begin"/>
      </w:r>
      <w:r>
        <w:instrText xml:space="preserve"> SEQ Tabella \* ARABIC </w:instrText>
      </w:r>
      <w:r w:rsidR="004E6566">
        <w:fldChar w:fldCharType="separate"/>
      </w:r>
      <w:r w:rsidR="00E53D6C">
        <w:rPr>
          <w:noProof/>
        </w:rPr>
        <w:t>19</w:t>
      </w:r>
      <w:r w:rsidR="004E6566">
        <w:fldChar w:fldCharType="end"/>
      </w:r>
      <w:r w:rsidR="001230B4">
        <w:t>. A</w:t>
      </w:r>
      <w:r>
        <w:t>vanzamento degli interventi FSE - Area socio-economica – fine 2020</w:t>
      </w:r>
      <w:bookmarkEnd w:id="52"/>
    </w:p>
    <w:tbl>
      <w:tblPr>
        <w:tblW w:w="9751" w:type="dxa"/>
        <w:tblLook w:val="04A0" w:firstRow="1" w:lastRow="0" w:firstColumn="1" w:lastColumn="0" w:noHBand="0" w:noVBand="1"/>
      </w:tblPr>
      <w:tblGrid>
        <w:gridCol w:w="4819"/>
        <w:gridCol w:w="1389"/>
        <w:gridCol w:w="1389"/>
        <w:gridCol w:w="1134"/>
        <w:gridCol w:w="1020"/>
      </w:tblGrid>
      <w:tr w:rsidR="005B0FBE" w:rsidRPr="000A763A" w14:paraId="1AA7BE98" w14:textId="77777777" w:rsidTr="001A51AA">
        <w:trPr>
          <w:trHeight w:val="1200"/>
        </w:trPr>
        <w:tc>
          <w:tcPr>
            <w:tcW w:w="4819" w:type="dxa"/>
            <w:tcBorders>
              <w:top w:val="single" w:sz="8" w:space="0" w:color="548235"/>
              <w:left w:val="nil"/>
              <w:bottom w:val="nil"/>
              <w:right w:val="nil"/>
            </w:tcBorders>
            <w:shd w:val="clear" w:color="auto" w:fill="669748" w:themeFill="accent2" w:themeFillShade="BF"/>
            <w:vAlign w:val="bottom"/>
            <w:hideMark/>
          </w:tcPr>
          <w:p w14:paraId="3C881C7B" w14:textId="77777777" w:rsidR="005B0FBE" w:rsidRPr="005F0C4A" w:rsidRDefault="005B0FBE" w:rsidP="00AF58DF">
            <w:pPr>
              <w:jc w:val="left"/>
              <w:rPr>
                <w:rFonts w:eastAsia="Times New Roman" w:cs="Calibri"/>
                <w:b/>
                <w:bCs/>
                <w:color w:val="FFFFFF"/>
                <w:sz w:val="16"/>
                <w:szCs w:val="16"/>
                <w:lang w:eastAsia="en-US"/>
              </w:rPr>
            </w:pPr>
            <w:r w:rsidRPr="005F0C4A">
              <w:rPr>
                <w:rFonts w:eastAsia="Times New Roman" w:cs="Calibri"/>
                <w:b/>
                <w:bCs/>
                <w:color w:val="FFFFFF"/>
                <w:sz w:val="16"/>
                <w:szCs w:val="16"/>
                <w:lang w:eastAsia="en-US"/>
              </w:rPr>
              <w:t>Intervento</w:t>
            </w:r>
          </w:p>
        </w:tc>
        <w:tc>
          <w:tcPr>
            <w:tcW w:w="1389" w:type="dxa"/>
            <w:tcBorders>
              <w:top w:val="single" w:sz="8" w:space="0" w:color="548235"/>
              <w:left w:val="nil"/>
              <w:bottom w:val="nil"/>
              <w:right w:val="nil"/>
            </w:tcBorders>
            <w:shd w:val="clear" w:color="auto" w:fill="669748" w:themeFill="accent2" w:themeFillShade="BF"/>
            <w:vAlign w:val="bottom"/>
            <w:hideMark/>
          </w:tcPr>
          <w:p w14:paraId="4CB96CCE" w14:textId="77777777" w:rsidR="005B0FBE" w:rsidRPr="005F0C4A" w:rsidRDefault="005B0FBE" w:rsidP="00AF58DF">
            <w:pPr>
              <w:jc w:val="right"/>
              <w:rPr>
                <w:rFonts w:eastAsia="Times New Roman" w:cs="Calibri"/>
                <w:b/>
                <w:bCs/>
                <w:color w:val="FFFFFF"/>
                <w:sz w:val="16"/>
                <w:szCs w:val="16"/>
                <w:lang w:eastAsia="en-US"/>
              </w:rPr>
            </w:pPr>
            <w:r w:rsidRPr="005F0C4A">
              <w:rPr>
                <w:rFonts w:eastAsia="Times New Roman" w:cs="Calibri"/>
                <w:b/>
                <w:bCs/>
                <w:color w:val="FFFFFF"/>
                <w:sz w:val="16"/>
                <w:szCs w:val="16"/>
                <w:lang w:eastAsia="en-US"/>
              </w:rPr>
              <w:t>A - Spesa pubblica ammissibile delle operazioni selezionate per il sostegno (EUR)</w:t>
            </w:r>
          </w:p>
        </w:tc>
        <w:tc>
          <w:tcPr>
            <w:tcW w:w="1389" w:type="dxa"/>
            <w:tcBorders>
              <w:top w:val="single" w:sz="8" w:space="0" w:color="548235"/>
              <w:left w:val="nil"/>
              <w:bottom w:val="nil"/>
              <w:right w:val="nil"/>
            </w:tcBorders>
            <w:shd w:val="clear" w:color="auto" w:fill="669748" w:themeFill="accent2" w:themeFillShade="BF"/>
            <w:vAlign w:val="bottom"/>
            <w:hideMark/>
          </w:tcPr>
          <w:p w14:paraId="008FF7AD" w14:textId="77777777" w:rsidR="005B0FBE" w:rsidRPr="005F0C4A" w:rsidRDefault="005B0FBE" w:rsidP="00AF58DF">
            <w:pPr>
              <w:jc w:val="right"/>
              <w:rPr>
                <w:rFonts w:eastAsia="Times New Roman" w:cs="Calibri"/>
                <w:b/>
                <w:bCs/>
                <w:color w:val="FFFFFF"/>
                <w:sz w:val="16"/>
                <w:szCs w:val="16"/>
                <w:lang w:eastAsia="en-US"/>
              </w:rPr>
            </w:pPr>
            <w:r w:rsidRPr="005F0C4A">
              <w:rPr>
                <w:rFonts w:eastAsia="Times New Roman" w:cs="Calibri"/>
                <w:b/>
                <w:bCs/>
                <w:color w:val="FFFFFF"/>
                <w:sz w:val="16"/>
                <w:szCs w:val="16"/>
                <w:lang w:eastAsia="en-US"/>
              </w:rPr>
              <w:t>B - Spesa totale ammissibile dichiarata dai beneficiari all'AdG (EUR)</w:t>
            </w:r>
          </w:p>
        </w:tc>
        <w:tc>
          <w:tcPr>
            <w:tcW w:w="1134" w:type="dxa"/>
            <w:tcBorders>
              <w:top w:val="single" w:sz="8" w:space="0" w:color="548235"/>
              <w:left w:val="nil"/>
              <w:bottom w:val="nil"/>
              <w:right w:val="nil"/>
            </w:tcBorders>
            <w:shd w:val="clear" w:color="auto" w:fill="669748" w:themeFill="accent2" w:themeFillShade="BF"/>
            <w:vAlign w:val="bottom"/>
            <w:hideMark/>
          </w:tcPr>
          <w:p w14:paraId="2E1D5D59" w14:textId="77777777" w:rsidR="005B0FBE" w:rsidRPr="005F0C4A" w:rsidRDefault="005B0FBE" w:rsidP="00AF58DF">
            <w:pPr>
              <w:jc w:val="right"/>
              <w:rPr>
                <w:rFonts w:eastAsia="Times New Roman" w:cs="Calibri"/>
                <w:b/>
                <w:bCs/>
                <w:color w:val="FFFFFF"/>
                <w:sz w:val="16"/>
                <w:szCs w:val="16"/>
                <w:lang w:eastAsia="en-US"/>
              </w:rPr>
            </w:pPr>
            <w:r w:rsidRPr="005F0C4A">
              <w:rPr>
                <w:rFonts w:eastAsia="Times New Roman" w:cs="Calibri"/>
                <w:b/>
                <w:bCs/>
                <w:color w:val="FFFFFF"/>
                <w:sz w:val="16"/>
                <w:szCs w:val="16"/>
                <w:lang w:eastAsia="en-US"/>
              </w:rPr>
              <w:t>B/A - Spesa ammissibile dichiarata dai beneficiari (%)</w:t>
            </w:r>
          </w:p>
        </w:tc>
        <w:tc>
          <w:tcPr>
            <w:tcW w:w="1020" w:type="dxa"/>
            <w:tcBorders>
              <w:top w:val="single" w:sz="8" w:space="0" w:color="548235"/>
              <w:left w:val="nil"/>
              <w:bottom w:val="nil"/>
              <w:right w:val="nil"/>
            </w:tcBorders>
            <w:shd w:val="clear" w:color="auto" w:fill="669748" w:themeFill="accent2" w:themeFillShade="BF"/>
            <w:vAlign w:val="bottom"/>
            <w:hideMark/>
          </w:tcPr>
          <w:p w14:paraId="3792ED56" w14:textId="77777777" w:rsidR="005B0FBE" w:rsidRPr="005F0C4A" w:rsidRDefault="005B0FBE" w:rsidP="00AF58DF">
            <w:pPr>
              <w:jc w:val="right"/>
              <w:rPr>
                <w:rFonts w:eastAsia="Times New Roman" w:cs="Calibri"/>
                <w:b/>
                <w:bCs/>
                <w:color w:val="FFFFFF"/>
                <w:sz w:val="16"/>
                <w:szCs w:val="16"/>
                <w:lang w:eastAsia="en-US"/>
              </w:rPr>
            </w:pPr>
            <w:r w:rsidRPr="005F0C4A">
              <w:rPr>
                <w:rFonts w:eastAsia="Times New Roman" w:cs="Calibri"/>
                <w:b/>
                <w:bCs/>
                <w:color w:val="FFFFFF"/>
                <w:sz w:val="16"/>
                <w:szCs w:val="16"/>
                <w:lang w:eastAsia="en-US"/>
              </w:rPr>
              <w:t>Numero di operazioni selezionate</w:t>
            </w:r>
          </w:p>
        </w:tc>
      </w:tr>
      <w:tr w:rsidR="005B0FBE" w:rsidRPr="000A763A" w14:paraId="3AF48E6C" w14:textId="77777777" w:rsidTr="00AF58DF">
        <w:trPr>
          <w:trHeight w:val="300"/>
        </w:trPr>
        <w:tc>
          <w:tcPr>
            <w:tcW w:w="4819" w:type="dxa"/>
            <w:tcBorders>
              <w:top w:val="nil"/>
              <w:left w:val="nil"/>
              <w:bottom w:val="single" w:sz="4" w:space="0" w:color="305496"/>
              <w:right w:val="nil"/>
            </w:tcBorders>
            <w:shd w:val="clear" w:color="auto" w:fill="auto"/>
            <w:noWrap/>
            <w:vAlign w:val="bottom"/>
            <w:hideMark/>
          </w:tcPr>
          <w:p w14:paraId="30478DCF" w14:textId="77777777" w:rsidR="005B0FBE" w:rsidRPr="005F0C4A" w:rsidRDefault="005B0FBE" w:rsidP="00AF58DF">
            <w:pPr>
              <w:jc w:val="left"/>
              <w:rPr>
                <w:rFonts w:eastAsia="Times New Roman" w:cs="Calibri"/>
                <w:b/>
                <w:bCs/>
                <w:color w:val="000000"/>
                <w:sz w:val="16"/>
                <w:szCs w:val="16"/>
                <w:lang w:eastAsia="en-US"/>
              </w:rPr>
            </w:pPr>
            <w:r w:rsidRPr="005F0C4A">
              <w:rPr>
                <w:rFonts w:eastAsia="Times New Roman" w:cs="Calibri"/>
                <w:b/>
                <w:bCs/>
                <w:color w:val="000000"/>
                <w:sz w:val="16"/>
                <w:szCs w:val="16"/>
                <w:lang w:eastAsia="en-US"/>
              </w:rPr>
              <w:t>Area socio-economica</w:t>
            </w:r>
          </w:p>
        </w:tc>
        <w:tc>
          <w:tcPr>
            <w:tcW w:w="1389" w:type="dxa"/>
            <w:tcBorders>
              <w:top w:val="nil"/>
              <w:left w:val="nil"/>
              <w:bottom w:val="single" w:sz="4" w:space="0" w:color="305496"/>
              <w:right w:val="nil"/>
            </w:tcBorders>
            <w:shd w:val="clear" w:color="auto" w:fill="auto"/>
            <w:noWrap/>
            <w:vAlign w:val="bottom"/>
            <w:hideMark/>
          </w:tcPr>
          <w:p w14:paraId="441807B4" w14:textId="77777777" w:rsidR="005B0FBE" w:rsidRPr="005F0C4A" w:rsidRDefault="005B0FBE" w:rsidP="00AF58DF">
            <w:pPr>
              <w:jc w:val="right"/>
              <w:rPr>
                <w:rFonts w:eastAsia="Times New Roman" w:cs="Calibri"/>
                <w:b/>
                <w:bCs/>
                <w:color w:val="000000"/>
                <w:sz w:val="16"/>
                <w:szCs w:val="16"/>
                <w:lang w:eastAsia="en-US"/>
              </w:rPr>
            </w:pPr>
            <w:r w:rsidRPr="005F0C4A">
              <w:rPr>
                <w:rFonts w:eastAsia="Times New Roman" w:cs="Calibri"/>
                <w:b/>
                <w:bCs/>
                <w:color w:val="000000"/>
                <w:sz w:val="16"/>
                <w:szCs w:val="16"/>
                <w:lang w:eastAsia="en-US"/>
              </w:rPr>
              <w:t>601.485.489,90</w:t>
            </w:r>
          </w:p>
        </w:tc>
        <w:tc>
          <w:tcPr>
            <w:tcW w:w="1389" w:type="dxa"/>
            <w:tcBorders>
              <w:top w:val="nil"/>
              <w:left w:val="nil"/>
              <w:bottom w:val="single" w:sz="4" w:space="0" w:color="305496"/>
              <w:right w:val="nil"/>
            </w:tcBorders>
            <w:shd w:val="clear" w:color="auto" w:fill="auto"/>
            <w:noWrap/>
            <w:vAlign w:val="bottom"/>
            <w:hideMark/>
          </w:tcPr>
          <w:p w14:paraId="68EC657F" w14:textId="77777777" w:rsidR="005B0FBE" w:rsidRPr="005F0C4A" w:rsidRDefault="005B0FBE" w:rsidP="00AF58DF">
            <w:pPr>
              <w:jc w:val="right"/>
              <w:rPr>
                <w:rFonts w:eastAsia="Times New Roman" w:cs="Calibri"/>
                <w:b/>
                <w:bCs/>
                <w:color w:val="000000"/>
                <w:sz w:val="16"/>
                <w:szCs w:val="16"/>
                <w:lang w:eastAsia="en-US"/>
              </w:rPr>
            </w:pPr>
            <w:r w:rsidRPr="005F0C4A">
              <w:rPr>
                <w:rFonts w:eastAsia="Times New Roman" w:cs="Calibri"/>
                <w:b/>
                <w:bCs/>
                <w:color w:val="000000"/>
                <w:sz w:val="16"/>
                <w:szCs w:val="16"/>
                <w:lang w:eastAsia="en-US"/>
              </w:rPr>
              <w:t>489.275.192,72</w:t>
            </w:r>
          </w:p>
        </w:tc>
        <w:tc>
          <w:tcPr>
            <w:tcW w:w="1134" w:type="dxa"/>
            <w:tcBorders>
              <w:top w:val="nil"/>
              <w:left w:val="nil"/>
              <w:bottom w:val="single" w:sz="4" w:space="0" w:color="305496"/>
              <w:right w:val="nil"/>
            </w:tcBorders>
            <w:shd w:val="clear" w:color="auto" w:fill="auto"/>
            <w:noWrap/>
            <w:vAlign w:val="bottom"/>
            <w:hideMark/>
          </w:tcPr>
          <w:p w14:paraId="4FFEA28F" w14:textId="77777777" w:rsidR="005B0FBE" w:rsidRPr="005F0C4A" w:rsidRDefault="005B0FBE" w:rsidP="00AF58DF">
            <w:pPr>
              <w:jc w:val="right"/>
              <w:rPr>
                <w:rFonts w:eastAsia="Times New Roman" w:cs="Calibri"/>
                <w:b/>
                <w:bCs/>
                <w:color w:val="000000"/>
                <w:sz w:val="16"/>
                <w:szCs w:val="16"/>
                <w:lang w:eastAsia="en-US"/>
              </w:rPr>
            </w:pPr>
            <w:r w:rsidRPr="005F0C4A">
              <w:rPr>
                <w:rFonts w:eastAsia="Times New Roman" w:cs="Calibri"/>
                <w:b/>
                <w:bCs/>
                <w:color w:val="000000"/>
                <w:sz w:val="16"/>
                <w:szCs w:val="16"/>
                <w:lang w:eastAsia="en-US"/>
              </w:rPr>
              <w:t>81,34%</w:t>
            </w:r>
          </w:p>
        </w:tc>
        <w:tc>
          <w:tcPr>
            <w:tcW w:w="1020" w:type="dxa"/>
            <w:tcBorders>
              <w:top w:val="nil"/>
              <w:left w:val="nil"/>
              <w:bottom w:val="single" w:sz="4" w:space="0" w:color="305496"/>
              <w:right w:val="nil"/>
            </w:tcBorders>
            <w:shd w:val="clear" w:color="auto" w:fill="auto"/>
            <w:noWrap/>
            <w:vAlign w:val="bottom"/>
            <w:hideMark/>
          </w:tcPr>
          <w:p w14:paraId="76AF3797" w14:textId="261E2940" w:rsidR="005B0FBE" w:rsidRPr="005F0C4A" w:rsidRDefault="005B0FBE" w:rsidP="00AF58DF">
            <w:pPr>
              <w:jc w:val="right"/>
              <w:rPr>
                <w:rFonts w:eastAsia="Times New Roman" w:cs="Calibri"/>
                <w:b/>
                <w:bCs/>
                <w:color w:val="000000"/>
                <w:sz w:val="16"/>
                <w:szCs w:val="16"/>
                <w:lang w:eastAsia="en-US"/>
              </w:rPr>
            </w:pPr>
            <w:r w:rsidRPr="005F0C4A">
              <w:rPr>
                <w:rFonts w:eastAsia="Times New Roman" w:cs="Calibri"/>
                <w:b/>
                <w:bCs/>
                <w:color w:val="000000"/>
                <w:sz w:val="16"/>
                <w:szCs w:val="16"/>
                <w:lang w:eastAsia="en-US"/>
              </w:rPr>
              <w:t>188.994</w:t>
            </w:r>
          </w:p>
        </w:tc>
      </w:tr>
      <w:tr w:rsidR="005B0FBE" w:rsidRPr="000A763A" w14:paraId="3A56F7BE" w14:textId="77777777" w:rsidTr="00AF58DF">
        <w:trPr>
          <w:trHeight w:val="300"/>
        </w:trPr>
        <w:tc>
          <w:tcPr>
            <w:tcW w:w="4819" w:type="dxa"/>
            <w:tcBorders>
              <w:top w:val="single" w:sz="4" w:space="0" w:color="305496"/>
              <w:left w:val="nil"/>
              <w:bottom w:val="single" w:sz="4" w:space="0" w:color="305496"/>
              <w:right w:val="nil"/>
            </w:tcBorders>
            <w:shd w:val="clear" w:color="auto" w:fill="E4E3E2" w:themeFill="background2"/>
            <w:noWrap/>
            <w:vAlign w:val="bottom"/>
            <w:hideMark/>
          </w:tcPr>
          <w:p w14:paraId="530894BC" w14:textId="6E213677" w:rsidR="005B0FBE" w:rsidRPr="005F0C4A" w:rsidRDefault="005B0FBE" w:rsidP="00AF58DF">
            <w:pPr>
              <w:jc w:val="left"/>
              <w:rPr>
                <w:rFonts w:eastAsia="Times New Roman" w:cs="Calibri"/>
                <w:b/>
                <w:bCs/>
                <w:color w:val="000000"/>
                <w:sz w:val="16"/>
                <w:szCs w:val="16"/>
                <w:lang w:eastAsia="en-US"/>
              </w:rPr>
            </w:pPr>
            <w:r w:rsidRPr="005F0C4A">
              <w:rPr>
                <w:rFonts w:eastAsia="Times New Roman" w:cs="Calibri"/>
                <w:b/>
                <w:bCs/>
                <w:color w:val="000000"/>
                <w:sz w:val="16"/>
                <w:szCs w:val="16"/>
                <w:lang w:eastAsia="en-US"/>
              </w:rPr>
              <w:t xml:space="preserve">I </w:t>
            </w:r>
            <w:r w:rsidR="00AF58DF">
              <w:rPr>
                <w:rFonts w:eastAsia="Times New Roman" w:cs="Calibri"/>
                <w:b/>
                <w:bCs/>
                <w:color w:val="000000"/>
                <w:sz w:val="16"/>
                <w:szCs w:val="16"/>
                <w:lang w:eastAsia="en-US"/>
              </w:rPr>
              <w:t>–</w:t>
            </w:r>
            <w:r w:rsidRPr="005F0C4A">
              <w:rPr>
                <w:rFonts w:eastAsia="Times New Roman" w:cs="Calibri"/>
                <w:b/>
                <w:bCs/>
                <w:color w:val="000000"/>
                <w:sz w:val="16"/>
                <w:szCs w:val="16"/>
                <w:lang w:eastAsia="en-US"/>
              </w:rPr>
              <w:t xml:space="preserve"> OCCUPAZIONE</w:t>
            </w:r>
          </w:p>
        </w:tc>
        <w:tc>
          <w:tcPr>
            <w:tcW w:w="1389" w:type="dxa"/>
            <w:tcBorders>
              <w:top w:val="single" w:sz="4" w:space="0" w:color="305496"/>
              <w:left w:val="nil"/>
              <w:bottom w:val="single" w:sz="4" w:space="0" w:color="305496"/>
              <w:right w:val="nil"/>
            </w:tcBorders>
            <w:shd w:val="clear" w:color="auto" w:fill="E4E3E2" w:themeFill="background2"/>
            <w:noWrap/>
            <w:vAlign w:val="bottom"/>
            <w:hideMark/>
          </w:tcPr>
          <w:p w14:paraId="0B3EBF6D" w14:textId="77777777" w:rsidR="005B0FBE" w:rsidRPr="005F0C4A" w:rsidRDefault="005B0FBE" w:rsidP="00AF58DF">
            <w:pPr>
              <w:jc w:val="right"/>
              <w:rPr>
                <w:rFonts w:eastAsia="Times New Roman" w:cs="Calibri"/>
                <w:b/>
                <w:bCs/>
                <w:color w:val="000000"/>
                <w:sz w:val="16"/>
                <w:szCs w:val="16"/>
                <w:lang w:eastAsia="en-US"/>
              </w:rPr>
            </w:pPr>
            <w:r w:rsidRPr="005F0C4A">
              <w:rPr>
                <w:rFonts w:eastAsia="Times New Roman" w:cs="Calibri"/>
                <w:b/>
                <w:bCs/>
                <w:color w:val="000000"/>
                <w:sz w:val="16"/>
                <w:szCs w:val="16"/>
                <w:lang w:eastAsia="en-US"/>
              </w:rPr>
              <w:t>190.927.704,06</w:t>
            </w:r>
          </w:p>
          <w:p w14:paraId="014264E2" w14:textId="77777777" w:rsidR="005B0FBE" w:rsidRPr="005F0C4A" w:rsidRDefault="005B0FBE" w:rsidP="00AF58DF">
            <w:pPr>
              <w:jc w:val="right"/>
              <w:rPr>
                <w:rFonts w:eastAsia="Times New Roman" w:cs="Calibri"/>
                <w:b/>
                <w:bCs/>
                <w:color w:val="000000"/>
                <w:sz w:val="16"/>
                <w:szCs w:val="16"/>
                <w:lang w:eastAsia="en-US"/>
              </w:rPr>
            </w:pPr>
          </w:p>
        </w:tc>
        <w:tc>
          <w:tcPr>
            <w:tcW w:w="1389" w:type="dxa"/>
            <w:tcBorders>
              <w:top w:val="single" w:sz="4" w:space="0" w:color="305496"/>
              <w:left w:val="nil"/>
              <w:bottom w:val="single" w:sz="4" w:space="0" w:color="305496"/>
              <w:right w:val="nil"/>
            </w:tcBorders>
            <w:shd w:val="clear" w:color="auto" w:fill="E4E3E2" w:themeFill="background2"/>
            <w:noWrap/>
            <w:vAlign w:val="bottom"/>
            <w:hideMark/>
          </w:tcPr>
          <w:p w14:paraId="6B24F2FD" w14:textId="77777777" w:rsidR="005B0FBE" w:rsidRPr="005F0C4A" w:rsidRDefault="005B0FBE" w:rsidP="00AF58DF">
            <w:pPr>
              <w:jc w:val="right"/>
              <w:rPr>
                <w:rFonts w:eastAsia="Times New Roman" w:cs="Calibri"/>
                <w:b/>
                <w:bCs/>
                <w:color w:val="000000"/>
                <w:sz w:val="16"/>
                <w:szCs w:val="16"/>
                <w:lang w:eastAsia="en-US"/>
              </w:rPr>
            </w:pPr>
            <w:r w:rsidRPr="005F0C4A">
              <w:rPr>
                <w:rFonts w:eastAsia="Times New Roman" w:cs="Calibri"/>
                <w:b/>
                <w:bCs/>
                <w:color w:val="000000"/>
                <w:sz w:val="16"/>
                <w:szCs w:val="16"/>
                <w:lang w:eastAsia="en-US"/>
              </w:rPr>
              <w:t>163.933.048,88</w:t>
            </w:r>
          </w:p>
        </w:tc>
        <w:tc>
          <w:tcPr>
            <w:tcW w:w="1134" w:type="dxa"/>
            <w:tcBorders>
              <w:top w:val="single" w:sz="4" w:space="0" w:color="305496"/>
              <w:left w:val="nil"/>
              <w:bottom w:val="single" w:sz="4" w:space="0" w:color="305496"/>
              <w:right w:val="nil"/>
            </w:tcBorders>
            <w:shd w:val="clear" w:color="auto" w:fill="E4E3E2" w:themeFill="background2"/>
            <w:noWrap/>
            <w:vAlign w:val="bottom"/>
            <w:hideMark/>
          </w:tcPr>
          <w:p w14:paraId="038AB94B" w14:textId="77777777" w:rsidR="005B0FBE" w:rsidRPr="005F0C4A" w:rsidRDefault="005B0FBE" w:rsidP="00AF58DF">
            <w:pPr>
              <w:jc w:val="right"/>
              <w:rPr>
                <w:rFonts w:eastAsia="Times New Roman" w:cs="Calibri"/>
                <w:b/>
                <w:bCs/>
                <w:color w:val="000000"/>
                <w:sz w:val="16"/>
                <w:szCs w:val="16"/>
                <w:lang w:eastAsia="en-US"/>
              </w:rPr>
            </w:pPr>
            <w:r w:rsidRPr="005F0C4A">
              <w:rPr>
                <w:rFonts w:eastAsia="Times New Roman" w:cs="Calibri"/>
                <w:b/>
                <w:bCs/>
                <w:color w:val="000000"/>
                <w:sz w:val="16"/>
                <w:szCs w:val="16"/>
                <w:lang w:eastAsia="en-US"/>
              </w:rPr>
              <w:t>89,83%</w:t>
            </w:r>
          </w:p>
        </w:tc>
        <w:tc>
          <w:tcPr>
            <w:tcW w:w="1020" w:type="dxa"/>
            <w:tcBorders>
              <w:top w:val="single" w:sz="4" w:space="0" w:color="305496"/>
              <w:left w:val="nil"/>
              <w:bottom w:val="single" w:sz="4" w:space="0" w:color="305496"/>
              <w:right w:val="nil"/>
            </w:tcBorders>
            <w:shd w:val="clear" w:color="auto" w:fill="E4E3E2" w:themeFill="background2"/>
            <w:noWrap/>
            <w:vAlign w:val="bottom"/>
            <w:hideMark/>
          </w:tcPr>
          <w:p w14:paraId="7BF3281E" w14:textId="0B33789B" w:rsidR="005B0FBE" w:rsidRPr="005F0C4A" w:rsidRDefault="005B0FBE" w:rsidP="00AF58DF">
            <w:pPr>
              <w:jc w:val="right"/>
              <w:rPr>
                <w:rFonts w:eastAsia="Times New Roman" w:cs="Calibri"/>
                <w:b/>
                <w:bCs/>
                <w:color w:val="000000"/>
                <w:sz w:val="16"/>
                <w:szCs w:val="16"/>
                <w:lang w:eastAsia="en-US"/>
              </w:rPr>
            </w:pPr>
            <w:r w:rsidRPr="005F0C4A">
              <w:rPr>
                <w:rFonts w:eastAsia="Times New Roman" w:cs="Calibri"/>
                <w:b/>
                <w:bCs/>
                <w:color w:val="000000"/>
                <w:sz w:val="16"/>
                <w:szCs w:val="16"/>
                <w:lang w:eastAsia="en-US"/>
              </w:rPr>
              <w:t>143.747</w:t>
            </w:r>
          </w:p>
        </w:tc>
      </w:tr>
      <w:tr w:rsidR="005B0FBE" w:rsidRPr="000A763A" w14:paraId="7DC87FEE" w14:textId="77777777" w:rsidTr="005004C6">
        <w:trPr>
          <w:trHeight w:val="411"/>
        </w:trPr>
        <w:tc>
          <w:tcPr>
            <w:tcW w:w="4819" w:type="dxa"/>
            <w:tcBorders>
              <w:top w:val="single" w:sz="4" w:space="0" w:color="305496"/>
              <w:left w:val="nil"/>
              <w:bottom w:val="nil"/>
              <w:right w:val="nil"/>
            </w:tcBorders>
            <w:shd w:val="clear" w:color="auto" w:fill="auto"/>
            <w:vAlign w:val="bottom"/>
            <w:hideMark/>
          </w:tcPr>
          <w:p w14:paraId="356AFCC8"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Avviso pubblico per l'adozione di piani aziendali di Smart Working, Asse Prioritario I - Occupazione - Azione 8.6.1</w:t>
            </w:r>
          </w:p>
        </w:tc>
        <w:tc>
          <w:tcPr>
            <w:tcW w:w="1389" w:type="dxa"/>
            <w:tcBorders>
              <w:top w:val="single" w:sz="4" w:space="0" w:color="305496"/>
              <w:left w:val="nil"/>
              <w:bottom w:val="nil"/>
              <w:right w:val="nil"/>
            </w:tcBorders>
            <w:shd w:val="clear" w:color="auto" w:fill="auto"/>
            <w:noWrap/>
            <w:vAlign w:val="bottom"/>
            <w:hideMark/>
          </w:tcPr>
          <w:p w14:paraId="64704671"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5.269.500,00</w:t>
            </w:r>
          </w:p>
        </w:tc>
        <w:tc>
          <w:tcPr>
            <w:tcW w:w="1389" w:type="dxa"/>
            <w:tcBorders>
              <w:top w:val="single" w:sz="4" w:space="0" w:color="305496"/>
              <w:left w:val="nil"/>
              <w:bottom w:val="nil"/>
              <w:right w:val="nil"/>
            </w:tcBorders>
            <w:shd w:val="clear" w:color="auto" w:fill="auto"/>
            <w:noWrap/>
            <w:vAlign w:val="bottom"/>
            <w:hideMark/>
          </w:tcPr>
          <w:p w14:paraId="424B4953"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134" w:type="dxa"/>
            <w:tcBorders>
              <w:top w:val="single" w:sz="4" w:space="0" w:color="305496"/>
              <w:left w:val="nil"/>
              <w:bottom w:val="nil"/>
              <w:right w:val="nil"/>
            </w:tcBorders>
            <w:shd w:val="clear" w:color="auto" w:fill="auto"/>
            <w:noWrap/>
            <w:vAlign w:val="bottom"/>
            <w:hideMark/>
          </w:tcPr>
          <w:p w14:paraId="5D48BAAF"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020" w:type="dxa"/>
            <w:tcBorders>
              <w:top w:val="single" w:sz="4" w:space="0" w:color="305496"/>
              <w:left w:val="nil"/>
              <w:bottom w:val="nil"/>
              <w:right w:val="nil"/>
            </w:tcBorders>
            <w:shd w:val="clear" w:color="auto" w:fill="auto"/>
            <w:noWrap/>
            <w:vAlign w:val="bottom"/>
            <w:hideMark/>
          </w:tcPr>
          <w:p w14:paraId="4A2EBAFE" w14:textId="50A69212"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385</w:t>
            </w:r>
          </w:p>
        </w:tc>
      </w:tr>
      <w:tr w:rsidR="005B0FBE" w:rsidRPr="000A763A" w14:paraId="7C12D652" w14:textId="77777777" w:rsidTr="00AF58DF">
        <w:trPr>
          <w:trHeight w:val="300"/>
        </w:trPr>
        <w:tc>
          <w:tcPr>
            <w:tcW w:w="4819" w:type="dxa"/>
            <w:tcBorders>
              <w:top w:val="nil"/>
              <w:left w:val="nil"/>
              <w:bottom w:val="nil"/>
              <w:right w:val="nil"/>
            </w:tcBorders>
            <w:shd w:val="clear" w:color="auto" w:fill="auto"/>
            <w:vAlign w:val="bottom"/>
            <w:hideMark/>
          </w:tcPr>
          <w:p w14:paraId="0FE0CF9D"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Azioni di rete per il lavoro</w:t>
            </w:r>
          </w:p>
        </w:tc>
        <w:tc>
          <w:tcPr>
            <w:tcW w:w="1389" w:type="dxa"/>
            <w:tcBorders>
              <w:top w:val="nil"/>
              <w:left w:val="nil"/>
              <w:bottom w:val="nil"/>
              <w:right w:val="nil"/>
            </w:tcBorders>
            <w:shd w:val="clear" w:color="auto" w:fill="auto"/>
            <w:noWrap/>
            <w:vAlign w:val="bottom"/>
            <w:hideMark/>
          </w:tcPr>
          <w:p w14:paraId="3E898124"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3.648.687,48</w:t>
            </w:r>
          </w:p>
        </w:tc>
        <w:tc>
          <w:tcPr>
            <w:tcW w:w="1389" w:type="dxa"/>
            <w:tcBorders>
              <w:top w:val="nil"/>
              <w:left w:val="nil"/>
              <w:bottom w:val="nil"/>
              <w:right w:val="nil"/>
            </w:tcBorders>
            <w:shd w:val="clear" w:color="auto" w:fill="auto"/>
            <w:noWrap/>
            <w:vAlign w:val="bottom"/>
            <w:hideMark/>
          </w:tcPr>
          <w:p w14:paraId="3C2C2A61"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hideMark/>
          </w:tcPr>
          <w:p w14:paraId="05629F16"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337DCC49" w14:textId="213EAC7C"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18</w:t>
            </w:r>
          </w:p>
        </w:tc>
      </w:tr>
      <w:tr w:rsidR="005B0FBE" w:rsidRPr="000A763A" w14:paraId="429BB61F" w14:textId="77777777" w:rsidTr="00AF58DF">
        <w:trPr>
          <w:trHeight w:val="300"/>
        </w:trPr>
        <w:tc>
          <w:tcPr>
            <w:tcW w:w="4819" w:type="dxa"/>
            <w:tcBorders>
              <w:top w:val="nil"/>
              <w:left w:val="nil"/>
              <w:bottom w:val="nil"/>
              <w:right w:val="nil"/>
            </w:tcBorders>
            <w:shd w:val="clear" w:color="auto" w:fill="auto"/>
            <w:vAlign w:val="bottom"/>
            <w:hideMark/>
          </w:tcPr>
          <w:p w14:paraId="79B504C4"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 xml:space="preserve">Azioni di Rete per il Lavoro  </w:t>
            </w:r>
            <w:proofErr w:type="spellStart"/>
            <w:r w:rsidRPr="005F0C4A">
              <w:rPr>
                <w:rFonts w:eastAsia="Times New Roman" w:cs="Calibri"/>
                <w:color w:val="000000"/>
                <w:sz w:val="16"/>
                <w:szCs w:val="16"/>
                <w:lang w:eastAsia="en-US"/>
              </w:rPr>
              <w:t>Bn</w:t>
            </w:r>
            <w:proofErr w:type="spellEnd"/>
            <w:r w:rsidRPr="005F0C4A">
              <w:rPr>
                <w:rFonts w:eastAsia="Times New Roman" w:cs="Calibri"/>
                <w:color w:val="000000"/>
                <w:sz w:val="16"/>
                <w:szCs w:val="16"/>
                <w:lang w:eastAsia="en-US"/>
              </w:rPr>
              <w:t xml:space="preserve"> 2022</w:t>
            </w:r>
          </w:p>
        </w:tc>
        <w:tc>
          <w:tcPr>
            <w:tcW w:w="1389" w:type="dxa"/>
            <w:tcBorders>
              <w:top w:val="nil"/>
              <w:left w:val="nil"/>
              <w:bottom w:val="nil"/>
              <w:right w:val="nil"/>
            </w:tcBorders>
            <w:shd w:val="clear" w:color="auto" w:fill="auto"/>
            <w:noWrap/>
            <w:vAlign w:val="bottom"/>
            <w:hideMark/>
          </w:tcPr>
          <w:p w14:paraId="3084D282"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980.715,36</w:t>
            </w:r>
          </w:p>
        </w:tc>
        <w:tc>
          <w:tcPr>
            <w:tcW w:w="1389" w:type="dxa"/>
            <w:tcBorders>
              <w:top w:val="nil"/>
              <w:left w:val="nil"/>
              <w:bottom w:val="nil"/>
              <w:right w:val="nil"/>
            </w:tcBorders>
            <w:shd w:val="clear" w:color="auto" w:fill="auto"/>
            <w:noWrap/>
            <w:vAlign w:val="bottom"/>
            <w:hideMark/>
          </w:tcPr>
          <w:p w14:paraId="728C9014"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261.126,96</w:t>
            </w:r>
          </w:p>
        </w:tc>
        <w:tc>
          <w:tcPr>
            <w:tcW w:w="1134" w:type="dxa"/>
            <w:tcBorders>
              <w:top w:val="nil"/>
              <w:left w:val="nil"/>
              <w:bottom w:val="nil"/>
              <w:right w:val="nil"/>
            </w:tcBorders>
            <w:shd w:val="clear" w:color="auto" w:fill="auto"/>
            <w:noWrap/>
            <w:vAlign w:val="bottom"/>
            <w:hideMark/>
          </w:tcPr>
          <w:p w14:paraId="15803AB7"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26,63%</w:t>
            </w:r>
          </w:p>
        </w:tc>
        <w:tc>
          <w:tcPr>
            <w:tcW w:w="1020" w:type="dxa"/>
            <w:tcBorders>
              <w:top w:val="nil"/>
              <w:left w:val="nil"/>
              <w:bottom w:val="nil"/>
              <w:right w:val="nil"/>
            </w:tcBorders>
            <w:shd w:val="clear" w:color="auto" w:fill="auto"/>
            <w:noWrap/>
            <w:vAlign w:val="bottom"/>
            <w:hideMark/>
          </w:tcPr>
          <w:p w14:paraId="7359443C" w14:textId="7C6BD2C1"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24</w:t>
            </w:r>
          </w:p>
        </w:tc>
      </w:tr>
      <w:tr w:rsidR="005B0FBE" w:rsidRPr="000A763A" w14:paraId="29E9388E" w14:textId="77777777" w:rsidTr="00AF58DF">
        <w:trPr>
          <w:trHeight w:val="300"/>
        </w:trPr>
        <w:tc>
          <w:tcPr>
            <w:tcW w:w="4819" w:type="dxa"/>
            <w:tcBorders>
              <w:top w:val="nil"/>
              <w:left w:val="nil"/>
              <w:bottom w:val="nil"/>
              <w:right w:val="nil"/>
            </w:tcBorders>
            <w:shd w:val="clear" w:color="auto" w:fill="auto"/>
            <w:vAlign w:val="bottom"/>
            <w:hideMark/>
          </w:tcPr>
          <w:p w14:paraId="6AA694B5"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Dote Unica Lavoro</w:t>
            </w:r>
            <w:r w:rsidR="00964F04">
              <w:rPr>
                <w:rStyle w:val="Rimandonotaapidipagina"/>
                <w:rFonts w:eastAsia="Times New Roman" w:cs="Calibri"/>
                <w:color w:val="000000"/>
                <w:sz w:val="16"/>
                <w:szCs w:val="16"/>
                <w:lang w:eastAsia="en-US"/>
              </w:rPr>
              <w:footnoteReference w:id="8"/>
            </w:r>
          </w:p>
        </w:tc>
        <w:tc>
          <w:tcPr>
            <w:tcW w:w="1389" w:type="dxa"/>
            <w:tcBorders>
              <w:top w:val="nil"/>
              <w:left w:val="nil"/>
              <w:bottom w:val="nil"/>
              <w:right w:val="nil"/>
            </w:tcBorders>
            <w:shd w:val="clear" w:color="auto" w:fill="auto"/>
            <w:noWrap/>
            <w:vAlign w:val="bottom"/>
            <w:hideMark/>
          </w:tcPr>
          <w:p w14:paraId="13A3CE9B"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144.061.483,01</w:t>
            </w:r>
          </w:p>
        </w:tc>
        <w:tc>
          <w:tcPr>
            <w:tcW w:w="1389" w:type="dxa"/>
            <w:tcBorders>
              <w:top w:val="nil"/>
              <w:left w:val="nil"/>
              <w:bottom w:val="nil"/>
              <w:right w:val="nil"/>
            </w:tcBorders>
            <w:shd w:val="clear" w:color="auto" w:fill="auto"/>
            <w:noWrap/>
            <w:vAlign w:val="bottom"/>
            <w:hideMark/>
          </w:tcPr>
          <w:p w14:paraId="0E39C489"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144.061.483,01</w:t>
            </w:r>
          </w:p>
        </w:tc>
        <w:tc>
          <w:tcPr>
            <w:tcW w:w="1134" w:type="dxa"/>
            <w:tcBorders>
              <w:top w:val="nil"/>
              <w:left w:val="nil"/>
              <w:bottom w:val="nil"/>
              <w:right w:val="nil"/>
            </w:tcBorders>
            <w:shd w:val="clear" w:color="auto" w:fill="auto"/>
            <w:noWrap/>
            <w:vAlign w:val="bottom"/>
            <w:hideMark/>
          </w:tcPr>
          <w:p w14:paraId="59358666"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7571CD98" w14:textId="4F8141C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141.557</w:t>
            </w:r>
          </w:p>
        </w:tc>
      </w:tr>
      <w:tr w:rsidR="005B0FBE" w:rsidRPr="000A763A" w14:paraId="6BF068CA" w14:textId="77777777" w:rsidTr="00AF58DF">
        <w:trPr>
          <w:trHeight w:val="345"/>
        </w:trPr>
        <w:tc>
          <w:tcPr>
            <w:tcW w:w="4819" w:type="dxa"/>
            <w:tcBorders>
              <w:top w:val="nil"/>
              <w:left w:val="nil"/>
              <w:bottom w:val="nil"/>
              <w:right w:val="nil"/>
            </w:tcBorders>
            <w:shd w:val="clear" w:color="auto" w:fill="auto"/>
            <w:vAlign w:val="bottom"/>
            <w:hideMark/>
          </w:tcPr>
          <w:p w14:paraId="732B6EA2"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Formazione continua progetti aziendali*</w:t>
            </w:r>
          </w:p>
        </w:tc>
        <w:tc>
          <w:tcPr>
            <w:tcW w:w="1389" w:type="dxa"/>
            <w:tcBorders>
              <w:top w:val="nil"/>
              <w:left w:val="nil"/>
              <w:bottom w:val="nil"/>
              <w:right w:val="nil"/>
            </w:tcBorders>
            <w:shd w:val="clear" w:color="auto" w:fill="auto"/>
            <w:noWrap/>
            <w:vAlign w:val="bottom"/>
            <w:hideMark/>
          </w:tcPr>
          <w:p w14:paraId="64402EE4"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13.403.998,20</w:t>
            </w:r>
          </w:p>
        </w:tc>
        <w:tc>
          <w:tcPr>
            <w:tcW w:w="1389" w:type="dxa"/>
            <w:tcBorders>
              <w:top w:val="nil"/>
              <w:left w:val="nil"/>
              <w:bottom w:val="nil"/>
              <w:right w:val="nil"/>
            </w:tcBorders>
            <w:shd w:val="clear" w:color="auto" w:fill="auto"/>
            <w:noWrap/>
            <w:vAlign w:val="bottom"/>
            <w:hideMark/>
          </w:tcPr>
          <w:p w14:paraId="0D53CC5B"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13.400.354,70</w:t>
            </w:r>
          </w:p>
        </w:tc>
        <w:tc>
          <w:tcPr>
            <w:tcW w:w="1134" w:type="dxa"/>
            <w:tcBorders>
              <w:top w:val="nil"/>
              <w:left w:val="nil"/>
              <w:bottom w:val="nil"/>
              <w:right w:val="nil"/>
            </w:tcBorders>
            <w:shd w:val="clear" w:color="auto" w:fill="auto"/>
            <w:noWrap/>
            <w:vAlign w:val="bottom"/>
            <w:hideMark/>
          </w:tcPr>
          <w:p w14:paraId="62D36545"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99,97%</w:t>
            </w:r>
          </w:p>
        </w:tc>
        <w:tc>
          <w:tcPr>
            <w:tcW w:w="1020" w:type="dxa"/>
            <w:tcBorders>
              <w:top w:val="nil"/>
              <w:left w:val="nil"/>
              <w:bottom w:val="nil"/>
              <w:right w:val="nil"/>
            </w:tcBorders>
            <w:shd w:val="clear" w:color="auto" w:fill="auto"/>
            <w:noWrap/>
            <w:vAlign w:val="bottom"/>
            <w:hideMark/>
          </w:tcPr>
          <w:p w14:paraId="62E0FA55" w14:textId="2CC55F50"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1.035</w:t>
            </w:r>
          </w:p>
        </w:tc>
      </w:tr>
      <w:tr w:rsidR="005B0FBE" w:rsidRPr="000A763A" w14:paraId="7CC5A301" w14:textId="77777777" w:rsidTr="00AF58DF">
        <w:trPr>
          <w:trHeight w:val="345"/>
        </w:trPr>
        <w:tc>
          <w:tcPr>
            <w:tcW w:w="4819" w:type="dxa"/>
            <w:tcBorders>
              <w:top w:val="nil"/>
              <w:left w:val="nil"/>
              <w:bottom w:val="nil"/>
              <w:right w:val="nil"/>
            </w:tcBorders>
            <w:shd w:val="clear" w:color="auto" w:fill="auto"/>
            <w:vAlign w:val="bottom"/>
            <w:hideMark/>
          </w:tcPr>
          <w:p w14:paraId="00F10C64"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Formazione continua progetti interaziendali*</w:t>
            </w:r>
          </w:p>
        </w:tc>
        <w:tc>
          <w:tcPr>
            <w:tcW w:w="1389" w:type="dxa"/>
            <w:tcBorders>
              <w:top w:val="nil"/>
              <w:left w:val="nil"/>
              <w:bottom w:val="nil"/>
              <w:right w:val="nil"/>
            </w:tcBorders>
            <w:shd w:val="clear" w:color="auto" w:fill="auto"/>
            <w:noWrap/>
            <w:vAlign w:val="bottom"/>
            <w:hideMark/>
          </w:tcPr>
          <w:p w14:paraId="3A75074F"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5.501.675,00</w:t>
            </w:r>
          </w:p>
        </w:tc>
        <w:tc>
          <w:tcPr>
            <w:tcW w:w="1389" w:type="dxa"/>
            <w:tcBorders>
              <w:top w:val="nil"/>
              <w:left w:val="nil"/>
              <w:bottom w:val="nil"/>
              <w:right w:val="nil"/>
            </w:tcBorders>
            <w:shd w:val="clear" w:color="auto" w:fill="auto"/>
            <w:noWrap/>
            <w:vAlign w:val="bottom"/>
            <w:hideMark/>
          </w:tcPr>
          <w:p w14:paraId="36A63745"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5.501.675,00</w:t>
            </w:r>
          </w:p>
        </w:tc>
        <w:tc>
          <w:tcPr>
            <w:tcW w:w="1134" w:type="dxa"/>
            <w:tcBorders>
              <w:top w:val="nil"/>
              <w:left w:val="nil"/>
              <w:bottom w:val="nil"/>
              <w:right w:val="nil"/>
            </w:tcBorders>
            <w:shd w:val="clear" w:color="auto" w:fill="auto"/>
            <w:noWrap/>
            <w:vAlign w:val="bottom"/>
            <w:hideMark/>
          </w:tcPr>
          <w:p w14:paraId="21A321A4"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0A4E66AD" w14:textId="2AE648BF"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164</w:t>
            </w:r>
          </w:p>
        </w:tc>
      </w:tr>
      <w:tr w:rsidR="005B0FBE" w:rsidRPr="000A763A" w14:paraId="1B46FE66" w14:textId="77777777" w:rsidTr="00AF58DF">
        <w:trPr>
          <w:trHeight w:val="345"/>
        </w:trPr>
        <w:tc>
          <w:tcPr>
            <w:tcW w:w="4819" w:type="dxa"/>
            <w:tcBorders>
              <w:top w:val="nil"/>
              <w:left w:val="nil"/>
              <w:bottom w:val="nil"/>
              <w:right w:val="nil"/>
            </w:tcBorders>
            <w:shd w:val="clear" w:color="auto" w:fill="auto"/>
            <w:vAlign w:val="bottom"/>
            <w:hideMark/>
          </w:tcPr>
          <w:p w14:paraId="450B6B5A"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Formazione continua progetti strategici regionali*</w:t>
            </w:r>
          </w:p>
        </w:tc>
        <w:tc>
          <w:tcPr>
            <w:tcW w:w="1389" w:type="dxa"/>
            <w:tcBorders>
              <w:top w:val="nil"/>
              <w:left w:val="nil"/>
              <w:bottom w:val="nil"/>
              <w:right w:val="nil"/>
            </w:tcBorders>
            <w:shd w:val="clear" w:color="auto" w:fill="auto"/>
            <w:noWrap/>
            <w:vAlign w:val="bottom"/>
            <w:hideMark/>
          </w:tcPr>
          <w:p w14:paraId="62223DA0"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708.409,21</w:t>
            </w:r>
          </w:p>
        </w:tc>
        <w:tc>
          <w:tcPr>
            <w:tcW w:w="1389" w:type="dxa"/>
            <w:tcBorders>
              <w:top w:val="nil"/>
              <w:left w:val="nil"/>
              <w:bottom w:val="nil"/>
              <w:right w:val="nil"/>
            </w:tcBorders>
            <w:shd w:val="clear" w:color="auto" w:fill="auto"/>
            <w:noWrap/>
            <w:vAlign w:val="bottom"/>
            <w:hideMark/>
          </w:tcPr>
          <w:p w14:paraId="56A30C79"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708.409,21</w:t>
            </w:r>
          </w:p>
        </w:tc>
        <w:tc>
          <w:tcPr>
            <w:tcW w:w="1134" w:type="dxa"/>
            <w:tcBorders>
              <w:top w:val="nil"/>
              <w:left w:val="nil"/>
              <w:bottom w:val="nil"/>
              <w:right w:val="nil"/>
            </w:tcBorders>
            <w:shd w:val="clear" w:color="auto" w:fill="auto"/>
            <w:noWrap/>
            <w:vAlign w:val="bottom"/>
            <w:hideMark/>
          </w:tcPr>
          <w:p w14:paraId="482266A2"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6AC8252C" w14:textId="5F818234"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45</w:t>
            </w:r>
          </w:p>
        </w:tc>
      </w:tr>
      <w:tr w:rsidR="005B0FBE" w:rsidRPr="000A763A" w14:paraId="0E2A847E" w14:textId="77777777" w:rsidTr="00AF58DF">
        <w:trPr>
          <w:trHeight w:val="300"/>
        </w:trPr>
        <w:tc>
          <w:tcPr>
            <w:tcW w:w="4819" w:type="dxa"/>
            <w:tcBorders>
              <w:top w:val="nil"/>
              <w:left w:val="nil"/>
              <w:bottom w:val="nil"/>
              <w:right w:val="nil"/>
            </w:tcBorders>
            <w:shd w:val="clear" w:color="auto" w:fill="auto"/>
            <w:vAlign w:val="bottom"/>
            <w:hideMark/>
          </w:tcPr>
          <w:p w14:paraId="0D9A5AD0"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Lombardia Plus 2019/2020 - Linea Cultura</w:t>
            </w:r>
          </w:p>
        </w:tc>
        <w:tc>
          <w:tcPr>
            <w:tcW w:w="1389" w:type="dxa"/>
            <w:tcBorders>
              <w:top w:val="nil"/>
              <w:left w:val="nil"/>
              <w:bottom w:val="nil"/>
              <w:right w:val="nil"/>
            </w:tcBorders>
            <w:shd w:val="clear" w:color="auto" w:fill="auto"/>
            <w:noWrap/>
            <w:vAlign w:val="bottom"/>
            <w:hideMark/>
          </w:tcPr>
          <w:p w14:paraId="759A832C"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4.944.221,30</w:t>
            </w:r>
          </w:p>
        </w:tc>
        <w:tc>
          <w:tcPr>
            <w:tcW w:w="1389" w:type="dxa"/>
            <w:tcBorders>
              <w:top w:val="nil"/>
              <w:left w:val="nil"/>
              <w:bottom w:val="nil"/>
              <w:right w:val="nil"/>
            </w:tcBorders>
            <w:shd w:val="clear" w:color="auto" w:fill="auto"/>
            <w:noWrap/>
            <w:vAlign w:val="bottom"/>
            <w:hideMark/>
          </w:tcPr>
          <w:p w14:paraId="43A7363B"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hideMark/>
          </w:tcPr>
          <w:p w14:paraId="00D84A08"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049CCB29" w14:textId="066CF549"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20</w:t>
            </w:r>
          </w:p>
        </w:tc>
      </w:tr>
      <w:tr w:rsidR="005B0FBE" w:rsidRPr="000A763A" w14:paraId="39B01B5D" w14:textId="77777777" w:rsidTr="005004C6">
        <w:trPr>
          <w:trHeight w:val="593"/>
        </w:trPr>
        <w:tc>
          <w:tcPr>
            <w:tcW w:w="4819" w:type="dxa"/>
            <w:tcBorders>
              <w:top w:val="nil"/>
              <w:left w:val="nil"/>
              <w:bottom w:val="nil"/>
              <w:right w:val="nil"/>
            </w:tcBorders>
            <w:shd w:val="clear" w:color="auto" w:fill="auto"/>
            <w:vAlign w:val="bottom"/>
            <w:hideMark/>
          </w:tcPr>
          <w:p w14:paraId="10299546"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POR FSE 2014-2020: Bando per la selezione di percorsi di formazione/accompagnamento per l'avvio di imprese culturali e creative da insediare in spazi pubblici</w:t>
            </w:r>
          </w:p>
        </w:tc>
        <w:tc>
          <w:tcPr>
            <w:tcW w:w="1389" w:type="dxa"/>
            <w:tcBorders>
              <w:top w:val="nil"/>
              <w:left w:val="nil"/>
              <w:bottom w:val="nil"/>
              <w:right w:val="nil"/>
            </w:tcBorders>
            <w:shd w:val="clear" w:color="auto" w:fill="auto"/>
            <w:noWrap/>
            <w:vAlign w:val="bottom"/>
            <w:hideMark/>
          </w:tcPr>
          <w:p w14:paraId="26505B2E"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2.000.000,00</w:t>
            </w:r>
          </w:p>
        </w:tc>
        <w:tc>
          <w:tcPr>
            <w:tcW w:w="1389" w:type="dxa"/>
            <w:tcBorders>
              <w:top w:val="nil"/>
              <w:left w:val="nil"/>
              <w:bottom w:val="nil"/>
              <w:right w:val="nil"/>
            </w:tcBorders>
            <w:shd w:val="clear" w:color="auto" w:fill="auto"/>
            <w:noWrap/>
            <w:vAlign w:val="bottom"/>
            <w:hideMark/>
          </w:tcPr>
          <w:p w14:paraId="73C6BAF2"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hideMark/>
          </w:tcPr>
          <w:p w14:paraId="29FED405"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30189245" w14:textId="1D0AB6AE"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6</w:t>
            </w:r>
          </w:p>
        </w:tc>
      </w:tr>
      <w:tr w:rsidR="005B0FBE" w:rsidRPr="000A763A" w14:paraId="0F4D47E1" w14:textId="77777777" w:rsidTr="00AF58DF">
        <w:trPr>
          <w:trHeight w:val="340"/>
        </w:trPr>
        <w:tc>
          <w:tcPr>
            <w:tcW w:w="4819" w:type="dxa"/>
            <w:tcBorders>
              <w:top w:val="nil"/>
              <w:left w:val="nil"/>
              <w:bottom w:val="nil"/>
              <w:right w:val="nil"/>
            </w:tcBorders>
            <w:shd w:val="clear" w:color="auto" w:fill="auto"/>
            <w:vAlign w:val="bottom"/>
          </w:tcPr>
          <w:p w14:paraId="34167E66"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POR FSE 2014-2020: Offerta formativa ITS anno formativo 2020/2021</w:t>
            </w:r>
          </w:p>
        </w:tc>
        <w:tc>
          <w:tcPr>
            <w:tcW w:w="1389" w:type="dxa"/>
            <w:tcBorders>
              <w:top w:val="nil"/>
              <w:left w:val="nil"/>
              <w:bottom w:val="nil"/>
              <w:right w:val="nil"/>
            </w:tcBorders>
            <w:shd w:val="clear" w:color="auto" w:fill="auto"/>
            <w:noWrap/>
            <w:vAlign w:val="bottom"/>
          </w:tcPr>
          <w:p w14:paraId="5DFBF10F"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8.438.304,50</w:t>
            </w:r>
          </w:p>
        </w:tc>
        <w:tc>
          <w:tcPr>
            <w:tcW w:w="1389" w:type="dxa"/>
            <w:tcBorders>
              <w:top w:val="nil"/>
              <w:left w:val="nil"/>
              <w:bottom w:val="nil"/>
              <w:right w:val="nil"/>
            </w:tcBorders>
            <w:shd w:val="clear" w:color="auto" w:fill="auto"/>
            <w:noWrap/>
            <w:vAlign w:val="bottom"/>
          </w:tcPr>
          <w:p w14:paraId="255BBCC5"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tcPr>
          <w:p w14:paraId="4B658FC2"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tcPr>
          <w:p w14:paraId="1248D62D" w14:textId="3F0EFDCA"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19</w:t>
            </w:r>
          </w:p>
        </w:tc>
      </w:tr>
      <w:tr w:rsidR="005B0FBE" w:rsidRPr="000A763A" w14:paraId="32DC156F" w14:textId="77777777" w:rsidTr="00AF58DF">
        <w:trPr>
          <w:trHeight w:val="300"/>
        </w:trPr>
        <w:tc>
          <w:tcPr>
            <w:tcW w:w="4819" w:type="dxa"/>
            <w:tcBorders>
              <w:top w:val="nil"/>
              <w:left w:val="nil"/>
              <w:bottom w:val="nil"/>
              <w:right w:val="nil"/>
            </w:tcBorders>
            <w:shd w:val="clear" w:color="auto" w:fill="auto"/>
            <w:vAlign w:val="bottom"/>
            <w:hideMark/>
          </w:tcPr>
          <w:p w14:paraId="22CB39D0"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POR FSE 2014-2020: Formazione continua - Fase VI - Voucher aziendali</w:t>
            </w:r>
          </w:p>
        </w:tc>
        <w:tc>
          <w:tcPr>
            <w:tcW w:w="1389" w:type="dxa"/>
            <w:tcBorders>
              <w:top w:val="nil"/>
              <w:left w:val="nil"/>
              <w:bottom w:val="nil"/>
              <w:right w:val="nil"/>
            </w:tcBorders>
            <w:shd w:val="clear" w:color="auto" w:fill="auto"/>
            <w:noWrap/>
            <w:vAlign w:val="bottom"/>
            <w:hideMark/>
          </w:tcPr>
          <w:p w14:paraId="6975A771"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1.970.710,00</w:t>
            </w:r>
          </w:p>
        </w:tc>
        <w:tc>
          <w:tcPr>
            <w:tcW w:w="1389" w:type="dxa"/>
            <w:tcBorders>
              <w:top w:val="nil"/>
              <w:left w:val="nil"/>
              <w:bottom w:val="nil"/>
              <w:right w:val="nil"/>
            </w:tcBorders>
            <w:shd w:val="clear" w:color="auto" w:fill="auto"/>
            <w:noWrap/>
            <w:vAlign w:val="bottom"/>
            <w:hideMark/>
          </w:tcPr>
          <w:p w14:paraId="61A593CF"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hideMark/>
          </w:tcPr>
          <w:p w14:paraId="28244C69"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13941451" w14:textId="3D2AFA49"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474</w:t>
            </w:r>
          </w:p>
        </w:tc>
      </w:tr>
      <w:tr w:rsidR="005B0FBE" w:rsidRPr="000A763A" w14:paraId="6E458D87" w14:textId="77777777" w:rsidTr="00AF58DF">
        <w:trPr>
          <w:trHeight w:val="300"/>
        </w:trPr>
        <w:tc>
          <w:tcPr>
            <w:tcW w:w="4819" w:type="dxa"/>
            <w:tcBorders>
              <w:top w:val="nil"/>
              <w:left w:val="nil"/>
              <w:bottom w:val="single" w:sz="4" w:space="0" w:color="305496"/>
              <w:right w:val="nil"/>
            </w:tcBorders>
            <w:shd w:val="clear" w:color="auto" w:fill="E4E3E2" w:themeFill="background2"/>
            <w:noWrap/>
            <w:vAlign w:val="bottom"/>
            <w:hideMark/>
          </w:tcPr>
          <w:p w14:paraId="402F0B08" w14:textId="77777777" w:rsidR="005B0FBE" w:rsidRPr="005F0C4A" w:rsidRDefault="005B0FBE" w:rsidP="00AF58DF">
            <w:pPr>
              <w:jc w:val="left"/>
              <w:rPr>
                <w:rFonts w:eastAsia="Times New Roman" w:cs="Calibri"/>
                <w:b/>
                <w:bCs/>
                <w:color w:val="000000"/>
                <w:sz w:val="16"/>
                <w:szCs w:val="16"/>
                <w:lang w:eastAsia="en-US"/>
              </w:rPr>
            </w:pPr>
            <w:r w:rsidRPr="005F0C4A">
              <w:rPr>
                <w:rFonts w:eastAsia="Times New Roman" w:cs="Calibri"/>
                <w:b/>
                <w:bCs/>
                <w:color w:val="000000"/>
                <w:sz w:val="16"/>
                <w:szCs w:val="16"/>
                <w:lang w:eastAsia="en-US"/>
              </w:rPr>
              <w:t>II - INCLUSIONE SOCIALE</w:t>
            </w:r>
          </w:p>
        </w:tc>
        <w:tc>
          <w:tcPr>
            <w:tcW w:w="1389" w:type="dxa"/>
            <w:tcBorders>
              <w:top w:val="nil"/>
              <w:left w:val="nil"/>
              <w:bottom w:val="single" w:sz="4" w:space="0" w:color="305496"/>
              <w:right w:val="nil"/>
            </w:tcBorders>
            <w:shd w:val="clear" w:color="auto" w:fill="E4E3E2" w:themeFill="background2"/>
            <w:noWrap/>
            <w:vAlign w:val="bottom"/>
            <w:hideMark/>
          </w:tcPr>
          <w:p w14:paraId="67C70539" w14:textId="77777777" w:rsidR="005B0FBE" w:rsidRPr="005F0C4A" w:rsidRDefault="005B0FBE" w:rsidP="00AF58DF">
            <w:pPr>
              <w:jc w:val="right"/>
              <w:rPr>
                <w:rFonts w:eastAsia="Times New Roman" w:cs="Calibri"/>
                <w:b/>
                <w:bCs/>
                <w:color w:val="000000"/>
                <w:sz w:val="16"/>
                <w:szCs w:val="16"/>
                <w:lang w:eastAsia="en-US"/>
              </w:rPr>
            </w:pPr>
            <w:r w:rsidRPr="005F0C4A">
              <w:rPr>
                <w:rFonts w:eastAsia="Times New Roman" w:cs="Calibri"/>
                <w:b/>
                <w:bCs/>
                <w:color w:val="000000"/>
                <w:sz w:val="16"/>
                <w:szCs w:val="16"/>
                <w:lang w:eastAsia="en-US"/>
              </w:rPr>
              <w:t>184.312.574,33</w:t>
            </w:r>
          </w:p>
        </w:tc>
        <w:tc>
          <w:tcPr>
            <w:tcW w:w="1389" w:type="dxa"/>
            <w:tcBorders>
              <w:top w:val="nil"/>
              <w:left w:val="nil"/>
              <w:bottom w:val="single" w:sz="4" w:space="0" w:color="305496"/>
              <w:right w:val="nil"/>
            </w:tcBorders>
            <w:shd w:val="clear" w:color="auto" w:fill="E4E3E2" w:themeFill="background2"/>
            <w:noWrap/>
            <w:vAlign w:val="bottom"/>
            <w:hideMark/>
          </w:tcPr>
          <w:p w14:paraId="59205B4F" w14:textId="77777777" w:rsidR="005B0FBE" w:rsidRPr="005F0C4A" w:rsidRDefault="005B0FBE" w:rsidP="00AF58DF">
            <w:pPr>
              <w:jc w:val="right"/>
              <w:rPr>
                <w:rFonts w:eastAsia="Times New Roman" w:cs="Calibri"/>
                <w:b/>
                <w:bCs/>
                <w:color w:val="000000"/>
                <w:sz w:val="16"/>
                <w:szCs w:val="16"/>
                <w:lang w:eastAsia="en-US"/>
              </w:rPr>
            </w:pPr>
            <w:r w:rsidRPr="005F0C4A">
              <w:rPr>
                <w:rFonts w:eastAsia="Times New Roman" w:cs="Calibri"/>
                <w:b/>
                <w:bCs/>
                <w:color w:val="000000"/>
                <w:sz w:val="16"/>
                <w:szCs w:val="16"/>
                <w:lang w:eastAsia="en-US"/>
              </w:rPr>
              <w:t>122.977.484,16</w:t>
            </w:r>
          </w:p>
        </w:tc>
        <w:tc>
          <w:tcPr>
            <w:tcW w:w="1134" w:type="dxa"/>
            <w:tcBorders>
              <w:top w:val="nil"/>
              <w:left w:val="nil"/>
              <w:bottom w:val="single" w:sz="4" w:space="0" w:color="305496"/>
              <w:right w:val="nil"/>
            </w:tcBorders>
            <w:shd w:val="clear" w:color="auto" w:fill="E4E3E2" w:themeFill="background2"/>
            <w:noWrap/>
            <w:vAlign w:val="bottom"/>
            <w:hideMark/>
          </w:tcPr>
          <w:p w14:paraId="495BCC5A" w14:textId="77777777" w:rsidR="005B0FBE" w:rsidRPr="005F0C4A" w:rsidRDefault="005B0FBE" w:rsidP="00AF58DF">
            <w:pPr>
              <w:jc w:val="right"/>
              <w:rPr>
                <w:rFonts w:eastAsia="Times New Roman" w:cs="Calibri"/>
                <w:b/>
                <w:bCs/>
                <w:color w:val="000000"/>
                <w:sz w:val="16"/>
                <w:szCs w:val="16"/>
                <w:lang w:eastAsia="en-US"/>
              </w:rPr>
            </w:pPr>
            <w:r w:rsidRPr="005F0C4A">
              <w:rPr>
                <w:rFonts w:eastAsia="Times New Roman" w:cs="Calibri"/>
                <w:b/>
                <w:bCs/>
                <w:color w:val="000000"/>
                <w:sz w:val="16"/>
                <w:szCs w:val="16"/>
                <w:lang w:eastAsia="en-US"/>
              </w:rPr>
              <w:t>66,72%</w:t>
            </w:r>
          </w:p>
        </w:tc>
        <w:tc>
          <w:tcPr>
            <w:tcW w:w="1020" w:type="dxa"/>
            <w:tcBorders>
              <w:top w:val="nil"/>
              <w:left w:val="nil"/>
              <w:bottom w:val="single" w:sz="4" w:space="0" w:color="305496"/>
              <w:right w:val="nil"/>
            </w:tcBorders>
            <w:shd w:val="clear" w:color="auto" w:fill="E4E3E2" w:themeFill="background2"/>
            <w:noWrap/>
            <w:vAlign w:val="bottom"/>
            <w:hideMark/>
          </w:tcPr>
          <w:p w14:paraId="61BB6CB0" w14:textId="34D09C6F" w:rsidR="005B0FBE" w:rsidRPr="005F0C4A" w:rsidRDefault="005B0FBE" w:rsidP="00AF58DF">
            <w:pPr>
              <w:jc w:val="right"/>
              <w:rPr>
                <w:rFonts w:eastAsia="Times New Roman" w:cs="Calibri"/>
                <w:b/>
                <w:bCs/>
                <w:color w:val="000000"/>
                <w:sz w:val="16"/>
                <w:szCs w:val="16"/>
                <w:lang w:eastAsia="en-US"/>
              </w:rPr>
            </w:pPr>
            <w:r w:rsidRPr="005F0C4A">
              <w:rPr>
                <w:rFonts w:eastAsia="Times New Roman" w:cs="Calibri"/>
                <w:b/>
                <w:bCs/>
                <w:color w:val="000000"/>
                <w:sz w:val="16"/>
                <w:szCs w:val="16"/>
                <w:lang w:eastAsia="en-US"/>
              </w:rPr>
              <w:t>6.399</w:t>
            </w:r>
          </w:p>
        </w:tc>
      </w:tr>
      <w:tr w:rsidR="005B0FBE" w:rsidRPr="000A763A" w14:paraId="1AC1C984" w14:textId="77777777" w:rsidTr="00220585">
        <w:trPr>
          <w:trHeight w:val="478"/>
        </w:trPr>
        <w:tc>
          <w:tcPr>
            <w:tcW w:w="4819" w:type="dxa"/>
            <w:tcBorders>
              <w:top w:val="single" w:sz="4" w:space="0" w:color="305496"/>
              <w:left w:val="nil"/>
              <w:bottom w:val="nil"/>
              <w:right w:val="nil"/>
            </w:tcBorders>
            <w:shd w:val="clear" w:color="auto" w:fill="auto"/>
            <w:vAlign w:val="bottom"/>
            <w:hideMark/>
          </w:tcPr>
          <w:p w14:paraId="7D535BF7"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Avviso pubblico per il finanziamento di progetti di inclusione attiva a favore di persone in condizione di vulnerabilità e disagio</w:t>
            </w:r>
          </w:p>
        </w:tc>
        <w:tc>
          <w:tcPr>
            <w:tcW w:w="1389" w:type="dxa"/>
            <w:tcBorders>
              <w:top w:val="single" w:sz="4" w:space="0" w:color="305496"/>
              <w:left w:val="nil"/>
              <w:bottom w:val="nil"/>
              <w:right w:val="nil"/>
            </w:tcBorders>
            <w:shd w:val="clear" w:color="auto" w:fill="auto"/>
            <w:noWrap/>
            <w:vAlign w:val="bottom"/>
            <w:hideMark/>
          </w:tcPr>
          <w:p w14:paraId="01FC108A"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9.619.079,15</w:t>
            </w:r>
          </w:p>
        </w:tc>
        <w:tc>
          <w:tcPr>
            <w:tcW w:w="1389" w:type="dxa"/>
            <w:tcBorders>
              <w:top w:val="single" w:sz="4" w:space="0" w:color="305496"/>
              <w:left w:val="nil"/>
              <w:bottom w:val="nil"/>
              <w:right w:val="nil"/>
            </w:tcBorders>
            <w:shd w:val="clear" w:color="auto" w:fill="auto"/>
            <w:noWrap/>
            <w:vAlign w:val="bottom"/>
            <w:hideMark/>
          </w:tcPr>
          <w:p w14:paraId="3E1330B6"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134" w:type="dxa"/>
            <w:tcBorders>
              <w:top w:val="single" w:sz="4" w:space="0" w:color="305496"/>
              <w:left w:val="nil"/>
              <w:bottom w:val="nil"/>
              <w:right w:val="nil"/>
            </w:tcBorders>
            <w:shd w:val="clear" w:color="auto" w:fill="auto"/>
            <w:noWrap/>
            <w:vAlign w:val="bottom"/>
            <w:hideMark/>
          </w:tcPr>
          <w:p w14:paraId="014080E7"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020" w:type="dxa"/>
            <w:tcBorders>
              <w:top w:val="single" w:sz="4" w:space="0" w:color="305496"/>
              <w:left w:val="nil"/>
              <w:bottom w:val="nil"/>
              <w:right w:val="nil"/>
            </w:tcBorders>
            <w:shd w:val="clear" w:color="auto" w:fill="auto"/>
            <w:noWrap/>
            <w:vAlign w:val="bottom"/>
            <w:hideMark/>
          </w:tcPr>
          <w:p w14:paraId="229DCCAD" w14:textId="420E26F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55</w:t>
            </w:r>
          </w:p>
        </w:tc>
      </w:tr>
      <w:tr w:rsidR="005B0FBE" w:rsidRPr="000A763A" w14:paraId="7D52E0BA" w14:textId="77777777" w:rsidTr="00220585">
        <w:trPr>
          <w:trHeight w:val="282"/>
        </w:trPr>
        <w:tc>
          <w:tcPr>
            <w:tcW w:w="4819" w:type="dxa"/>
            <w:tcBorders>
              <w:top w:val="nil"/>
              <w:left w:val="nil"/>
              <w:bottom w:val="nil"/>
              <w:right w:val="nil"/>
            </w:tcBorders>
            <w:shd w:val="clear" w:color="auto" w:fill="auto"/>
            <w:vAlign w:val="bottom"/>
            <w:hideMark/>
          </w:tcPr>
          <w:p w14:paraId="175C8291"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Carceri IV - Giustizia riparativa</w:t>
            </w:r>
          </w:p>
        </w:tc>
        <w:tc>
          <w:tcPr>
            <w:tcW w:w="1389" w:type="dxa"/>
            <w:tcBorders>
              <w:top w:val="nil"/>
              <w:left w:val="nil"/>
              <w:bottom w:val="nil"/>
              <w:right w:val="nil"/>
            </w:tcBorders>
            <w:shd w:val="clear" w:color="auto" w:fill="auto"/>
            <w:noWrap/>
            <w:vAlign w:val="bottom"/>
            <w:hideMark/>
          </w:tcPr>
          <w:p w14:paraId="5309B9F2"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999.788,45</w:t>
            </w:r>
          </w:p>
        </w:tc>
        <w:tc>
          <w:tcPr>
            <w:tcW w:w="1389" w:type="dxa"/>
            <w:tcBorders>
              <w:top w:val="nil"/>
              <w:left w:val="nil"/>
              <w:bottom w:val="nil"/>
              <w:right w:val="nil"/>
            </w:tcBorders>
            <w:shd w:val="clear" w:color="auto" w:fill="auto"/>
            <w:noWrap/>
            <w:vAlign w:val="bottom"/>
            <w:hideMark/>
          </w:tcPr>
          <w:p w14:paraId="372F6320"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hideMark/>
          </w:tcPr>
          <w:p w14:paraId="2FFA9B7E"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3C2BF496" w14:textId="33F9A700"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8</w:t>
            </w:r>
          </w:p>
        </w:tc>
      </w:tr>
      <w:tr w:rsidR="005B0FBE" w:rsidRPr="000A763A" w14:paraId="2A400F77" w14:textId="77777777" w:rsidTr="00AF58DF">
        <w:trPr>
          <w:trHeight w:val="600"/>
        </w:trPr>
        <w:tc>
          <w:tcPr>
            <w:tcW w:w="4819" w:type="dxa"/>
            <w:tcBorders>
              <w:top w:val="nil"/>
              <w:left w:val="nil"/>
              <w:bottom w:val="nil"/>
              <w:right w:val="nil"/>
            </w:tcBorders>
            <w:shd w:val="clear" w:color="auto" w:fill="auto"/>
            <w:vAlign w:val="bottom"/>
            <w:hideMark/>
          </w:tcPr>
          <w:p w14:paraId="6F842F49"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 xml:space="preserve">Comune di Milano - Q.re Lorenteggio: Sostegno a persone in temporanea difficoltà economica attraverso ore di lavoro da dedicare alla Collettività </w:t>
            </w:r>
          </w:p>
        </w:tc>
        <w:tc>
          <w:tcPr>
            <w:tcW w:w="1389" w:type="dxa"/>
            <w:tcBorders>
              <w:top w:val="nil"/>
              <w:left w:val="nil"/>
              <w:bottom w:val="nil"/>
              <w:right w:val="nil"/>
            </w:tcBorders>
            <w:shd w:val="clear" w:color="auto" w:fill="auto"/>
            <w:noWrap/>
            <w:vAlign w:val="bottom"/>
            <w:hideMark/>
          </w:tcPr>
          <w:p w14:paraId="3D16FD21"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1.000.000,00</w:t>
            </w:r>
          </w:p>
        </w:tc>
        <w:tc>
          <w:tcPr>
            <w:tcW w:w="1389" w:type="dxa"/>
            <w:tcBorders>
              <w:top w:val="nil"/>
              <w:left w:val="nil"/>
              <w:bottom w:val="nil"/>
              <w:right w:val="nil"/>
            </w:tcBorders>
            <w:shd w:val="clear" w:color="auto" w:fill="auto"/>
            <w:noWrap/>
            <w:vAlign w:val="bottom"/>
            <w:hideMark/>
          </w:tcPr>
          <w:p w14:paraId="35F9AD56"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hideMark/>
          </w:tcPr>
          <w:p w14:paraId="467B879F"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0C0EAE44" w14:textId="0B88799A"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w:t>
            </w:r>
          </w:p>
        </w:tc>
      </w:tr>
      <w:tr w:rsidR="005B0FBE" w:rsidRPr="000A763A" w14:paraId="6942410E" w14:textId="77777777" w:rsidTr="00220585">
        <w:trPr>
          <w:trHeight w:val="649"/>
        </w:trPr>
        <w:tc>
          <w:tcPr>
            <w:tcW w:w="4819" w:type="dxa"/>
            <w:tcBorders>
              <w:top w:val="nil"/>
              <w:left w:val="nil"/>
              <w:bottom w:val="nil"/>
              <w:right w:val="nil"/>
            </w:tcBorders>
            <w:shd w:val="clear" w:color="auto" w:fill="auto"/>
            <w:vAlign w:val="bottom"/>
            <w:hideMark/>
          </w:tcPr>
          <w:p w14:paraId="769E1AE0" w14:textId="77777777" w:rsidR="005B0FBE" w:rsidRPr="005F0C4A" w:rsidRDefault="00B34391"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Finanziamento di progetti per il consolidamento degli interventi di accompagnamento all’inclusione socio lavorativa delle persone sottoposte a provvedimenti dell’autorità giudiziaria*</w:t>
            </w:r>
          </w:p>
        </w:tc>
        <w:tc>
          <w:tcPr>
            <w:tcW w:w="1389" w:type="dxa"/>
            <w:tcBorders>
              <w:top w:val="nil"/>
              <w:left w:val="nil"/>
              <w:bottom w:val="nil"/>
              <w:right w:val="nil"/>
            </w:tcBorders>
            <w:shd w:val="clear" w:color="auto" w:fill="auto"/>
            <w:noWrap/>
            <w:vAlign w:val="bottom"/>
            <w:hideMark/>
          </w:tcPr>
          <w:p w14:paraId="2A79EAA1"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15.321.302,78</w:t>
            </w:r>
          </w:p>
        </w:tc>
        <w:tc>
          <w:tcPr>
            <w:tcW w:w="1389" w:type="dxa"/>
            <w:tcBorders>
              <w:top w:val="nil"/>
              <w:left w:val="nil"/>
              <w:bottom w:val="nil"/>
              <w:right w:val="nil"/>
            </w:tcBorders>
            <w:shd w:val="clear" w:color="auto" w:fill="auto"/>
            <w:noWrap/>
            <w:vAlign w:val="bottom"/>
            <w:hideMark/>
          </w:tcPr>
          <w:p w14:paraId="222AE1A8"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4.740.050,09</w:t>
            </w:r>
          </w:p>
        </w:tc>
        <w:tc>
          <w:tcPr>
            <w:tcW w:w="1134" w:type="dxa"/>
            <w:tcBorders>
              <w:top w:val="nil"/>
              <w:left w:val="nil"/>
              <w:bottom w:val="nil"/>
              <w:right w:val="nil"/>
            </w:tcBorders>
            <w:shd w:val="clear" w:color="auto" w:fill="auto"/>
            <w:noWrap/>
            <w:vAlign w:val="bottom"/>
            <w:hideMark/>
          </w:tcPr>
          <w:p w14:paraId="621FA23A"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30,94%</w:t>
            </w:r>
          </w:p>
        </w:tc>
        <w:tc>
          <w:tcPr>
            <w:tcW w:w="1020" w:type="dxa"/>
            <w:tcBorders>
              <w:top w:val="nil"/>
              <w:left w:val="nil"/>
              <w:bottom w:val="nil"/>
              <w:right w:val="nil"/>
            </w:tcBorders>
            <w:shd w:val="clear" w:color="auto" w:fill="auto"/>
            <w:noWrap/>
            <w:vAlign w:val="bottom"/>
            <w:hideMark/>
          </w:tcPr>
          <w:p w14:paraId="729F6DC0" w14:textId="0DADD12E"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101</w:t>
            </w:r>
          </w:p>
        </w:tc>
      </w:tr>
      <w:tr w:rsidR="005B0FBE" w:rsidRPr="000A763A" w14:paraId="4FE11072" w14:textId="77777777" w:rsidTr="00AF58DF">
        <w:trPr>
          <w:trHeight w:val="645"/>
        </w:trPr>
        <w:tc>
          <w:tcPr>
            <w:tcW w:w="4819" w:type="dxa"/>
            <w:tcBorders>
              <w:top w:val="nil"/>
              <w:left w:val="nil"/>
              <w:bottom w:val="nil"/>
              <w:right w:val="nil"/>
            </w:tcBorders>
            <w:shd w:val="clear" w:color="auto" w:fill="auto"/>
            <w:vAlign w:val="bottom"/>
            <w:hideMark/>
          </w:tcPr>
          <w:p w14:paraId="2DC69BEA"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Finanziamento di progetti per il potenziamento dell'offerta di servizi per l'infanzia e l'adolescenza a supporto della conciliazione vita-lavoro*</w:t>
            </w:r>
          </w:p>
        </w:tc>
        <w:tc>
          <w:tcPr>
            <w:tcW w:w="1389" w:type="dxa"/>
            <w:tcBorders>
              <w:top w:val="nil"/>
              <w:left w:val="nil"/>
              <w:bottom w:val="nil"/>
              <w:right w:val="nil"/>
            </w:tcBorders>
            <w:shd w:val="clear" w:color="auto" w:fill="auto"/>
            <w:noWrap/>
            <w:vAlign w:val="bottom"/>
            <w:hideMark/>
          </w:tcPr>
          <w:p w14:paraId="37583414"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5.360.550,83</w:t>
            </w:r>
          </w:p>
        </w:tc>
        <w:tc>
          <w:tcPr>
            <w:tcW w:w="1389" w:type="dxa"/>
            <w:tcBorders>
              <w:top w:val="nil"/>
              <w:left w:val="nil"/>
              <w:bottom w:val="nil"/>
              <w:right w:val="nil"/>
            </w:tcBorders>
            <w:shd w:val="clear" w:color="auto" w:fill="auto"/>
            <w:noWrap/>
            <w:vAlign w:val="bottom"/>
            <w:hideMark/>
          </w:tcPr>
          <w:p w14:paraId="4DD2B576"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1.916.503,12</w:t>
            </w:r>
          </w:p>
        </w:tc>
        <w:tc>
          <w:tcPr>
            <w:tcW w:w="1134" w:type="dxa"/>
            <w:tcBorders>
              <w:top w:val="nil"/>
              <w:left w:val="nil"/>
              <w:bottom w:val="nil"/>
              <w:right w:val="nil"/>
            </w:tcBorders>
            <w:shd w:val="clear" w:color="auto" w:fill="auto"/>
            <w:noWrap/>
            <w:vAlign w:val="bottom"/>
            <w:hideMark/>
          </w:tcPr>
          <w:p w14:paraId="278853AC"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35,75%</w:t>
            </w:r>
          </w:p>
        </w:tc>
        <w:tc>
          <w:tcPr>
            <w:tcW w:w="1020" w:type="dxa"/>
            <w:tcBorders>
              <w:top w:val="nil"/>
              <w:left w:val="nil"/>
              <w:bottom w:val="nil"/>
              <w:right w:val="nil"/>
            </w:tcBorders>
            <w:shd w:val="clear" w:color="auto" w:fill="auto"/>
            <w:noWrap/>
            <w:vAlign w:val="bottom"/>
            <w:hideMark/>
          </w:tcPr>
          <w:p w14:paraId="33FEC53A" w14:textId="603E8915"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58</w:t>
            </w:r>
          </w:p>
        </w:tc>
      </w:tr>
      <w:tr w:rsidR="005B0FBE" w:rsidRPr="000A763A" w14:paraId="7C223A5D" w14:textId="77777777" w:rsidTr="005004C6">
        <w:trPr>
          <w:trHeight w:val="469"/>
        </w:trPr>
        <w:tc>
          <w:tcPr>
            <w:tcW w:w="4819" w:type="dxa"/>
            <w:tcBorders>
              <w:top w:val="nil"/>
              <w:left w:val="nil"/>
              <w:bottom w:val="nil"/>
              <w:right w:val="nil"/>
            </w:tcBorders>
            <w:shd w:val="clear" w:color="auto" w:fill="auto"/>
            <w:vAlign w:val="bottom"/>
            <w:hideMark/>
          </w:tcPr>
          <w:p w14:paraId="0840BF1B" w14:textId="77777777" w:rsidR="005B0FBE" w:rsidRPr="005F0C4A" w:rsidRDefault="00B34391"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Finanziamento per la messa a sistema del modello di intervento regionale a favore di giovani e adulti a grave rischio di marginalit</w:t>
            </w:r>
            <w:r w:rsidR="00B962B4">
              <w:rPr>
                <w:rFonts w:eastAsia="Times New Roman" w:cs="Calibri"/>
                <w:color w:val="000000"/>
                <w:sz w:val="16"/>
                <w:szCs w:val="16"/>
                <w:lang w:eastAsia="en-US"/>
              </w:rPr>
              <w:t>à</w:t>
            </w:r>
            <w:r w:rsidRPr="005F0C4A">
              <w:rPr>
                <w:rFonts w:eastAsia="Times New Roman" w:cs="Calibri"/>
                <w:color w:val="000000"/>
                <w:sz w:val="16"/>
                <w:szCs w:val="16"/>
                <w:lang w:eastAsia="en-US"/>
              </w:rPr>
              <w:t xml:space="preserve"> </w:t>
            </w:r>
          </w:p>
        </w:tc>
        <w:tc>
          <w:tcPr>
            <w:tcW w:w="1389" w:type="dxa"/>
            <w:tcBorders>
              <w:top w:val="nil"/>
              <w:left w:val="nil"/>
              <w:bottom w:val="nil"/>
              <w:right w:val="nil"/>
            </w:tcBorders>
            <w:shd w:val="clear" w:color="auto" w:fill="auto"/>
            <w:noWrap/>
            <w:vAlign w:val="bottom"/>
            <w:hideMark/>
          </w:tcPr>
          <w:p w14:paraId="36F0328B"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4.842.916,80</w:t>
            </w:r>
          </w:p>
        </w:tc>
        <w:tc>
          <w:tcPr>
            <w:tcW w:w="1389" w:type="dxa"/>
            <w:tcBorders>
              <w:top w:val="nil"/>
              <w:left w:val="nil"/>
              <w:bottom w:val="nil"/>
              <w:right w:val="nil"/>
            </w:tcBorders>
            <w:shd w:val="clear" w:color="auto" w:fill="auto"/>
            <w:noWrap/>
            <w:vAlign w:val="bottom"/>
            <w:hideMark/>
          </w:tcPr>
          <w:p w14:paraId="37CFE021"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hideMark/>
          </w:tcPr>
          <w:p w14:paraId="3CD61F77"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7D81EB06" w14:textId="5A1DCD62"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58</w:t>
            </w:r>
          </w:p>
        </w:tc>
      </w:tr>
      <w:tr w:rsidR="005B0FBE" w:rsidRPr="000A763A" w14:paraId="7DBBA334" w14:textId="77777777" w:rsidTr="005004C6">
        <w:trPr>
          <w:trHeight w:val="278"/>
        </w:trPr>
        <w:tc>
          <w:tcPr>
            <w:tcW w:w="4819" w:type="dxa"/>
            <w:tcBorders>
              <w:top w:val="nil"/>
              <w:left w:val="nil"/>
              <w:bottom w:val="nil"/>
              <w:right w:val="nil"/>
            </w:tcBorders>
            <w:shd w:val="clear" w:color="auto" w:fill="auto"/>
            <w:vAlign w:val="bottom"/>
            <w:hideMark/>
          </w:tcPr>
          <w:p w14:paraId="48260549"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Laboratori Sociali*</w:t>
            </w:r>
          </w:p>
        </w:tc>
        <w:tc>
          <w:tcPr>
            <w:tcW w:w="1389" w:type="dxa"/>
            <w:tcBorders>
              <w:top w:val="nil"/>
              <w:left w:val="nil"/>
              <w:bottom w:val="nil"/>
              <w:right w:val="nil"/>
            </w:tcBorders>
            <w:shd w:val="clear" w:color="auto" w:fill="auto"/>
            <w:noWrap/>
            <w:vAlign w:val="bottom"/>
            <w:hideMark/>
          </w:tcPr>
          <w:p w14:paraId="75A592F7"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1.043.269,81</w:t>
            </w:r>
          </w:p>
        </w:tc>
        <w:tc>
          <w:tcPr>
            <w:tcW w:w="1389" w:type="dxa"/>
            <w:tcBorders>
              <w:top w:val="nil"/>
              <w:left w:val="nil"/>
              <w:bottom w:val="nil"/>
              <w:right w:val="nil"/>
            </w:tcBorders>
            <w:shd w:val="clear" w:color="auto" w:fill="auto"/>
            <w:noWrap/>
            <w:vAlign w:val="bottom"/>
            <w:hideMark/>
          </w:tcPr>
          <w:p w14:paraId="6C03F893"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hideMark/>
          </w:tcPr>
          <w:p w14:paraId="6F642080"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6F3FCD80" w14:textId="445D11E0"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2</w:t>
            </w:r>
          </w:p>
        </w:tc>
      </w:tr>
      <w:tr w:rsidR="005B0FBE" w:rsidRPr="000A763A" w14:paraId="7216B9D4" w14:textId="77777777" w:rsidTr="005004C6">
        <w:trPr>
          <w:trHeight w:val="296"/>
        </w:trPr>
        <w:tc>
          <w:tcPr>
            <w:tcW w:w="4819" w:type="dxa"/>
            <w:tcBorders>
              <w:top w:val="nil"/>
              <w:left w:val="nil"/>
              <w:bottom w:val="nil"/>
              <w:right w:val="nil"/>
            </w:tcBorders>
            <w:shd w:val="clear" w:color="auto" w:fill="auto"/>
            <w:vAlign w:val="bottom"/>
            <w:hideMark/>
          </w:tcPr>
          <w:p w14:paraId="2270FDE6"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Misura Nidi Gratis*</w:t>
            </w:r>
          </w:p>
        </w:tc>
        <w:tc>
          <w:tcPr>
            <w:tcW w:w="1389" w:type="dxa"/>
            <w:tcBorders>
              <w:top w:val="nil"/>
              <w:left w:val="nil"/>
              <w:bottom w:val="nil"/>
              <w:right w:val="nil"/>
            </w:tcBorders>
            <w:shd w:val="clear" w:color="auto" w:fill="auto"/>
            <w:noWrap/>
            <w:vAlign w:val="bottom"/>
            <w:hideMark/>
          </w:tcPr>
          <w:p w14:paraId="63C92BB5"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84.962.988,56</w:t>
            </w:r>
          </w:p>
        </w:tc>
        <w:tc>
          <w:tcPr>
            <w:tcW w:w="1389" w:type="dxa"/>
            <w:tcBorders>
              <w:top w:val="nil"/>
              <w:left w:val="nil"/>
              <w:bottom w:val="nil"/>
              <w:right w:val="nil"/>
            </w:tcBorders>
            <w:shd w:val="clear" w:color="auto" w:fill="auto"/>
            <w:noWrap/>
            <w:vAlign w:val="bottom"/>
            <w:hideMark/>
          </w:tcPr>
          <w:p w14:paraId="379E9FB6"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82.273.868,57</w:t>
            </w:r>
          </w:p>
        </w:tc>
        <w:tc>
          <w:tcPr>
            <w:tcW w:w="1134" w:type="dxa"/>
            <w:tcBorders>
              <w:top w:val="nil"/>
              <w:left w:val="nil"/>
              <w:bottom w:val="nil"/>
              <w:right w:val="nil"/>
            </w:tcBorders>
            <w:shd w:val="clear" w:color="auto" w:fill="auto"/>
            <w:noWrap/>
            <w:vAlign w:val="bottom"/>
            <w:hideMark/>
          </w:tcPr>
          <w:p w14:paraId="5B61E49A"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96,83%</w:t>
            </w:r>
          </w:p>
        </w:tc>
        <w:tc>
          <w:tcPr>
            <w:tcW w:w="1020" w:type="dxa"/>
            <w:tcBorders>
              <w:top w:val="nil"/>
              <w:left w:val="nil"/>
              <w:bottom w:val="nil"/>
              <w:right w:val="nil"/>
            </w:tcBorders>
            <w:shd w:val="clear" w:color="auto" w:fill="auto"/>
            <w:noWrap/>
            <w:vAlign w:val="bottom"/>
            <w:hideMark/>
          </w:tcPr>
          <w:p w14:paraId="558BDFD4" w14:textId="4183A015"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1.874</w:t>
            </w:r>
          </w:p>
        </w:tc>
      </w:tr>
      <w:tr w:rsidR="005B0FBE" w:rsidRPr="000A763A" w14:paraId="3A893330" w14:textId="77777777" w:rsidTr="005004C6">
        <w:trPr>
          <w:trHeight w:val="413"/>
        </w:trPr>
        <w:tc>
          <w:tcPr>
            <w:tcW w:w="4819" w:type="dxa"/>
            <w:tcBorders>
              <w:top w:val="nil"/>
              <w:left w:val="nil"/>
              <w:bottom w:val="nil"/>
              <w:right w:val="nil"/>
            </w:tcBorders>
            <w:shd w:val="clear" w:color="auto" w:fill="auto"/>
            <w:vAlign w:val="bottom"/>
            <w:hideMark/>
          </w:tcPr>
          <w:p w14:paraId="6CE3F6D8"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Percorsi di inclusione sociale a favore di giovani e persone con problemi di abuso a grave rischio di marginalità e successivi*</w:t>
            </w:r>
          </w:p>
        </w:tc>
        <w:tc>
          <w:tcPr>
            <w:tcW w:w="1389" w:type="dxa"/>
            <w:tcBorders>
              <w:top w:val="nil"/>
              <w:left w:val="nil"/>
              <w:bottom w:val="nil"/>
              <w:right w:val="nil"/>
            </w:tcBorders>
            <w:shd w:val="clear" w:color="auto" w:fill="auto"/>
            <w:noWrap/>
            <w:vAlign w:val="bottom"/>
            <w:hideMark/>
          </w:tcPr>
          <w:p w14:paraId="0081ADFD"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8.190.277,12</w:t>
            </w:r>
          </w:p>
        </w:tc>
        <w:tc>
          <w:tcPr>
            <w:tcW w:w="1389" w:type="dxa"/>
            <w:tcBorders>
              <w:top w:val="nil"/>
              <w:left w:val="nil"/>
              <w:bottom w:val="nil"/>
              <w:right w:val="nil"/>
            </w:tcBorders>
            <w:shd w:val="clear" w:color="auto" w:fill="auto"/>
            <w:noWrap/>
            <w:vAlign w:val="bottom"/>
            <w:hideMark/>
          </w:tcPr>
          <w:p w14:paraId="09FC7D95"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3.133.206,08</w:t>
            </w:r>
          </w:p>
        </w:tc>
        <w:tc>
          <w:tcPr>
            <w:tcW w:w="1134" w:type="dxa"/>
            <w:tcBorders>
              <w:top w:val="nil"/>
              <w:left w:val="nil"/>
              <w:bottom w:val="nil"/>
              <w:right w:val="nil"/>
            </w:tcBorders>
            <w:shd w:val="clear" w:color="auto" w:fill="auto"/>
            <w:noWrap/>
            <w:vAlign w:val="bottom"/>
            <w:hideMark/>
          </w:tcPr>
          <w:p w14:paraId="366A7939"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38,26%</w:t>
            </w:r>
          </w:p>
        </w:tc>
        <w:tc>
          <w:tcPr>
            <w:tcW w:w="1020" w:type="dxa"/>
            <w:tcBorders>
              <w:top w:val="nil"/>
              <w:left w:val="nil"/>
              <w:bottom w:val="nil"/>
              <w:right w:val="nil"/>
            </w:tcBorders>
            <w:shd w:val="clear" w:color="auto" w:fill="auto"/>
            <w:noWrap/>
            <w:vAlign w:val="bottom"/>
            <w:hideMark/>
          </w:tcPr>
          <w:p w14:paraId="2DB9589C" w14:textId="71A11A12"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107</w:t>
            </w:r>
          </w:p>
        </w:tc>
      </w:tr>
      <w:tr w:rsidR="005B0FBE" w:rsidRPr="000A763A" w14:paraId="520D286E" w14:textId="77777777" w:rsidTr="00AF58DF">
        <w:trPr>
          <w:trHeight w:val="900"/>
        </w:trPr>
        <w:tc>
          <w:tcPr>
            <w:tcW w:w="4819" w:type="dxa"/>
            <w:tcBorders>
              <w:top w:val="nil"/>
              <w:left w:val="nil"/>
              <w:bottom w:val="nil"/>
              <w:right w:val="nil"/>
            </w:tcBorders>
            <w:shd w:val="clear" w:color="auto" w:fill="auto"/>
            <w:vAlign w:val="bottom"/>
            <w:hideMark/>
          </w:tcPr>
          <w:p w14:paraId="3C7D7C19"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 xml:space="preserve">POR FSE '14/'20 Avviso per la realizzazione di un modello d'intervento personalizzato, flessibile integrato con le risorse del territorio, per contrastare situazioni di disagio sociale di giovani e adolescenti e loro famiglie. </w:t>
            </w:r>
            <w:proofErr w:type="spellStart"/>
            <w:r w:rsidRPr="005F0C4A">
              <w:rPr>
                <w:rFonts w:eastAsia="Times New Roman" w:cs="Calibri"/>
                <w:color w:val="000000"/>
                <w:sz w:val="16"/>
                <w:szCs w:val="16"/>
                <w:lang w:eastAsia="en-US"/>
              </w:rPr>
              <w:t>Dgr</w:t>
            </w:r>
            <w:proofErr w:type="spellEnd"/>
            <w:r w:rsidRPr="005F0C4A">
              <w:rPr>
                <w:rFonts w:eastAsia="Times New Roman" w:cs="Calibri"/>
                <w:color w:val="000000"/>
                <w:sz w:val="16"/>
                <w:szCs w:val="16"/>
                <w:lang w:eastAsia="en-US"/>
              </w:rPr>
              <w:t xml:space="preserve"> 7602/17</w:t>
            </w:r>
          </w:p>
        </w:tc>
        <w:tc>
          <w:tcPr>
            <w:tcW w:w="1389" w:type="dxa"/>
            <w:tcBorders>
              <w:top w:val="nil"/>
              <w:left w:val="nil"/>
              <w:bottom w:val="nil"/>
              <w:right w:val="nil"/>
            </w:tcBorders>
            <w:shd w:val="clear" w:color="auto" w:fill="auto"/>
            <w:noWrap/>
            <w:vAlign w:val="bottom"/>
            <w:hideMark/>
          </w:tcPr>
          <w:p w14:paraId="350EA5BF"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6.000.000,00</w:t>
            </w:r>
          </w:p>
        </w:tc>
        <w:tc>
          <w:tcPr>
            <w:tcW w:w="1389" w:type="dxa"/>
            <w:tcBorders>
              <w:top w:val="nil"/>
              <w:left w:val="nil"/>
              <w:bottom w:val="nil"/>
              <w:right w:val="nil"/>
            </w:tcBorders>
            <w:shd w:val="clear" w:color="auto" w:fill="auto"/>
            <w:noWrap/>
            <w:vAlign w:val="bottom"/>
            <w:hideMark/>
          </w:tcPr>
          <w:p w14:paraId="0DF961FD"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hideMark/>
          </w:tcPr>
          <w:p w14:paraId="3330D2F8"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731A4670" w14:textId="4C721994"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8</w:t>
            </w:r>
          </w:p>
        </w:tc>
      </w:tr>
      <w:tr w:rsidR="005B0FBE" w:rsidRPr="000A763A" w14:paraId="66524C83" w14:textId="77777777" w:rsidTr="00AF58DF">
        <w:trPr>
          <w:trHeight w:val="600"/>
        </w:trPr>
        <w:tc>
          <w:tcPr>
            <w:tcW w:w="4819" w:type="dxa"/>
            <w:tcBorders>
              <w:top w:val="nil"/>
              <w:left w:val="nil"/>
              <w:bottom w:val="nil"/>
              <w:right w:val="nil"/>
            </w:tcBorders>
            <w:shd w:val="clear" w:color="auto" w:fill="auto"/>
            <w:vAlign w:val="bottom"/>
            <w:hideMark/>
          </w:tcPr>
          <w:p w14:paraId="5DD4D39C"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POR FSE 2014-2020: Avviso pubblico relativo a interventi per lo sviluppo dell'autonomia finalizzata all'inclusione sociale delle persone disabili e successivi - anno 2015</w:t>
            </w:r>
          </w:p>
        </w:tc>
        <w:tc>
          <w:tcPr>
            <w:tcW w:w="1389" w:type="dxa"/>
            <w:tcBorders>
              <w:top w:val="nil"/>
              <w:left w:val="nil"/>
              <w:bottom w:val="nil"/>
              <w:right w:val="nil"/>
            </w:tcBorders>
            <w:shd w:val="clear" w:color="auto" w:fill="auto"/>
            <w:noWrap/>
            <w:vAlign w:val="bottom"/>
            <w:hideMark/>
          </w:tcPr>
          <w:p w14:paraId="48C6E4BC"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645.000,00</w:t>
            </w:r>
          </w:p>
        </w:tc>
        <w:tc>
          <w:tcPr>
            <w:tcW w:w="1389" w:type="dxa"/>
            <w:tcBorders>
              <w:top w:val="nil"/>
              <w:left w:val="nil"/>
              <w:bottom w:val="nil"/>
              <w:right w:val="nil"/>
            </w:tcBorders>
            <w:shd w:val="clear" w:color="auto" w:fill="auto"/>
            <w:noWrap/>
            <w:vAlign w:val="bottom"/>
            <w:hideMark/>
          </w:tcPr>
          <w:p w14:paraId="1141CAB4"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645.000,00</w:t>
            </w:r>
          </w:p>
        </w:tc>
        <w:tc>
          <w:tcPr>
            <w:tcW w:w="1134" w:type="dxa"/>
            <w:tcBorders>
              <w:top w:val="nil"/>
              <w:left w:val="nil"/>
              <w:bottom w:val="nil"/>
              <w:right w:val="nil"/>
            </w:tcBorders>
            <w:shd w:val="clear" w:color="auto" w:fill="auto"/>
            <w:noWrap/>
            <w:vAlign w:val="bottom"/>
            <w:hideMark/>
          </w:tcPr>
          <w:p w14:paraId="240A1D08"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330873E1" w14:textId="504C121D"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52</w:t>
            </w:r>
          </w:p>
        </w:tc>
      </w:tr>
      <w:tr w:rsidR="005B0FBE" w:rsidRPr="000A763A" w14:paraId="1EAD15D5" w14:textId="77777777" w:rsidTr="00AF58DF">
        <w:trPr>
          <w:trHeight w:val="300"/>
        </w:trPr>
        <w:tc>
          <w:tcPr>
            <w:tcW w:w="4819" w:type="dxa"/>
            <w:tcBorders>
              <w:top w:val="nil"/>
              <w:left w:val="nil"/>
              <w:bottom w:val="nil"/>
              <w:right w:val="nil"/>
            </w:tcBorders>
            <w:shd w:val="clear" w:color="auto" w:fill="auto"/>
            <w:vAlign w:val="bottom"/>
            <w:hideMark/>
          </w:tcPr>
          <w:p w14:paraId="7E4E2C41"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POR FSE 2014-2020: Progettare la gestione sociale dei quartieri ERP in Lombardia</w:t>
            </w:r>
          </w:p>
        </w:tc>
        <w:tc>
          <w:tcPr>
            <w:tcW w:w="1389" w:type="dxa"/>
            <w:tcBorders>
              <w:top w:val="nil"/>
              <w:left w:val="nil"/>
              <w:bottom w:val="nil"/>
              <w:right w:val="nil"/>
            </w:tcBorders>
            <w:shd w:val="clear" w:color="auto" w:fill="auto"/>
            <w:noWrap/>
            <w:vAlign w:val="bottom"/>
            <w:hideMark/>
          </w:tcPr>
          <w:p w14:paraId="1804C4AF"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7.827.051,51</w:t>
            </w:r>
          </w:p>
        </w:tc>
        <w:tc>
          <w:tcPr>
            <w:tcW w:w="1389" w:type="dxa"/>
            <w:tcBorders>
              <w:top w:val="nil"/>
              <w:left w:val="nil"/>
              <w:bottom w:val="nil"/>
              <w:right w:val="nil"/>
            </w:tcBorders>
            <w:shd w:val="clear" w:color="auto" w:fill="auto"/>
            <w:noWrap/>
            <w:vAlign w:val="bottom"/>
            <w:hideMark/>
          </w:tcPr>
          <w:p w14:paraId="09FA25D9"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558.999,80</w:t>
            </w:r>
          </w:p>
        </w:tc>
        <w:tc>
          <w:tcPr>
            <w:tcW w:w="1134" w:type="dxa"/>
            <w:tcBorders>
              <w:top w:val="nil"/>
              <w:left w:val="nil"/>
              <w:bottom w:val="nil"/>
              <w:right w:val="nil"/>
            </w:tcBorders>
            <w:shd w:val="clear" w:color="auto" w:fill="auto"/>
            <w:noWrap/>
            <w:vAlign w:val="bottom"/>
            <w:hideMark/>
          </w:tcPr>
          <w:p w14:paraId="5C8AB91E"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7,14%</w:t>
            </w:r>
          </w:p>
        </w:tc>
        <w:tc>
          <w:tcPr>
            <w:tcW w:w="1020" w:type="dxa"/>
            <w:tcBorders>
              <w:top w:val="nil"/>
              <w:left w:val="nil"/>
              <w:bottom w:val="nil"/>
              <w:right w:val="nil"/>
            </w:tcBorders>
            <w:shd w:val="clear" w:color="auto" w:fill="auto"/>
            <w:noWrap/>
            <w:vAlign w:val="bottom"/>
            <w:hideMark/>
          </w:tcPr>
          <w:p w14:paraId="50EC9215" w14:textId="115FCA1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66</w:t>
            </w:r>
          </w:p>
        </w:tc>
      </w:tr>
      <w:tr w:rsidR="005B0FBE" w:rsidRPr="000A763A" w14:paraId="28BAEEDB" w14:textId="77777777" w:rsidTr="005004C6">
        <w:trPr>
          <w:trHeight w:val="234"/>
        </w:trPr>
        <w:tc>
          <w:tcPr>
            <w:tcW w:w="4819" w:type="dxa"/>
            <w:tcBorders>
              <w:top w:val="nil"/>
              <w:left w:val="nil"/>
              <w:bottom w:val="nil"/>
              <w:right w:val="nil"/>
            </w:tcBorders>
            <w:shd w:val="clear" w:color="auto" w:fill="auto"/>
            <w:vAlign w:val="bottom"/>
            <w:hideMark/>
          </w:tcPr>
          <w:p w14:paraId="712B5CED"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PPD I anni*</w:t>
            </w:r>
          </w:p>
        </w:tc>
        <w:tc>
          <w:tcPr>
            <w:tcW w:w="1389" w:type="dxa"/>
            <w:tcBorders>
              <w:top w:val="nil"/>
              <w:left w:val="nil"/>
              <w:bottom w:val="nil"/>
              <w:right w:val="nil"/>
            </w:tcBorders>
            <w:shd w:val="clear" w:color="auto" w:fill="auto"/>
            <w:noWrap/>
            <w:vAlign w:val="bottom"/>
            <w:hideMark/>
          </w:tcPr>
          <w:p w14:paraId="2798D40E"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5.342.992,42</w:t>
            </w:r>
          </w:p>
        </w:tc>
        <w:tc>
          <w:tcPr>
            <w:tcW w:w="1389" w:type="dxa"/>
            <w:tcBorders>
              <w:top w:val="nil"/>
              <w:left w:val="nil"/>
              <w:bottom w:val="nil"/>
              <w:right w:val="nil"/>
            </w:tcBorders>
            <w:shd w:val="clear" w:color="auto" w:fill="auto"/>
            <w:noWrap/>
            <w:vAlign w:val="bottom"/>
            <w:hideMark/>
          </w:tcPr>
          <w:p w14:paraId="2D0BDC8D"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5.342.992,42</w:t>
            </w:r>
          </w:p>
        </w:tc>
        <w:tc>
          <w:tcPr>
            <w:tcW w:w="1134" w:type="dxa"/>
            <w:tcBorders>
              <w:top w:val="nil"/>
              <w:left w:val="nil"/>
              <w:bottom w:val="nil"/>
              <w:right w:val="nil"/>
            </w:tcBorders>
            <w:shd w:val="clear" w:color="auto" w:fill="auto"/>
            <w:noWrap/>
            <w:vAlign w:val="bottom"/>
            <w:hideMark/>
          </w:tcPr>
          <w:p w14:paraId="3B18E14B"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4487CC71" w14:textId="22D888E2"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741</w:t>
            </w:r>
          </w:p>
        </w:tc>
      </w:tr>
      <w:tr w:rsidR="005B0FBE" w:rsidRPr="000A763A" w14:paraId="0C487722" w14:textId="77777777" w:rsidTr="005004C6">
        <w:trPr>
          <w:trHeight w:val="294"/>
        </w:trPr>
        <w:tc>
          <w:tcPr>
            <w:tcW w:w="4819" w:type="dxa"/>
            <w:tcBorders>
              <w:top w:val="nil"/>
              <w:left w:val="nil"/>
              <w:bottom w:val="nil"/>
              <w:right w:val="nil"/>
            </w:tcBorders>
            <w:shd w:val="clear" w:color="auto" w:fill="auto"/>
            <w:vAlign w:val="bottom"/>
            <w:hideMark/>
          </w:tcPr>
          <w:p w14:paraId="266A1F4D"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PPD II anni*</w:t>
            </w:r>
          </w:p>
        </w:tc>
        <w:tc>
          <w:tcPr>
            <w:tcW w:w="1389" w:type="dxa"/>
            <w:tcBorders>
              <w:top w:val="nil"/>
              <w:left w:val="nil"/>
              <w:bottom w:val="nil"/>
              <w:right w:val="nil"/>
            </w:tcBorders>
            <w:shd w:val="clear" w:color="auto" w:fill="auto"/>
            <w:noWrap/>
            <w:vAlign w:val="bottom"/>
            <w:hideMark/>
          </w:tcPr>
          <w:p w14:paraId="503F9B59"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8.806.558,66</w:t>
            </w:r>
          </w:p>
        </w:tc>
        <w:tc>
          <w:tcPr>
            <w:tcW w:w="1389" w:type="dxa"/>
            <w:tcBorders>
              <w:top w:val="nil"/>
              <w:left w:val="nil"/>
              <w:bottom w:val="nil"/>
              <w:right w:val="nil"/>
            </w:tcBorders>
            <w:shd w:val="clear" w:color="auto" w:fill="auto"/>
            <w:noWrap/>
            <w:vAlign w:val="bottom"/>
            <w:hideMark/>
          </w:tcPr>
          <w:p w14:paraId="33377F06"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8.806.558,66</w:t>
            </w:r>
          </w:p>
        </w:tc>
        <w:tc>
          <w:tcPr>
            <w:tcW w:w="1134" w:type="dxa"/>
            <w:tcBorders>
              <w:top w:val="nil"/>
              <w:left w:val="nil"/>
              <w:bottom w:val="nil"/>
              <w:right w:val="nil"/>
            </w:tcBorders>
            <w:shd w:val="clear" w:color="auto" w:fill="auto"/>
            <w:noWrap/>
            <w:vAlign w:val="bottom"/>
            <w:hideMark/>
          </w:tcPr>
          <w:p w14:paraId="7310CCE9"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66920EA3" w14:textId="6808063D"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1.244</w:t>
            </w:r>
          </w:p>
        </w:tc>
      </w:tr>
      <w:tr w:rsidR="005B0FBE" w:rsidRPr="000A763A" w14:paraId="7E6D2CA8" w14:textId="77777777" w:rsidTr="005004C6">
        <w:trPr>
          <w:trHeight w:val="270"/>
        </w:trPr>
        <w:tc>
          <w:tcPr>
            <w:tcW w:w="4819" w:type="dxa"/>
            <w:tcBorders>
              <w:top w:val="nil"/>
              <w:left w:val="nil"/>
              <w:bottom w:val="nil"/>
              <w:right w:val="nil"/>
            </w:tcBorders>
            <w:shd w:val="clear" w:color="auto" w:fill="auto"/>
            <w:vAlign w:val="bottom"/>
            <w:hideMark/>
          </w:tcPr>
          <w:p w14:paraId="530F06C0"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PPD III anni*</w:t>
            </w:r>
          </w:p>
        </w:tc>
        <w:tc>
          <w:tcPr>
            <w:tcW w:w="1389" w:type="dxa"/>
            <w:tcBorders>
              <w:top w:val="nil"/>
              <w:left w:val="nil"/>
              <w:bottom w:val="nil"/>
              <w:right w:val="nil"/>
            </w:tcBorders>
            <w:shd w:val="clear" w:color="auto" w:fill="auto"/>
            <w:noWrap/>
            <w:vAlign w:val="bottom"/>
            <w:hideMark/>
          </w:tcPr>
          <w:p w14:paraId="0282E4D2"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12.255.165,42</w:t>
            </w:r>
          </w:p>
        </w:tc>
        <w:tc>
          <w:tcPr>
            <w:tcW w:w="1389" w:type="dxa"/>
            <w:tcBorders>
              <w:top w:val="nil"/>
              <w:left w:val="nil"/>
              <w:bottom w:val="nil"/>
              <w:right w:val="nil"/>
            </w:tcBorders>
            <w:shd w:val="clear" w:color="auto" w:fill="auto"/>
            <w:noWrap/>
            <w:vAlign w:val="bottom"/>
            <w:hideMark/>
          </w:tcPr>
          <w:p w14:paraId="7291036F"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12.255.165,42</w:t>
            </w:r>
          </w:p>
        </w:tc>
        <w:tc>
          <w:tcPr>
            <w:tcW w:w="1134" w:type="dxa"/>
            <w:tcBorders>
              <w:top w:val="nil"/>
              <w:left w:val="nil"/>
              <w:bottom w:val="nil"/>
              <w:right w:val="nil"/>
            </w:tcBorders>
            <w:shd w:val="clear" w:color="auto" w:fill="auto"/>
            <w:noWrap/>
            <w:vAlign w:val="bottom"/>
            <w:hideMark/>
          </w:tcPr>
          <w:p w14:paraId="403DAD8A"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19376D6A" w14:textId="16E43E96"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1.686</w:t>
            </w:r>
          </w:p>
        </w:tc>
      </w:tr>
      <w:tr w:rsidR="005B0FBE" w:rsidRPr="000A763A" w14:paraId="12B2F170" w14:textId="77777777" w:rsidTr="00AF58DF">
        <w:trPr>
          <w:trHeight w:val="300"/>
        </w:trPr>
        <w:tc>
          <w:tcPr>
            <w:tcW w:w="4819" w:type="dxa"/>
            <w:tcBorders>
              <w:top w:val="nil"/>
              <w:left w:val="nil"/>
              <w:bottom w:val="nil"/>
              <w:right w:val="nil"/>
            </w:tcBorders>
            <w:shd w:val="clear" w:color="auto" w:fill="auto"/>
            <w:vAlign w:val="bottom"/>
            <w:hideMark/>
          </w:tcPr>
          <w:p w14:paraId="3D572F3A"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Programmi integrati di innovazione sociale e welfare locale (Presentazione progetti)</w:t>
            </w:r>
          </w:p>
        </w:tc>
        <w:tc>
          <w:tcPr>
            <w:tcW w:w="1389" w:type="dxa"/>
            <w:tcBorders>
              <w:top w:val="nil"/>
              <w:left w:val="nil"/>
              <w:bottom w:val="nil"/>
              <w:right w:val="nil"/>
            </w:tcBorders>
            <w:shd w:val="clear" w:color="auto" w:fill="auto"/>
            <w:noWrap/>
            <w:vAlign w:val="bottom"/>
            <w:hideMark/>
          </w:tcPr>
          <w:p w14:paraId="54BBAA32"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5.992.092,82</w:t>
            </w:r>
          </w:p>
        </w:tc>
        <w:tc>
          <w:tcPr>
            <w:tcW w:w="1389" w:type="dxa"/>
            <w:tcBorders>
              <w:top w:val="nil"/>
              <w:left w:val="nil"/>
              <w:bottom w:val="nil"/>
              <w:right w:val="nil"/>
            </w:tcBorders>
            <w:shd w:val="clear" w:color="auto" w:fill="auto"/>
            <w:noWrap/>
            <w:vAlign w:val="bottom"/>
            <w:hideMark/>
          </w:tcPr>
          <w:p w14:paraId="3E7D301B"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hideMark/>
          </w:tcPr>
          <w:p w14:paraId="63AB63E2"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4123BA68" w14:textId="4D41AD99"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7</w:t>
            </w:r>
          </w:p>
        </w:tc>
      </w:tr>
      <w:tr w:rsidR="005B0FBE" w:rsidRPr="000A763A" w14:paraId="144AF982" w14:textId="77777777" w:rsidTr="005004C6">
        <w:trPr>
          <w:trHeight w:val="180"/>
        </w:trPr>
        <w:tc>
          <w:tcPr>
            <w:tcW w:w="4819" w:type="dxa"/>
            <w:tcBorders>
              <w:top w:val="nil"/>
              <w:left w:val="nil"/>
              <w:bottom w:val="nil"/>
              <w:right w:val="nil"/>
            </w:tcBorders>
            <w:shd w:val="clear" w:color="auto" w:fill="auto"/>
            <w:vAlign w:val="bottom"/>
            <w:hideMark/>
          </w:tcPr>
          <w:p w14:paraId="75E51E5D"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Reddito Autonomia Anziani*</w:t>
            </w:r>
          </w:p>
        </w:tc>
        <w:tc>
          <w:tcPr>
            <w:tcW w:w="1389" w:type="dxa"/>
            <w:tcBorders>
              <w:top w:val="nil"/>
              <w:left w:val="nil"/>
              <w:bottom w:val="nil"/>
              <w:right w:val="nil"/>
            </w:tcBorders>
            <w:shd w:val="clear" w:color="auto" w:fill="auto"/>
            <w:noWrap/>
            <w:vAlign w:val="bottom"/>
            <w:hideMark/>
          </w:tcPr>
          <w:p w14:paraId="71CADD54"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4.128.384,00</w:t>
            </w:r>
          </w:p>
        </w:tc>
        <w:tc>
          <w:tcPr>
            <w:tcW w:w="1389" w:type="dxa"/>
            <w:tcBorders>
              <w:top w:val="nil"/>
              <w:left w:val="nil"/>
              <w:bottom w:val="nil"/>
              <w:right w:val="nil"/>
            </w:tcBorders>
            <w:shd w:val="clear" w:color="auto" w:fill="auto"/>
            <w:noWrap/>
            <w:vAlign w:val="bottom"/>
            <w:hideMark/>
          </w:tcPr>
          <w:p w14:paraId="0E99CFFD"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1.329.984,00</w:t>
            </w:r>
          </w:p>
        </w:tc>
        <w:tc>
          <w:tcPr>
            <w:tcW w:w="1134" w:type="dxa"/>
            <w:tcBorders>
              <w:top w:val="nil"/>
              <w:left w:val="nil"/>
              <w:bottom w:val="nil"/>
              <w:right w:val="nil"/>
            </w:tcBorders>
            <w:shd w:val="clear" w:color="auto" w:fill="auto"/>
            <w:noWrap/>
            <w:vAlign w:val="bottom"/>
            <w:hideMark/>
          </w:tcPr>
          <w:p w14:paraId="3DCCC2C0"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32,22%</w:t>
            </w:r>
          </w:p>
        </w:tc>
        <w:tc>
          <w:tcPr>
            <w:tcW w:w="1020" w:type="dxa"/>
            <w:tcBorders>
              <w:top w:val="nil"/>
              <w:left w:val="nil"/>
              <w:bottom w:val="nil"/>
              <w:right w:val="nil"/>
            </w:tcBorders>
            <w:shd w:val="clear" w:color="auto" w:fill="auto"/>
            <w:noWrap/>
            <w:vAlign w:val="bottom"/>
            <w:hideMark/>
          </w:tcPr>
          <w:p w14:paraId="73580F2C" w14:textId="6BADADC2"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225</w:t>
            </w:r>
          </w:p>
        </w:tc>
      </w:tr>
      <w:tr w:rsidR="005B0FBE" w:rsidRPr="000A763A" w14:paraId="01733E64" w14:textId="77777777" w:rsidTr="00220585">
        <w:trPr>
          <w:trHeight w:val="268"/>
        </w:trPr>
        <w:tc>
          <w:tcPr>
            <w:tcW w:w="4819" w:type="dxa"/>
            <w:tcBorders>
              <w:top w:val="nil"/>
              <w:left w:val="nil"/>
              <w:bottom w:val="nil"/>
              <w:right w:val="nil"/>
            </w:tcBorders>
            <w:shd w:val="clear" w:color="auto" w:fill="auto"/>
            <w:vAlign w:val="bottom"/>
            <w:hideMark/>
          </w:tcPr>
          <w:p w14:paraId="1B52A0B5"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Reddito Autonomia Disabili*</w:t>
            </w:r>
          </w:p>
        </w:tc>
        <w:tc>
          <w:tcPr>
            <w:tcW w:w="1389" w:type="dxa"/>
            <w:tcBorders>
              <w:top w:val="nil"/>
              <w:left w:val="nil"/>
              <w:bottom w:val="nil"/>
              <w:right w:val="nil"/>
            </w:tcBorders>
            <w:shd w:val="clear" w:color="auto" w:fill="auto"/>
            <w:noWrap/>
            <w:vAlign w:val="bottom"/>
            <w:hideMark/>
          </w:tcPr>
          <w:p w14:paraId="4BEC073C"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1.934.896,00</w:t>
            </w:r>
          </w:p>
        </w:tc>
        <w:tc>
          <w:tcPr>
            <w:tcW w:w="1389" w:type="dxa"/>
            <w:tcBorders>
              <w:top w:val="nil"/>
              <w:left w:val="nil"/>
              <w:bottom w:val="nil"/>
              <w:right w:val="nil"/>
            </w:tcBorders>
            <w:shd w:val="clear" w:color="auto" w:fill="auto"/>
            <w:noWrap/>
            <w:vAlign w:val="bottom"/>
            <w:hideMark/>
          </w:tcPr>
          <w:p w14:paraId="38DE6D94"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1.934.896,00</w:t>
            </w:r>
          </w:p>
        </w:tc>
        <w:tc>
          <w:tcPr>
            <w:tcW w:w="1134" w:type="dxa"/>
            <w:tcBorders>
              <w:top w:val="nil"/>
              <w:left w:val="nil"/>
              <w:bottom w:val="nil"/>
              <w:right w:val="nil"/>
            </w:tcBorders>
            <w:shd w:val="clear" w:color="auto" w:fill="auto"/>
            <w:noWrap/>
            <w:vAlign w:val="bottom"/>
            <w:hideMark/>
          </w:tcPr>
          <w:p w14:paraId="481E8601"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5607B9E4" w14:textId="00EFC9E4"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105</w:t>
            </w:r>
          </w:p>
        </w:tc>
      </w:tr>
      <w:tr w:rsidR="005B0FBE" w:rsidRPr="000A763A" w14:paraId="6B7CD2B2" w14:textId="77777777" w:rsidTr="005004C6">
        <w:trPr>
          <w:trHeight w:val="533"/>
        </w:trPr>
        <w:tc>
          <w:tcPr>
            <w:tcW w:w="4819" w:type="dxa"/>
            <w:tcBorders>
              <w:top w:val="nil"/>
              <w:left w:val="nil"/>
              <w:bottom w:val="nil"/>
              <w:right w:val="nil"/>
            </w:tcBorders>
            <w:shd w:val="clear" w:color="auto" w:fill="auto"/>
            <w:vAlign w:val="bottom"/>
            <w:hideMark/>
          </w:tcPr>
          <w:p w14:paraId="3D2D3EA5"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Servizio di Assistenza Tecnica per attività propedeutiche al servizio di accompagnamento per la riqualificazione del quartiere Lorenteggio finalizzata alla redazione del Masterplan nell’ambito del POR</w:t>
            </w:r>
          </w:p>
        </w:tc>
        <w:tc>
          <w:tcPr>
            <w:tcW w:w="1389" w:type="dxa"/>
            <w:tcBorders>
              <w:top w:val="nil"/>
              <w:left w:val="nil"/>
              <w:bottom w:val="nil"/>
              <w:right w:val="nil"/>
            </w:tcBorders>
            <w:shd w:val="clear" w:color="auto" w:fill="auto"/>
            <w:noWrap/>
            <w:vAlign w:val="bottom"/>
            <w:hideMark/>
          </w:tcPr>
          <w:p w14:paraId="0BC92241"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40.260,00</w:t>
            </w:r>
          </w:p>
        </w:tc>
        <w:tc>
          <w:tcPr>
            <w:tcW w:w="1389" w:type="dxa"/>
            <w:tcBorders>
              <w:top w:val="nil"/>
              <w:left w:val="nil"/>
              <w:bottom w:val="nil"/>
              <w:right w:val="nil"/>
            </w:tcBorders>
            <w:shd w:val="clear" w:color="auto" w:fill="auto"/>
            <w:noWrap/>
            <w:vAlign w:val="bottom"/>
            <w:hideMark/>
          </w:tcPr>
          <w:p w14:paraId="3E33BC2E"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40.260,00</w:t>
            </w:r>
          </w:p>
        </w:tc>
        <w:tc>
          <w:tcPr>
            <w:tcW w:w="1134" w:type="dxa"/>
            <w:tcBorders>
              <w:top w:val="nil"/>
              <w:left w:val="nil"/>
              <w:bottom w:val="nil"/>
              <w:right w:val="nil"/>
            </w:tcBorders>
            <w:shd w:val="clear" w:color="auto" w:fill="auto"/>
            <w:noWrap/>
            <w:vAlign w:val="bottom"/>
            <w:hideMark/>
          </w:tcPr>
          <w:p w14:paraId="61C6FCC3"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29DBACB1" w14:textId="0A20DE36"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w:t>
            </w:r>
          </w:p>
        </w:tc>
      </w:tr>
      <w:tr w:rsidR="005B0FBE" w:rsidRPr="000A763A" w14:paraId="1862142C" w14:textId="77777777" w:rsidTr="00AF58DF">
        <w:trPr>
          <w:trHeight w:val="300"/>
        </w:trPr>
        <w:tc>
          <w:tcPr>
            <w:tcW w:w="4819" w:type="dxa"/>
            <w:tcBorders>
              <w:top w:val="nil"/>
              <w:left w:val="nil"/>
              <w:bottom w:val="single" w:sz="4" w:space="0" w:color="305496"/>
              <w:right w:val="nil"/>
            </w:tcBorders>
            <w:shd w:val="clear" w:color="auto" w:fill="E4E3E2" w:themeFill="background2"/>
            <w:noWrap/>
            <w:vAlign w:val="bottom"/>
            <w:hideMark/>
          </w:tcPr>
          <w:p w14:paraId="2EABF30C" w14:textId="77777777" w:rsidR="005B0FBE" w:rsidRPr="005F0C4A" w:rsidRDefault="005B0FBE" w:rsidP="00AF58DF">
            <w:pPr>
              <w:jc w:val="left"/>
              <w:rPr>
                <w:rFonts w:eastAsia="Times New Roman" w:cs="Calibri"/>
                <w:b/>
                <w:bCs/>
                <w:color w:val="000000"/>
                <w:sz w:val="16"/>
                <w:szCs w:val="16"/>
                <w:lang w:eastAsia="en-US"/>
              </w:rPr>
            </w:pPr>
            <w:r w:rsidRPr="005F0C4A">
              <w:rPr>
                <w:rFonts w:eastAsia="Times New Roman" w:cs="Calibri"/>
                <w:b/>
                <w:bCs/>
                <w:color w:val="000000"/>
                <w:sz w:val="16"/>
                <w:szCs w:val="16"/>
                <w:lang w:eastAsia="en-US"/>
              </w:rPr>
              <w:t>III - ISTRUZIONE E FORMAZIONE</w:t>
            </w:r>
          </w:p>
        </w:tc>
        <w:tc>
          <w:tcPr>
            <w:tcW w:w="1389" w:type="dxa"/>
            <w:tcBorders>
              <w:top w:val="nil"/>
              <w:left w:val="nil"/>
              <w:bottom w:val="single" w:sz="4" w:space="0" w:color="305496"/>
              <w:right w:val="nil"/>
            </w:tcBorders>
            <w:shd w:val="clear" w:color="auto" w:fill="E4E3E2" w:themeFill="background2"/>
            <w:noWrap/>
            <w:vAlign w:val="bottom"/>
            <w:hideMark/>
          </w:tcPr>
          <w:p w14:paraId="1597DAEB" w14:textId="77777777" w:rsidR="005B0FBE" w:rsidRPr="005F0C4A" w:rsidRDefault="005B0FBE" w:rsidP="00AF58DF">
            <w:pPr>
              <w:jc w:val="right"/>
              <w:rPr>
                <w:rFonts w:eastAsia="Times New Roman" w:cs="Calibri"/>
                <w:b/>
                <w:bCs/>
                <w:color w:val="000000"/>
                <w:sz w:val="16"/>
                <w:szCs w:val="16"/>
                <w:lang w:eastAsia="en-US"/>
              </w:rPr>
            </w:pPr>
            <w:r w:rsidRPr="005F0C4A">
              <w:rPr>
                <w:rFonts w:eastAsia="Times New Roman" w:cs="Calibri"/>
                <w:b/>
                <w:bCs/>
                <w:color w:val="000000"/>
                <w:sz w:val="16"/>
                <w:szCs w:val="16"/>
                <w:lang w:eastAsia="en-US"/>
              </w:rPr>
              <w:t>226.245.211,51</w:t>
            </w:r>
          </w:p>
        </w:tc>
        <w:tc>
          <w:tcPr>
            <w:tcW w:w="1389" w:type="dxa"/>
            <w:tcBorders>
              <w:top w:val="nil"/>
              <w:left w:val="nil"/>
              <w:bottom w:val="single" w:sz="4" w:space="0" w:color="305496"/>
              <w:right w:val="nil"/>
            </w:tcBorders>
            <w:shd w:val="clear" w:color="auto" w:fill="E4E3E2" w:themeFill="background2"/>
            <w:noWrap/>
            <w:vAlign w:val="bottom"/>
            <w:hideMark/>
          </w:tcPr>
          <w:p w14:paraId="7DB62EC0" w14:textId="77777777" w:rsidR="005B0FBE" w:rsidRPr="005F0C4A" w:rsidRDefault="005B0FBE" w:rsidP="00AF58DF">
            <w:pPr>
              <w:jc w:val="right"/>
              <w:rPr>
                <w:rFonts w:eastAsia="Times New Roman" w:cs="Calibri"/>
                <w:b/>
                <w:bCs/>
                <w:color w:val="000000"/>
                <w:sz w:val="16"/>
                <w:szCs w:val="16"/>
                <w:lang w:eastAsia="en-US"/>
              </w:rPr>
            </w:pPr>
            <w:r w:rsidRPr="005F0C4A">
              <w:rPr>
                <w:rFonts w:eastAsia="Times New Roman" w:cs="Calibri"/>
                <w:b/>
                <w:bCs/>
                <w:color w:val="000000"/>
                <w:sz w:val="16"/>
                <w:szCs w:val="16"/>
                <w:lang w:eastAsia="en-US"/>
              </w:rPr>
              <w:t>202.364.659,68</w:t>
            </w:r>
          </w:p>
        </w:tc>
        <w:tc>
          <w:tcPr>
            <w:tcW w:w="1134" w:type="dxa"/>
            <w:tcBorders>
              <w:top w:val="nil"/>
              <w:left w:val="nil"/>
              <w:bottom w:val="single" w:sz="4" w:space="0" w:color="305496"/>
              <w:right w:val="nil"/>
            </w:tcBorders>
            <w:shd w:val="clear" w:color="auto" w:fill="E4E3E2" w:themeFill="background2"/>
            <w:noWrap/>
            <w:vAlign w:val="bottom"/>
            <w:hideMark/>
          </w:tcPr>
          <w:p w14:paraId="512C8398" w14:textId="77777777" w:rsidR="005B0FBE" w:rsidRPr="005F0C4A" w:rsidRDefault="005B0FBE" w:rsidP="00AF58DF">
            <w:pPr>
              <w:jc w:val="right"/>
              <w:rPr>
                <w:rFonts w:eastAsia="Times New Roman" w:cs="Calibri"/>
                <w:b/>
                <w:bCs/>
                <w:color w:val="000000"/>
                <w:sz w:val="16"/>
                <w:szCs w:val="16"/>
                <w:lang w:eastAsia="en-US"/>
              </w:rPr>
            </w:pPr>
            <w:r w:rsidRPr="005F0C4A">
              <w:rPr>
                <w:rFonts w:eastAsia="Times New Roman" w:cs="Calibri"/>
                <w:b/>
                <w:bCs/>
                <w:color w:val="000000"/>
                <w:sz w:val="16"/>
                <w:szCs w:val="16"/>
                <w:lang w:eastAsia="en-US"/>
              </w:rPr>
              <w:t>89,44%</w:t>
            </w:r>
          </w:p>
        </w:tc>
        <w:tc>
          <w:tcPr>
            <w:tcW w:w="1020" w:type="dxa"/>
            <w:tcBorders>
              <w:top w:val="nil"/>
              <w:left w:val="nil"/>
              <w:bottom w:val="single" w:sz="4" w:space="0" w:color="305496"/>
              <w:right w:val="nil"/>
            </w:tcBorders>
            <w:shd w:val="clear" w:color="auto" w:fill="E4E3E2" w:themeFill="background2"/>
            <w:noWrap/>
            <w:vAlign w:val="bottom"/>
            <w:hideMark/>
          </w:tcPr>
          <w:p w14:paraId="33C14432" w14:textId="29F981CE" w:rsidR="005B0FBE" w:rsidRPr="005F0C4A" w:rsidRDefault="005B0FBE" w:rsidP="00AF58DF">
            <w:pPr>
              <w:jc w:val="right"/>
              <w:rPr>
                <w:rFonts w:eastAsia="Times New Roman" w:cs="Calibri"/>
                <w:b/>
                <w:bCs/>
                <w:color w:val="000000"/>
                <w:sz w:val="16"/>
                <w:szCs w:val="16"/>
                <w:lang w:eastAsia="en-US"/>
              </w:rPr>
            </w:pPr>
            <w:r w:rsidRPr="005F0C4A">
              <w:rPr>
                <w:rFonts w:eastAsia="Times New Roman" w:cs="Calibri"/>
                <w:b/>
                <w:bCs/>
                <w:color w:val="000000"/>
                <w:sz w:val="16"/>
                <w:szCs w:val="16"/>
                <w:lang w:eastAsia="en-US"/>
              </w:rPr>
              <w:t>38.848</w:t>
            </w:r>
          </w:p>
        </w:tc>
      </w:tr>
      <w:tr w:rsidR="005B0FBE" w:rsidRPr="000A763A" w14:paraId="2781D52E" w14:textId="77777777" w:rsidTr="00220585">
        <w:trPr>
          <w:trHeight w:val="246"/>
        </w:trPr>
        <w:tc>
          <w:tcPr>
            <w:tcW w:w="4819" w:type="dxa"/>
            <w:tcBorders>
              <w:top w:val="single" w:sz="4" w:space="0" w:color="305496"/>
              <w:left w:val="nil"/>
              <w:bottom w:val="nil"/>
              <w:right w:val="nil"/>
            </w:tcBorders>
            <w:shd w:val="clear" w:color="auto" w:fill="auto"/>
            <w:vAlign w:val="bottom"/>
            <w:hideMark/>
          </w:tcPr>
          <w:p w14:paraId="05ACA5F1"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DDF III anni</w:t>
            </w:r>
          </w:p>
        </w:tc>
        <w:tc>
          <w:tcPr>
            <w:tcW w:w="1389" w:type="dxa"/>
            <w:tcBorders>
              <w:top w:val="single" w:sz="4" w:space="0" w:color="305496"/>
              <w:left w:val="nil"/>
              <w:bottom w:val="nil"/>
              <w:right w:val="nil"/>
            </w:tcBorders>
            <w:shd w:val="clear" w:color="auto" w:fill="auto"/>
            <w:noWrap/>
            <w:vAlign w:val="bottom"/>
            <w:hideMark/>
          </w:tcPr>
          <w:p w14:paraId="4B66CCBE"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20.231.679,31</w:t>
            </w:r>
          </w:p>
        </w:tc>
        <w:tc>
          <w:tcPr>
            <w:tcW w:w="1389" w:type="dxa"/>
            <w:tcBorders>
              <w:top w:val="single" w:sz="4" w:space="0" w:color="305496"/>
              <w:left w:val="nil"/>
              <w:bottom w:val="nil"/>
              <w:right w:val="nil"/>
            </w:tcBorders>
            <w:shd w:val="clear" w:color="auto" w:fill="auto"/>
            <w:noWrap/>
            <w:vAlign w:val="bottom"/>
            <w:hideMark/>
          </w:tcPr>
          <w:p w14:paraId="41C965B9"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20.231.679,31</w:t>
            </w:r>
          </w:p>
        </w:tc>
        <w:tc>
          <w:tcPr>
            <w:tcW w:w="1134" w:type="dxa"/>
            <w:tcBorders>
              <w:top w:val="single" w:sz="4" w:space="0" w:color="305496"/>
              <w:left w:val="nil"/>
              <w:bottom w:val="nil"/>
              <w:right w:val="nil"/>
            </w:tcBorders>
            <w:shd w:val="clear" w:color="auto" w:fill="auto"/>
            <w:noWrap/>
            <w:vAlign w:val="bottom"/>
            <w:hideMark/>
          </w:tcPr>
          <w:p w14:paraId="665035BC"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100,00%</w:t>
            </w:r>
          </w:p>
        </w:tc>
        <w:tc>
          <w:tcPr>
            <w:tcW w:w="1020" w:type="dxa"/>
            <w:tcBorders>
              <w:top w:val="single" w:sz="4" w:space="0" w:color="305496"/>
              <w:left w:val="nil"/>
              <w:bottom w:val="nil"/>
              <w:right w:val="nil"/>
            </w:tcBorders>
            <w:shd w:val="clear" w:color="auto" w:fill="auto"/>
            <w:noWrap/>
            <w:vAlign w:val="bottom"/>
            <w:hideMark/>
          </w:tcPr>
          <w:p w14:paraId="2E2A4ABC" w14:textId="63F5860D"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4.355</w:t>
            </w:r>
          </w:p>
        </w:tc>
      </w:tr>
      <w:tr w:rsidR="005B0FBE" w:rsidRPr="000A763A" w14:paraId="6ECC3CA9" w14:textId="77777777" w:rsidTr="00220585">
        <w:trPr>
          <w:trHeight w:val="232"/>
        </w:trPr>
        <w:tc>
          <w:tcPr>
            <w:tcW w:w="4819" w:type="dxa"/>
            <w:tcBorders>
              <w:top w:val="nil"/>
              <w:left w:val="nil"/>
              <w:bottom w:val="nil"/>
              <w:right w:val="nil"/>
            </w:tcBorders>
            <w:shd w:val="clear" w:color="auto" w:fill="auto"/>
            <w:vAlign w:val="bottom"/>
            <w:hideMark/>
          </w:tcPr>
          <w:p w14:paraId="3ADC191B"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 xml:space="preserve">Formazione Continua V  strategici </w:t>
            </w:r>
            <w:proofErr w:type="spellStart"/>
            <w:r w:rsidRPr="005F0C4A">
              <w:rPr>
                <w:rFonts w:eastAsia="Times New Roman" w:cs="Calibri"/>
                <w:color w:val="000000"/>
                <w:sz w:val="16"/>
                <w:szCs w:val="16"/>
                <w:lang w:eastAsia="en-US"/>
              </w:rPr>
              <w:t>bn</w:t>
            </w:r>
            <w:proofErr w:type="spellEnd"/>
            <w:r w:rsidRPr="005F0C4A">
              <w:rPr>
                <w:rFonts w:eastAsia="Times New Roman" w:cs="Calibri"/>
                <w:color w:val="000000"/>
                <w:sz w:val="16"/>
                <w:szCs w:val="16"/>
                <w:lang w:eastAsia="en-US"/>
              </w:rPr>
              <w:t xml:space="preserve"> 2784</w:t>
            </w:r>
          </w:p>
        </w:tc>
        <w:tc>
          <w:tcPr>
            <w:tcW w:w="1389" w:type="dxa"/>
            <w:tcBorders>
              <w:top w:val="nil"/>
              <w:left w:val="nil"/>
              <w:bottom w:val="nil"/>
              <w:right w:val="nil"/>
            </w:tcBorders>
            <w:shd w:val="clear" w:color="auto" w:fill="auto"/>
            <w:noWrap/>
            <w:vAlign w:val="bottom"/>
            <w:hideMark/>
          </w:tcPr>
          <w:p w14:paraId="28BC0105"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2.290,20</w:t>
            </w:r>
          </w:p>
        </w:tc>
        <w:tc>
          <w:tcPr>
            <w:tcW w:w="1389" w:type="dxa"/>
            <w:tcBorders>
              <w:top w:val="nil"/>
              <w:left w:val="nil"/>
              <w:bottom w:val="nil"/>
              <w:right w:val="nil"/>
            </w:tcBorders>
            <w:shd w:val="clear" w:color="auto" w:fill="auto"/>
            <w:noWrap/>
            <w:vAlign w:val="bottom"/>
            <w:hideMark/>
          </w:tcPr>
          <w:p w14:paraId="4F7FD8FC"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2.290,20</w:t>
            </w:r>
          </w:p>
        </w:tc>
        <w:tc>
          <w:tcPr>
            <w:tcW w:w="1134" w:type="dxa"/>
            <w:tcBorders>
              <w:top w:val="nil"/>
              <w:left w:val="nil"/>
              <w:bottom w:val="nil"/>
              <w:right w:val="nil"/>
            </w:tcBorders>
            <w:shd w:val="clear" w:color="auto" w:fill="auto"/>
            <w:noWrap/>
            <w:vAlign w:val="bottom"/>
            <w:hideMark/>
          </w:tcPr>
          <w:p w14:paraId="76B40FEA"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74D37213" w14:textId="5D248A7C"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w:t>
            </w:r>
          </w:p>
        </w:tc>
      </w:tr>
      <w:tr w:rsidR="005B0FBE" w:rsidRPr="000A763A" w14:paraId="4B63F2D2" w14:textId="77777777" w:rsidTr="00220585">
        <w:trPr>
          <w:trHeight w:val="178"/>
        </w:trPr>
        <w:tc>
          <w:tcPr>
            <w:tcW w:w="4819" w:type="dxa"/>
            <w:tcBorders>
              <w:top w:val="nil"/>
              <w:left w:val="nil"/>
              <w:bottom w:val="nil"/>
              <w:right w:val="nil"/>
            </w:tcBorders>
            <w:shd w:val="clear" w:color="auto" w:fill="auto"/>
            <w:vAlign w:val="bottom"/>
            <w:hideMark/>
          </w:tcPr>
          <w:p w14:paraId="2C3FFFAE"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 xml:space="preserve">III Anni </w:t>
            </w:r>
            <w:proofErr w:type="spellStart"/>
            <w:r w:rsidRPr="005F0C4A">
              <w:rPr>
                <w:rFonts w:eastAsia="Times New Roman" w:cs="Calibri"/>
                <w:color w:val="000000"/>
                <w:sz w:val="16"/>
                <w:szCs w:val="16"/>
                <w:lang w:eastAsia="en-US"/>
              </w:rPr>
              <w:t>IeFP</w:t>
            </w:r>
            <w:proofErr w:type="spellEnd"/>
            <w:r w:rsidRPr="005F0C4A">
              <w:rPr>
                <w:rFonts w:eastAsia="Times New Roman" w:cs="Calibri"/>
                <w:color w:val="000000"/>
                <w:sz w:val="16"/>
                <w:szCs w:val="16"/>
                <w:lang w:eastAsia="en-US"/>
              </w:rPr>
              <w:t>*</w:t>
            </w:r>
          </w:p>
        </w:tc>
        <w:tc>
          <w:tcPr>
            <w:tcW w:w="1389" w:type="dxa"/>
            <w:tcBorders>
              <w:top w:val="nil"/>
              <w:left w:val="nil"/>
              <w:bottom w:val="nil"/>
              <w:right w:val="nil"/>
            </w:tcBorders>
            <w:shd w:val="clear" w:color="auto" w:fill="auto"/>
            <w:noWrap/>
            <w:vAlign w:val="bottom"/>
            <w:hideMark/>
          </w:tcPr>
          <w:p w14:paraId="2E40796C"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52.145.159,37</w:t>
            </w:r>
          </w:p>
        </w:tc>
        <w:tc>
          <w:tcPr>
            <w:tcW w:w="1389" w:type="dxa"/>
            <w:tcBorders>
              <w:top w:val="nil"/>
              <w:left w:val="nil"/>
              <w:bottom w:val="nil"/>
              <w:right w:val="nil"/>
            </w:tcBorders>
            <w:shd w:val="clear" w:color="auto" w:fill="auto"/>
            <w:noWrap/>
            <w:vAlign w:val="bottom"/>
            <w:hideMark/>
          </w:tcPr>
          <w:p w14:paraId="7A7EFB73"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52.145.159,37</w:t>
            </w:r>
          </w:p>
        </w:tc>
        <w:tc>
          <w:tcPr>
            <w:tcW w:w="1134" w:type="dxa"/>
            <w:tcBorders>
              <w:top w:val="nil"/>
              <w:left w:val="nil"/>
              <w:bottom w:val="nil"/>
              <w:right w:val="nil"/>
            </w:tcBorders>
            <w:shd w:val="clear" w:color="auto" w:fill="auto"/>
            <w:noWrap/>
            <w:vAlign w:val="bottom"/>
            <w:hideMark/>
          </w:tcPr>
          <w:p w14:paraId="74815519"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20AA96B2" w14:textId="5DE18C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11.252</w:t>
            </w:r>
          </w:p>
        </w:tc>
      </w:tr>
      <w:tr w:rsidR="005B0FBE" w:rsidRPr="000A763A" w14:paraId="78242463" w14:textId="77777777" w:rsidTr="00220585">
        <w:trPr>
          <w:trHeight w:val="266"/>
        </w:trPr>
        <w:tc>
          <w:tcPr>
            <w:tcW w:w="4819" w:type="dxa"/>
            <w:tcBorders>
              <w:top w:val="nil"/>
              <w:left w:val="nil"/>
              <w:bottom w:val="nil"/>
              <w:right w:val="nil"/>
            </w:tcBorders>
            <w:shd w:val="clear" w:color="auto" w:fill="auto"/>
            <w:vAlign w:val="bottom"/>
            <w:hideMark/>
          </w:tcPr>
          <w:p w14:paraId="5467390E"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 xml:space="preserve">ITS 2014 2016 Fondazioni costituite - </w:t>
            </w:r>
            <w:proofErr w:type="spellStart"/>
            <w:r w:rsidRPr="005F0C4A">
              <w:rPr>
                <w:rFonts w:eastAsia="Times New Roman" w:cs="Calibri"/>
                <w:color w:val="000000"/>
                <w:sz w:val="16"/>
                <w:szCs w:val="16"/>
                <w:lang w:eastAsia="en-US"/>
              </w:rPr>
              <w:t>bn</w:t>
            </w:r>
            <w:proofErr w:type="spellEnd"/>
            <w:r w:rsidRPr="005F0C4A">
              <w:rPr>
                <w:rFonts w:eastAsia="Times New Roman" w:cs="Calibri"/>
                <w:color w:val="000000"/>
                <w:sz w:val="16"/>
                <w:szCs w:val="16"/>
                <w:lang w:eastAsia="en-US"/>
              </w:rPr>
              <w:t xml:space="preserve"> 863  </w:t>
            </w:r>
          </w:p>
        </w:tc>
        <w:tc>
          <w:tcPr>
            <w:tcW w:w="1389" w:type="dxa"/>
            <w:tcBorders>
              <w:top w:val="nil"/>
              <w:left w:val="nil"/>
              <w:bottom w:val="nil"/>
              <w:right w:val="nil"/>
            </w:tcBorders>
            <w:shd w:val="clear" w:color="auto" w:fill="auto"/>
            <w:noWrap/>
            <w:vAlign w:val="bottom"/>
            <w:hideMark/>
          </w:tcPr>
          <w:p w14:paraId="1704B4F7"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1.544.414,11</w:t>
            </w:r>
          </w:p>
        </w:tc>
        <w:tc>
          <w:tcPr>
            <w:tcW w:w="1389" w:type="dxa"/>
            <w:tcBorders>
              <w:top w:val="nil"/>
              <w:left w:val="nil"/>
              <w:bottom w:val="nil"/>
              <w:right w:val="nil"/>
            </w:tcBorders>
            <w:shd w:val="clear" w:color="auto" w:fill="auto"/>
            <w:noWrap/>
            <w:vAlign w:val="bottom"/>
            <w:hideMark/>
          </w:tcPr>
          <w:p w14:paraId="2A9F2A45"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1.544.414,11</w:t>
            </w:r>
          </w:p>
        </w:tc>
        <w:tc>
          <w:tcPr>
            <w:tcW w:w="1134" w:type="dxa"/>
            <w:tcBorders>
              <w:top w:val="nil"/>
              <w:left w:val="nil"/>
              <w:bottom w:val="nil"/>
              <w:right w:val="nil"/>
            </w:tcBorders>
            <w:shd w:val="clear" w:color="auto" w:fill="auto"/>
            <w:noWrap/>
            <w:vAlign w:val="bottom"/>
            <w:hideMark/>
          </w:tcPr>
          <w:p w14:paraId="372557EF"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2EAB2E83" w14:textId="30D68DC5"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7</w:t>
            </w:r>
          </w:p>
        </w:tc>
      </w:tr>
      <w:tr w:rsidR="005B0FBE" w:rsidRPr="000A763A" w14:paraId="5A1D750B" w14:textId="77777777" w:rsidTr="00220585">
        <w:trPr>
          <w:trHeight w:val="257"/>
        </w:trPr>
        <w:tc>
          <w:tcPr>
            <w:tcW w:w="4819" w:type="dxa"/>
            <w:tcBorders>
              <w:top w:val="nil"/>
              <w:left w:val="nil"/>
              <w:bottom w:val="nil"/>
              <w:right w:val="nil"/>
            </w:tcBorders>
            <w:shd w:val="clear" w:color="auto" w:fill="auto"/>
            <w:vAlign w:val="bottom"/>
            <w:hideMark/>
          </w:tcPr>
          <w:p w14:paraId="1D94F123"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 xml:space="preserve">IV Anni </w:t>
            </w:r>
            <w:proofErr w:type="spellStart"/>
            <w:r w:rsidRPr="005F0C4A">
              <w:rPr>
                <w:rFonts w:eastAsia="Times New Roman" w:cs="Calibri"/>
                <w:color w:val="000000"/>
                <w:sz w:val="16"/>
                <w:szCs w:val="16"/>
                <w:lang w:eastAsia="en-US"/>
              </w:rPr>
              <w:t>IeFP</w:t>
            </w:r>
            <w:proofErr w:type="spellEnd"/>
            <w:r w:rsidRPr="005F0C4A">
              <w:rPr>
                <w:rFonts w:eastAsia="Times New Roman" w:cs="Calibri"/>
                <w:color w:val="000000"/>
                <w:sz w:val="16"/>
                <w:szCs w:val="16"/>
                <w:lang w:eastAsia="en-US"/>
              </w:rPr>
              <w:t>*</w:t>
            </w:r>
          </w:p>
        </w:tc>
        <w:tc>
          <w:tcPr>
            <w:tcW w:w="1389" w:type="dxa"/>
            <w:tcBorders>
              <w:top w:val="nil"/>
              <w:left w:val="nil"/>
              <w:bottom w:val="nil"/>
              <w:right w:val="nil"/>
            </w:tcBorders>
            <w:shd w:val="clear" w:color="auto" w:fill="auto"/>
            <w:noWrap/>
            <w:vAlign w:val="bottom"/>
            <w:hideMark/>
          </w:tcPr>
          <w:p w14:paraId="75F39943"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81.190.762,87</w:t>
            </w:r>
          </w:p>
        </w:tc>
        <w:tc>
          <w:tcPr>
            <w:tcW w:w="1389" w:type="dxa"/>
            <w:tcBorders>
              <w:top w:val="nil"/>
              <w:left w:val="nil"/>
              <w:bottom w:val="nil"/>
              <w:right w:val="nil"/>
            </w:tcBorders>
            <w:shd w:val="clear" w:color="auto" w:fill="auto"/>
            <w:noWrap/>
            <w:vAlign w:val="bottom"/>
            <w:hideMark/>
          </w:tcPr>
          <w:p w14:paraId="1D4B9F78"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81.190.762,87</w:t>
            </w:r>
          </w:p>
        </w:tc>
        <w:tc>
          <w:tcPr>
            <w:tcW w:w="1134" w:type="dxa"/>
            <w:tcBorders>
              <w:top w:val="nil"/>
              <w:left w:val="nil"/>
              <w:bottom w:val="nil"/>
              <w:right w:val="nil"/>
            </w:tcBorders>
            <w:shd w:val="clear" w:color="auto" w:fill="auto"/>
            <w:noWrap/>
            <w:vAlign w:val="bottom"/>
            <w:hideMark/>
          </w:tcPr>
          <w:p w14:paraId="79318972"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7C72C5DC" w14:textId="32097E8E"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18.486</w:t>
            </w:r>
          </w:p>
        </w:tc>
      </w:tr>
      <w:tr w:rsidR="005B0FBE" w:rsidRPr="000A763A" w14:paraId="246C85E2" w14:textId="77777777" w:rsidTr="00220585">
        <w:trPr>
          <w:trHeight w:val="174"/>
        </w:trPr>
        <w:tc>
          <w:tcPr>
            <w:tcW w:w="4819" w:type="dxa"/>
            <w:tcBorders>
              <w:top w:val="nil"/>
              <w:left w:val="nil"/>
              <w:bottom w:val="nil"/>
              <w:right w:val="nil"/>
            </w:tcBorders>
            <w:shd w:val="clear" w:color="auto" w:fill="auto"/>
            <w:vAlign w:val="bottom"/>
            <w:hideMark/>
          </w:tcPr>
          <w:p w14:paraId="37200508"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Lombardia Plus 2019/2020 - Linea Smart</w:t>
            </w:r>
          </w:p>
        </w:tc>
        <w:tc>
          <w:tcPr>
            <w:tcW w:w="1389" w:type="dxa"/>
            <w:tcBorders>
              <w:top w:val="nil"/>
              <w:left w:val="nil"/>
              <w:bottom w:val="nil"/>
              <w:right w:val="nil"/>
            </w:tcBorders>
            <w:shd w:val="clear" w:color="auto" w:fill="auto"/>
            <w:noWrap/>
            <w:vAlign w:val="bottom"/>
            <w:hideMark/>
          </w:tcPr>
          <w:p w14:paraId="626DDC2C"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1.974.216,75</w:t>
            </w:r>
          </w:p>
        </w:tc>
        <w:tc>
          <w:tcPr>
            <w:tcW w:w="1389" w:type="dxa"/>
            <w:tcBorders>
              <w:top w:val="nil"/>
              <w:left w:val="nil"/>
              <w:bottom w:val="nil"/>
              <w:right w:val="nil"/>
            </w:tcBorders>
            <w:shd w:val="clear" w:color="auto" w:fill="auto"/>
            <w:noWrap/>
            <w:vAlign w:val="bottom"/>
            <w:hideMark/>
          </w:tcPr>
          <w:p w14:paraId="2BA45CC7"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hideMark/>
          </w:tcPr>
          <w:p w14:paraId="5B87FB22"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0ABA3413" w14:textId="3148EC12"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29</w:t>
            </w:r>
          </w:p>
        </w:tc>
      </w:tr>
      <w:tr w:rsidR="005B0FBE" w:rsidRPr="000A763A" w14:paraId="00613E0D" w14:textId="77777777" w:rsidTr="00AF58DF">
        <w:trPr>
          <w:trHeight w:val="345"/>
        </w:trPr>
        <w:tc>
          <w:tcPr>
            <w:tcW w:w="4819" w:type="dxa"/>
            <w:tcBorders>
              <w:top w:val="nil"/>
              <w:left w:val="nil"/>
              <w:bottom w:val="nil"/>
              <w:right w:val="nil"/>
            </w:tcBorders>
            <w:shd w:val="clear" w:color="auto" w:fill="auto"/>
            <w:vAlign w:val="bottom"/>
            <w:hideMark/>
          </w:tcPr>
          <w:p w14:paraId="725905CA"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POR FSE 2014-2020: Avviso Lombardia Plus*</w:t>
            </w:r>
          </w:p>
        </w:tc>
        <w:tc>
          <w:tcPr>
            <w:tcW w:w="1389" w:type="dxa"/>
            <w:tcBorders>
              <w:top w:val="nil"/>
              <w:left w:val="nil"/>
              <w:bottom w:val="nil"/>
              <w:right w:val="nil"/>
            </w:tcBorders>
            <w:shd w:val="clear" w:color="auto" w:fill="auto"/>
            <w:noWrap/>
            <w:vAlign w:val="bottom"/>
            <w:hideMark/>
          </w:tcPr>
          <w:p w14:paraId="5C401CA7"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8.772.253,22</w:t>
            </w:r>
          </w:p>
        </w:tc>
        <w:tc>
          <w:tcPr>
            <w:tcW w:w="1389" w:type="dxa"/>
            <w:tcBorders>
              <w:top w:val="nil"/>
              <w:left w:val="nil"/>
              <w:bottom w:val="nil"/>
              <w:right w:val="nil"/>
            </w:tcBorders>
            <w:shd w:val="clear" w:color="auto" w:fill="auto"/>
            <w:noWrap/>
            <w:vAlign w:val="bottom"/>
            <w:hideMark/>
          </w:tcPr>
          <w:p w14:paraId="22981FB1"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8.478.673,23</w:t>
            </w:r>
          </w:p>
        </w:tc>
        <w:tc>
          <w:tcPr>
            <w:tcW w:w="1134" w:type="dxa"/>
            <w:tcBorders>
              <w:top w:val="nil"/>
              <w:left w:val="nil"/>
              <w:bottom w:val="nil"/>
              <w:right w:val="nil"/>
            </w:tcBorders>
            <w:shd w:val="clear" w:color="auto" w:fill="auto"/>
            <w:noWrap/>
            <w:vAlign w:val="bottom"/>
            <w:hideMark/>
          </w:tcPr>
          <w:p w14:paraId="410487CB"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96,65%</w:t>
            </w:r>
          </w:p>
        </w:tc>
        <w:tc>
          <w:tcPr>
            <w:tcW w:w="1020" w:type="dxa"/>
            <w:tcBorders>
              <w:top w:val="nil"/>
              <w:left w:val="nil"/>
              <w:bottom w:val="nil"/>
              <w:right w:val="nil"/>
            </w:tcBorders>
            <w:shd w:val="clear" w:color="auto" w:fill="auto"/>
            <w:noWrap/>
            <w:vAlign w:val="bottom"/>
            <w:hideMark/>
          </w:tcPr>
          <w:p w14:paraId="65DA3CF4" w14:textId="55954A40"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75</w:t>
            </w:r>
          </w:p>
        </w:tc>
      </w:tr>
      <w:tr w:rsidR="005B0FBE" w:rsidRPr="000A763A" w14:paraId="7A2EAAAD" w14:textId="77777777" w:rsidTr="00AF58DF">
        <w:trPr>
          <w:trHeight w:val="600"/>
        </w:trPr>
        <w:tc>
          <w:tcPr>
            <w:tcW w:w="4819" w:type="dxa"/>
            <w:tcBorders>
              <w:top w:val="nil"/>
              <w:left w:val="nil"/>
              <w:bottom w:val="nil"/>
              <w:right w:val="nil"/>
            </w:tcBorders>
            <w:shd w:val="clear" w:color="auto" w:fill="auto"/>
            <w:vAlign w:val="bottom"/>
            <w:hideMark/>
          </w:tcPr>
          <w:p w14:paraId="2D96314C"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POR FSE 2014-2020: Avviso per la presentazione di manifestazioni di interesse per la costituzione di nuove Fondazioni di Istituti Tecnici Superiori</w:t>
            </w:r>
          </w:p>
        </w:tc>
        <w:tc>
          <w:tcPr>
            <w:tcW w:w="1389" w:type="dxa"/>
            <w:tcBorders>
              <w:top w:val="nil"/>
              <w:left w:val="nil"/>
              <w:bottom w:val="nil"/>
              <w:right w:val="nil"/>
            </w:tcBorders>
            <w:shd w:val="clear" w:color="auto" w:fill="auto"/>
            <w:noWrap/>
            <w:vAlign w:val="bottom"/>
            <w:hideMark/>
          </w:tcPr>
          <w:p w14:paraId="75EDE967"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1.276.401,80</w:t>
            </w:r>
          </w:p>
        </w:tc>
        <w:tc>
          <w:tcPr>
            <w:tcW w:w="1389" w:type="dxa"/>
            <w:tcBorders>
              <w:top w:val="nil"/>
              <w:left w:val="nil"/>
              <w:bottom w:val="nil"/>
              <w:right w:val="nil"/>
            </w:tcBorders>
            <w:shd w:val="clear" w:color="auto" w:fill="auto"/>
            <w:noWrap/>
            <w:vAlign w:val="bottom"/>
            <w:hideMark/>
          </w:tcPr>
          <w:p w14:paraId="432016DE"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1.276.401,80</w:t>
            </w:r>
          </w:p>
        </w:tc>
        <w:tc>
          <w:tcPr>
            <w:tcW w:w="1134" w:type="dxa"/>
            <w:tcBorders>
              <w:top w:val="nil"/>
              <w:left w:val="nil"/>
              <w:bottom w:val="nil"/>
              <w:right w:val="nil"/>
            </w:tcBorders>
            <w:shd w:val="clear" w:color="auto" w:fill="auto"/>
            <w:noWrap/>
            <w:vAlign w:val="bottom"/>
            <w:hideMark/>
          </w:tcPr>
          <w:p w14:paraId="411A25A1"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2322694E" w14:textId="5B4E5FAD"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13</w:t>
            </w:r>
          </w:p>
        </w:tc>
      </w:tr>
      <w:tr w:rsidR="005B0FBE" w:rsidRPr="000A763A" w14:paraId="0D0F1335" w14:textId="77777777" w:rsidTr="00220585">
        <w:trPr>
          <w:trHeight w:val="401"/>
        </w:trPr>
        <w:tc>
          <w:tcPr>
            <w:tcW w:w="4819" w:type="dxa"/>
            <w:tcBorders>
              <w:top w:val="nil"/>
              <w:left w:val="nil"/>
              <w:bottom w:val="nil"/>
              <w:right w:val="nil"/>
            </w:tcBorders>
            <w:shd w:val="clear" w:color="auto" w:fill="auto"/>
            <w:vAlign w:val="bottom"/>
            <w:hideMark/>
          </w:tcPr>
          <w:p w14:paraId="6B56AAC7"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POR FSE 2014-2020: Nuovi progetti di Istruzione e Formazione Tecnica Superiore (IFTS)*</w:t>
            </w:r>
          </w:p>
        </w:tc>
        <w:tc>
          <w:tcPr>
            <w:tcW w:w="1389" w:type="dxa"/>
            <w:tcBorders>
              <w:top w:val="nil"/>
              <w:left w:val="nil"/>
              <w:bottom w:val="nil"/>
              <w:right w:val="nil"/>
            </w:tcBorders>
            <w:shd w:val="clear" w:color="auto" w:fill="auto"/>
            <w:noWrap/>
            <w:vAlign w:val="bottom"/>
            <w:hideMark/>
          </w:tcPr>
          <w:p w14:paraId="76E27EEA"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16.076.777,76</w:t>
            </w:r>
          </w:p>
        </w:tc>
        <w:tc>
          <w:tcPr>
            <w:tcW w:w="1389" w:type="dxa"/>
            <w:tcBorders>
              <w:top w:val="nil"/>
              <w:left w:val="nil"/>
              <w:bottom w:val="nil"/>
              <w:right w:val="nil"/>
            </w:tcBorders>
            <w:shd w:val="clear" w:color="auto" w:fill="auto"/>
            <w:noWrap/>
            <w:vAlign w:val="bottom"/>
            <w:hideMark/>
          </w:tcPr>
          <w:p w14:paraId="6A2BC321"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8.015.977,76</w:t>
            </w:r>
          </w:p>
        </w:tc>
        <w:tc>
          <w:tcPr>
            <w:tcW w:w="1134" w:type="dxa"/>
            <w:tcBorders>
              <w:top w:val="nil"/>
              <w:left w:val="nil"/>
              <w:bottom w:val="nil"/>
              <w:right w:val="nil"/>
            </w:tcBorders>
            <w:shd w:val="clear" w:color="auto" w:fill="auto"/>
            <w:noWrap/>
            <w:vAlign w:val="bottom"/>
            <w:hideMark/>
          </w:tcPr>
          <w:p w14:paraId="2BE9A706"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49,86%</w:t>
            </w:r>
          </w:p>
        </w:tc>
        <w:tc>
          <w:tcPr>
            <w:tcW w:w="1020" w:type="dxa"/>
            <w:tcBorders>
              <w:top w:val="nil"/>
              <w:left w:val="nil"/>
              <w:bottom w:val="nil"/>
              <w:right w:val="nil"/>
            </w:tcBorders>
            <w:shd w:val="clear" w:color="auto" w:fill="auto"/>
            <w:noWrap/>
            <w:vAlign w:val="bottom"/>
            <w:hideMark/>
          </w:tcPr>
          <w:p w14:paraId="3DB96972" w14:textId="68B9554C"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249</w:t>
            </w:r>
          </w:p>
        </w:tc>
      </w:tr>
      <w:tr w:rsidR="005B0FBE" w:rsidRPr="000A763A" w14:paraId="4966304D" w14:textId="77777777" w:rsidTr="00220585">
        <w:trPr>
          <w:trHeight w:val="137"/>
        </w:trPr>
        <w:tc>
          <w:tcPr>
            <w:tcW w:w="4819" w:type="dxa"/>
            <w:tcBorders>
              <w:top w:val="nil"/>
              <w:left w:val="nil"/>
              <w:bottom w:val="nil"/>
              <w:right w:val="nil"/>
            </w:tcBorders>
            <w:shd w:val="clear" w:color="auto" w:fill="auto"/>
            <w:vAlign w:val="bottom"/>
            <w:hideMark/>
          </w:tcPr>
          <w:p w14:paraId="16609519"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POR FSE 2014-2020: Offerta formativa ITS*</w:t>
            </w:r>
          </w:p>
        </w:tc>
        <w:tc>
          <w:tcPr>
            <w:tcW w:w="1389" w:type="dxa"/>
            <w:tcBorders>
              <w:top w:val="nil"/>
              <w:left w:val="nil"/>
              <w:bottom w:val="nil"/>
              <w:right w:val="nil"/>
            </w:tcBorders>
            <w:shd w:val="clear" w:color="auto" w:fill="auto"/>
            <w:noWrap/>
            <w:vAlign w:val="bottom"/>
            <w:hideMark/>
          </w:tcPr>
          <w:p w14:paraId="1244A671"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24.040.765,38</w:t>
            </w:r>
          </w:p>
        </w:tc>
        <w:tc>
          <w:tcPr>
            <w:tcW w:w="1389" w:type="dxa"/>
            <w:tcBorders>
              <w:top w:val="nil"/>
              <w:left w:val="nil"/>
              <w:bottom w:val="nil"/>
              <w:right w:val="nil"/>
            </w:tcBorders>
            <w:shd w:val="clear" w:color="auto" w:fill="auto"/>
            <w:noWrap/>
            <w:vAlign w:val="bottom"/>
            <w:hideMark/>
          </w:tcPr>
          <w:p w14:paraId="6EB20607"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10.488.810,29</w:t>
            </w:r>
          </w:p>
        </w:tc>
        <w:tc>
          <w:tcPr>
            <w:tcW w:w="1134" w:type="dxa"/>
            <w:tcBorders>
              <w:top w:val="nil"/>
              <w:left w:val="nil"/>
              <w:bottom w:val="nil"/>
              <w:right w:val="nil"/>
            </w:tcBorders>
            <w:shd w:val="clear" w:color="auto" w:fill="auto"/>
            <w:noWrap/>
            <w:vAlign w:val="bottom"/>
            <w:hideMark/>
          </w:tcPr>
          <w:p w14:paraId="3E9E3799"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43,63%</w:t>
            </w:r>
          </w:p>
        </w:tc>
        <w:tc>
          <w:tcPr>
            <w:tcW w:w="1020" w:type="dxa"/>
            <w:tcBorders>
              <w:top w:val="nil"/>
              <w:left w:val="nil"/>
              <w:bottom w:val="nil"/>
              <w:right w:val="nil"/>
            </w:tcBorders>
            <w:shd w:val="clear" w:color="auto" w:fill="auto"/>
            <w:noWrap/>
            <w:vAlign w:val="bottom"/>
            <w:hideMark/>
          </w:tcPr>
          <w:p w14:paraId="56C7C890" w14:textId="290A4291"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91</w:t>
            </w:r>
          </w:p>
        </w:tc>
      </w:tr>
      <w:tr w:rsidR="005B0FBE" w:rsidRPr="000A763A" w14:paraId="1F36E242" w14:textId="77777777" w:rsidTr="00220585">
        <w:trPr>
          <w:trHeight w:val="367"/>
        </w:trPr>
        <w:tc>
          <w:tcPr>
            <w:tcW w:w="4819" w:type="dxa"/>
            <w:tcBorders>
              <w:top w:val="nil"/>
              <w:left w:val="nil"/>
              <w:bottom w:val="single" w:sz="4" w:space="0" w:color="305496"/>
              <w:right w:val="nil"/>
            </w:tcBorders>
            <w:shd w:val="clear" w:color="auto" w:fill="auto"/>
            <w:vAlign w:val="bottom"/>
            <w:hideMark/>
          </w:tcPr>
          <w:p w14:paraId="7057DAB4" w14:textId="77777777" w:rsidR="005B0FBE" w:rsidRPr="005F0C4A" w:rsidRDefault="005B0FBE" w:rsidP="00AF58DF">
            <w:pPr>
              <w:jc w:val="left"/>
              <w:rPr>
                <w:rFonts w:eastAsia="Times New Roman" w:cs="Calibri"/>
                <w:color w:val="000000"/>
                <w:sz w:val="16"/>
                <w:szCs w:val="16"/>
                <w:lang w:eastAsia="en-US"/>
              </w:rPr>
            </w:pPr>
            <w:r w:rsidRPr="005F0C4A">
              <w:rPr>
                <w:rFonts w:eastAsia="Times New Roman" w:cs="Calibri"/>
                <w:color w:val="000000"/>
                <w:sz w:val="16"/>
                <w:szCs w:val="16"/>
                <w:lang w:eastAsia="en-US"/>
              </w:rPr>
              <w:t>POR FSE 2014-2020: Percorsi di Istruzione e Formazione Professionale – IV anno - 2015/2016</w:t>
            </w:r>
          </w:p>
        </w:tc>
        <w:tc>
          <w:tcPr>
            <w:tcW w:w="1389" w:type="dxa"/>
            <w:tcBorders>
              <w:top w:val="nil"/>
              <w:left w:val="nil"/>
              <w:bottom w:val="single" w:sz="4" w:space="0" w:color="305496"/>
              <w:right w:val="nil"/>
            </w:tcBorders>
            <w:shd w:val="clear" w:color="auto" w:fill="auto"/>
            <w:noWrap/>
            <w:vAlign w:val="bottom"/>
            <w:hideMark/>
          </w:tcPr>
          <w:p w14:paraId="756E1855"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18.990.490,74</w:t>
            </w:r>
          </w:p>
        </w:tc>
        <w:tc>
          <w:tcPr>
            <w:tcW w:w="1389" w:type="dxa"/>
            <w:tcBorders>
              <w:top w:val="nil"/>
              <w:left w:val="nil"/>
              <w:bottom w:val="single" w:sz="4" w:space="0" w:color="305496"/>
              <w:right w:val="nil"/>
            </w:tcBorders>
            <w:shd w:val="clear" w:color="auto" w:fill="auto"/>
            <w:noWrap/>
            <w:vAlign w:val="bottom"/>
            <w:hideMark/>
          </w:tcPr>
          <w:p w14:paraId="1BA87948"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18.990.490,74</w:t>
            </w:r>
          </w:p>
        </w:tc>
        <w:tc>
          <w:tcPr>
            <w:tcW w:w="1134" w:type="dxa"/>
            <w:tcBorders>
              <w:top w:val="nil"/>
              <w:left w:val="nil"/>
              <w:bottom w:val="single" w:sz="4" w:space="0" w:color="305496"/>
              <w:right w:val="nil"/>
            </w:tcBorders>
            <w:shd w:val="clear" w:color="auto" w:fill="auto"/>
            <w:noWrap/>
            <w:vAlign w:val="bottom"/>
            <w:hideMark/>
          </w:tcPr>
          <w:p w14:paraId="29417123" w14:textId="77777777"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100,00%</w:t>
            </w:r>
          </w:p>
        </w:tc>
        <w:tc>
          <w:tcPr>
            <w:tcW w:w="1020" w:type="dxa"/>
            <w:tcBorders>
              <w:top w:val="nil"/>
              <w:left w:val="nil"/>
              <w:bottom w:val="single" w:sz="4" w:space="0" w:color="305496"/>
              <w:right w:val="nil"/>
            </w:tcBorders>
            <w:shd w:val="clear" w:color="auto" w:fill="auto"/>
            <w:noWrap/>
            <w:vAlign w:val="bottom"/>
            <w:hideMark/>
          </w:tcPr>
          <w:p w14:paraId="4E9E051C" w14:textId="09A8751E" w:rsidR="005B0FBE" w:rsidRPr="005F0C4A" w:rsidRDefault="005B0FBE" w:rsidP="00AF58DF">
            <w:pPr>
              <w:jc w:val="right"/>
              <w:rPr>
                <w:rFonts w:eastAsia="Times New Roman" w:cs="Calibri"/>
                <w:color w:val="000000"/>
                <w:sz w:val="16"/>
                <w:szCs w:val="16"/>
                <w:lang w:eastAsia="en-US"/>
              </w:rPr>
            </w:pPr>
            <w:r w:rsidRPr="005F0C4A">
              <w:rPr>
                <w:rFonts w:eastAsia="Times New Roman" w:cs="Calibri"/>
                <w:color w:val="000000"/>
                <w:sz w:val="16"/>
                <w:szCs w:val="16"/>
                <w:lang w:eastAsia="en-US"/>
              </w:rPr>
              <w:t>4.290</w:t>
            </w:r>
          </w:p>
        </w:tc>
      </w:tr>
    </w:tbl>
    <w:p w14:paraId="1792C4B6" w14:textId="77777777" w:rsidR="005B0FBE" w:rsidRDefault="005B0FBE" w:rsidP="005B0FBE">
      <w:pPr>
        <w:rPr>
          <w:sz w:val="18"/>
          <w:szCs w:val="18"/>
        </w:rPr>
      </w:pPr>
      <w:r>
        <w:rPr>
          <w:sz w:val="18"/>
          <w:szCs w:val="18"/>
        </w:rPr>
        <w:t>Fonte: Dati di monitoraggio forniti da Regione Lombardia aggiornati al 31.12.2020.</w:t>
      </w:r>
    </w:p>
    <w:p w14:paraId="74913F93" w14:textId="77777777" w:rsidR="005B0FBE" w:rsidRDefault="005B0FBE" w:rsidP="005B0FBE">
      <w:pPr>
        <w:rPr>
          <w:sz w:val="18"/>
          <w:szCs w:val="18"/>
        </w:rPr>
      </w:pPr>
      <w:r w:rsidRPr="009E3807">
        <w:rPr>
          <w:sz w:val="18"/>
          <w:szCs w:val="18"/>
        </w:rPr>
        <w:t>Nota</w:t>
      </w:r>
      <w:r>
        <w:rPr>
          <w:sz w:val="18"/>
          <w:szCs w:val="18"/>
        </w:rPr>
        <w:t xml:space="preserve">: * Questi interventi sono stati riaggregati secondo quanto riportato nell’allegato </w:t>
      </w:r>
      <w:r w:rsidR="00220585">
        <w:rPr>
          <w:sz w:val="18"/>
          <w:szCs w:val="18"/>
        </w:rPr>
        <w:t>A.</w:t>
      </w:r>
    </w:p>
    <w:p w14:paraId="0340D2DB" w14:textId="77777777" w:rsidR="005B0FBE" w:rsidRDefault="005B0FBE" w:rsidP="005B0FBE">
      <w:pPr>
        <w:rPr>
          <w:sz w:val="18"/>
          <w:szCs w:val="18"/>
        </w:rPr>
      </w:pPr>
    </w:p>
    <w:p w14:paraId="68E5D720" w14:textId="77777777" w:rsidR="005B6554" w:rsidRDefault="005B6554" w:rsidP="00D64C6C">
      <w:pPr>
        <w:rPr>
          <w:rFonts w:asciiTheme="majorHAnsi" w:eastAsiaTheme="majorEastAsia" w:hAnsiTheme="majorHAnsi" w:cstheme="majorBidi"/>
          <w:color w:val="940B0B" w:themeColor="accent1" w:themeShade="7F"/>
        </w:rPr>
      </w:pPr>
    </w:p>
    <w:p w14:paraId="547ACFFA" w14:textId="77777777" w:rsidR="00D64C6C" w:rsidRDefault="00D64C6C" w:rsidP="00D64C6C">
      <w:r>
        <w:t xml:space="preserve">La tabella che segue riporta l’avanzamento finanziario degli assi del </w:t>
      </w:r>
      <w:r w:rsidRPr="005B6554">
        <w:rPr>
          <w:b/>
          <w:bCs/>
        </w:rPr>
        <w:t>POR FESR</w:t>
      </w:r>
      <w:r>
        <w:t xml:space="preserve"> che contribuiscono agli obiettivi dell’area socio-economica, al 31 dicembre 2020. Gli assi dell’area socio-economica rappresentano</w:t>
      </w:r>
      <w:r w:rsidR="00CB778A">
        <w:t xml:space="preserve"> poco meno del 3% della dotazione finanziaria del FESR per</w:t>
      </w:r>
      <w:r>
        <w:t xml:space="preserve"> un ammontare di </w:t>
      </w:r>
      <w:r w:rsidR="00CB778A">
        <w:t>28</w:t>
      </w:r>
      <w:r>
        <w:t>,</w:t>
      </w:r>
      <w:r w:rsidR="00CB778A">
        <w:t>2</w:t>
      </w:r>
      <w:r>
        <w:t xml:space="preserve"> milioni di euro, dei quali </w:t>
      </w:r>
      <w:r w:rsidR="00CB778A">
        <w:t>9,2</w:t>
      </w:r>
      <w:r>
        <w:t xml:space="preserve"> milioni di euro relativi all’</w:t>
      </w:r>
      <w:r w:rsidR="005B6554">
        <w:t>A</w:t>
      </w:r>
      <w:r>
        <w:t xml:space="preserve">sse </w:t>
      </w:r>
      <w:r w:rsidR="00CB778A">
        <w:t>V</w:t>
      </w:r>
      <w:r w:rsidR="002D23C1">
        <w:t xml:space="preserve"> e</w:t>
      </w:r>
      <w:r w:rsidR="00CB778A">
        <w:t xml:space="preserve"> 19</w:t>
      </w:r>
      <w:r>
        <w:t xml:space="preserve"> milioni di euro all’</w:t>
      </w:r>
      <w:r w:rsidR="005B6554">
        <w:t>A</w:t>
      </w:r>
      <w:r>
        <w:t xml:space="preserve">sse </w:t>
      </w:r>
      <w:r w:rsidR="00530BA2">
        <w:t>V</w:t>
      </w:r>
      <w:r>
        <w:t>I. Complessivamente</w:t>
      </w:r>
      <w:r w:rsidR="00220585">
        <w:t>,</w:t>
      </w:r>
      <w:r>
        <w:t xml:space="preserve"> </w:t>
      </w:r>
      <w:r w:rsidR="00107505">
        <w:t>più della metà</w:t>
      </w:r>
      <w:r>
        <w:t xml:space="preserve"> delle risorse programmate per l’area </w:t>
      </w:r>
      <w:r w:rsidR="00D06F76">
        <w:t>socio-</w:t>
      </w:r>
      <w:r>
        <w:t>economica (</w:t>
      </w:r>
      <w:r w:rsidR="00107505">
        <w:t>67,13</w:t>
      </w:r>
      <w:r>
        <w:t>%) sono già state impegnate, tuttavia sol</w:t>
      </w:r>
      <w:r w:rsidR="00107505">
        <w:t>amente il 6,96</w:t>
      </w:r>
      <w:r>
        <w:t xml:space="preserve">% delle risorse programmate è stato effettivamente speso. </w:t>
      </w:r>
      <w:r w:rsidR="00D06F76">
        <w:t xml:space="preserve">Si tratta di </w:t>
      </w:r>
      <w:r w:rsidR="002D23C1">
        <w:t xml:space="preserve">una percentuale di </w:t>
      </w:r>
      <w:r w:rsidR="00107505">
        <w:t xml:space="preserve">realizzazione </w:t>
      </w:r>
      <w:r w:rsidR="002D23C1">
        <w:t>dei pagamenti</w:t>
      </w:r>
      <w:r w:rsidR="00107505">
        <w:t xml:space="preserve"> molto inferiore alla media del FESR (34,47%). Nonostante l</w:t>
      </w:r>
      <w:r w:rsidR="00CE6BCE">
        <w:t>a percentuale dell’ammontare impegnato rispetto al programmato sia molto più elevata per l’</w:t>
      </w:r>
      <w:r w:rsidR="00D06F76">
        <w:t>A</w:t>
      </w:r>
      <w:r w:rsidR="00107505">
        <w:t xml:space="preserve">sse V </w:t>
      </w:r>
      <w:r w:rsidR="00CE6BCE">
        <w:t>rispetto all’</w:t>
      </w:r>
      <w:r w:rsidR="00D06F76">
        <w:t>A</w:t>
      </w:r>
      <w:r w:rsidR="00CE6BCE">
        <w:t>sse</w:t>
      </w:r>
      <w:r w:rsidR="00107505">
        <w:t xml:space="preserve"> VI</w:t>
      </w:r>
      <w:r w:rsidR="00CE6BCE">
        <w:t xml:space="preserve">, entrambi </w:t>
      </w:r>
      <w:r w:rsidR="00D06F76">
        <w:t>gli assi</w:t>
      </w:r>
      <w:r w:rsidR="00FC18AD">
        <w:t>,</w:t>
      </w:r>
      <w:r w:rsidR="00CE6BCE">
        <w:t xml:space="preserve"> a fine 2020</w:t>
      </w:r>
      <w:r w:rsidR="00FC18AD">
        <w:t>,</w:t>
      </w:r>
      <w:r w:rsidR="00CE6BCE">
        <w:t xml:space="preserve"> riportano rimborsi ai beneficiari pari a circa 6,9% delle rispettive dotazioni finanziarie.</w:t>
      </w:r>
    </w:p>
    <w:p w14:paraId="06898323" w14:textId="77777777" w:rsidR="00D748D3" w:rsidRDefault="00D748D3" w:rsidP="00D64C6C"/>
    <w:p w14:paraId="64789CF8" w14:textId="77777777" w:rsidR="00E5782E" w:rsidRDefault="00E5782E" w:rsidP="00E5782E">
      <w:pPr>
        <w:pStyle w:val="Didascalia"/>
      </w:pPr>
      <w:bookmarkStart w:id="53" w:name="_Toc91081446"/>
      <w:r>
        <w:t xml:space="preserve">Tabella </w:t>
      </w:r>
      <w:r w:rsidR="004E6566">
        <w:fldChar w:fldCharType="begin"/>
      </w:r>
      <w:r>
        <w:instrText xml:space="preserve"> SEQ Tabella \* ARABIC </w:instrText>
      </w:r>
      <w:r w:rsidR="004E6566">
        <w:fldChar w:fldCharType="separate"/>
      </w:r>
      <w:r w:rsidR="00E53D6C">
        <w:rPr>
          <w:noProof/>
        </w:rPr>
        <w:t>20</w:t>
      </w:r>
      <w:r w:rsidR="004E6566">
        <w:fldChar w:fldCharType="end"/>
      </w:r>
      <w:r w:rsidR="001230B4">
        <w:t>. A</w:t>
      </w:r>
      <w:r>
        <w:t>vanzamento degli assi FESR - Area socio-economica – fine 2020</w:t>
      </w:r>
      <w:bookmarkEnd w:id="53"/>
    </w:p>
    <w:tbl>
      <w:tblPr>
        <w:tblW w:w="9809" w:type="dxa"/>
        <w:tblLayout w:type="fixed"/>
        <w:tblLook w:val="04A0" w:firstRow="1" w:lastRow="0" w:firstColumn="1" w:lastColumn="0" w:noHBand="0" w:noVBand="1"/>
      </w:tblPr>
      <w:tblGrid>
        <w:gridCol w:w="3798"/>
        <w:gridCol w:w="1361"/>
        <w:gridCol w:w="1361"/>
        <w:gridCol w:w="1361"/>
        <w:gridCol w:w="964"/>
        <w:gridCol w:w="964"/>
      </w:tblGrid>
      <w:tr w:rsidR="005E75CE" w:rsidRPr="00220585" w14:paraId="18580F60" w14:textId="77777777" w:rsidTr="001A51AA">
        <w:trPr>
          <w:trHeight w:val="345"/>
        </w:trPr>
        <w:tc>
          <w:tcPr>
            <w:tcW w:w="3798" w:type="dxa"/>
            <w:tcBorders>
              <w:top w:val="nil"/>
              <w:left w:val="nil"/>
              <w:bottom w:val="nil"/>
              <w:right w:val="nil"/>
            </w:tcBorders>
            <w:shd w:val="clear" w:color="auto" w:fill="669748" w:themeFill="accent2" w:themeFillShade="BF"/>
            <w:noWrap/>
            <w:vAlign w:val="bottom"/>
            <w:hideMark/>
          </w:tcPr>
          <w:p w14:paraId="022ACC56" w14:textId="77777777" w:rsidR="005E75CE" w:rsidRPr="00220585" w:rsidRDefault="005E75CE" w:rsidP="005E75CE">
            <w:pPr>
              <w:jc w:val="left"/>
              <w:rPr>
                <w:rFonts w:eastAsia="Times New Roman" w:cs="Calibri"/>
                <w:b/>
                <w:bCs/>
                <w:color w:val="FFFFFF"/>
                <w:sz w:val="16"/>
                <w:szCs w:val="16"/>
                <w:lang w:eastAsia="en-US"/>
              </w:rPr>
            </w:pPr>
            <w:r w:rsidRPr="00220585">
              <w:rPr>
                <w:rFonts w:eastAsia="Times New Roman" w:cs="Calibri"/>
                <w:b/>
                <w:bCs/>
                <w:color w:val="FFFFFF"/>
                <w:sz w:val="16"/>
                <w:szCs w:val="16"/>
                <w:lang w:eastAsia="en-US"/>
              </w:rPr>
              <w:t>Area</w:t>
            </w:r>
          </w:p>
        </w:tc>
        <w:tc>
          <w:tcPr>
            <w:tcW w:w="1361" w:type="dxa"/>
            <w:tcBorders>
              <w:top w:val="nil"/>
              <w:left w:val="nil"/>
              <w:bottom w:val="nil"/>
              <w:right w:val="nil"/>
            </w:tcBorders>
            <w:shd w:val="clear" w:color="auto" w:fill="669748" w:themeFill="accent2" w:themeFillShade="BF"/>
            <w:noWrap/>
            <w:vAlign w:val="bottom"/>
            <w:hideMark/>
          </w:tcPr>
          <w:p w14:paraId="3EEDA47B" w14:textId="77777777" w:rsidR="005E75CE" w:rsidRPr="00220585" w:rsidRDefault="005E75CE" w:rsidP="00033A16">
            <w:pPr>
              <w:jc w:val="right"/>
              <w:rPr>
                <w:rFonts w:eastAsia="Times New Roman" w:cs="Calibri"/>
                <w:b/>
                <w:bCs/>
                <w:color w:val="FFFFFF"/>
                <w:sz w:val="16"/>
                <w:szCs w:val="16"/>
                <w:lang w:eastAsia="en-US"/>
              </w:rPr>
            </w:pPr>
            <w:r w:rsidRPr="00220585">
              <w:rPr>
                <w:rFonts w:eastAsia="Times New Roman" w:cs="Calibri"/>
                <w:b/>
                <w:bCs/>
                <w:color w:val="FFFFFF"/>
                <w:sz w:val="16"/>
                <w:szCs w:val="16"/>
                <w:lang w:eastAsia="en-US"/>
              </w:rPr>
              <w:t>A - Importo programmato</w:t>
            </w:r>
            <w:r w:rsidRPr="00220585">
              <w:rPr>
                <w:rFonts w:eastAsia="Times New Roman" w:cs="Calibri"/>
                <w:b/>
                <w:bCs/>
                <w:color w:val="FFFFFF"/>
                <w:sz w:val="16"/>
                <w:szCs w:val="16"/>
                <w:vertAlign w:val="superscript"/>
                <w:lang w:eastAsia="en-US"/>
              </w:rPr>
              <w:t>1</w:t>
            </w:r>
          </w:p>
        </w:tc>
        <w:tc>
          <w:tcPr>
            <w:tcW w:w="1361" w:type="dxa"/>
            <w:tcBorders>
              <w:top w:val="nil"/>
              <w:left w:val="nil"/>
              <w:bottom w:val="nil"/>
              <w:right w:val="nil"/>
            </w:tcBorders>
            <w:shd w:val="clear" w:color="auto" w:fill="669748" w:themeFill="accent2" w:themeFillShade="BF"/>
            <w:noWrap/>
            <w:vAlign w:val="bottom"/>
            <w:hideMark/>
          </w:tcPr>
          <w:p w14:paraId="3DCBE717" w14:textId="77777777" w:rsidR="005E75CE" w:rsidRPr="00220585" w:rsidRDefault="005E75CE" w:rsidP="00033A16">
            <w:pPr>
              <w:jc w:val="right"/>
              <w:rPr>
                <w:rFonts w:eastAsia="Times New Roman" w:cs="Calibri"/>
                <w:b/>
                <w:bCs/>
                <w:color w:val="FFFFFF"/>
                <w:sz w:val="16"/>
                <w:szCs w:val="16"/>
                <w:lang w:eastAsia="en-US"/>
              </w:rPr>
            </w:pPr>
            <w:r w:rsidRPr="00220585">
              <w:rPr>
                <w:rFonts w:eastAsia="Times New Roman" w:cs="Calibri"/>
                <w:b/>
                <w:bCs/>
                <w:color w:val="FFFFFF"/>
                <w:sz w:val="16"/>
                <w:szCs w:val="16"/>
                <w:lang w:eastAsia="en-US"/>
              </w:rPr>
              <w:t>B - Importo impegnato</w:t>
            </w:r>
          </w:p>
        </w:tc>
        <w:tc>
          <w:tcPr>
            <w:tcW w:w="1361" w:type="dxa"/>
            <w:tcBorders>
              <w:top w:val="nil"/>
              <w:left w:val="nil"/>
              <w:bottom w:val="nil"/>
              <w:right w:val="nil"/>
            </w:tcBorders>
            <w:shd w:val="clear" w:color="auto" w:fill="669748" w:themeFill="accent2" w:themeFillShade="BF"/>
            <w:noWrap/>
            <w:vAlign w:val="bottom"/>
            <w:hideMark/>
          </w:tcPr>
          <w:p w14:paraId="526D371E" w14:textId="77777777" w:rsidR="005E75CE" w:rsidRPr="00220585" w:rsidRDefault="005E75CE" w:rsidP="00033A16">
            <w:pPr>
              <w:jc w:val="right"/>
              <w:rPr>
                <w:rFonts w:eastAsia="Times New Roman" w:cs="Calibri"/>
                <w:b/>
                <w:bCs/>
                <w:color w:val="FFFFFF"/>
                <w:sz w:val="16"/>
                <w:szCs w:val="16"/>
                <w:lang w:eastAsia="en-US"/>
              </w:rPr>
            </w:pPr>
            <w:r w:rsidRPr="00220585">
              <w:rPr>
                <w:rFonts w:eastAsia="Times New Roman" w:cs="Calibri"/>
                <w:b/>
                <w:bCs/>
                <w:color w:val="FFFFFF"/>
                <w:sz w:val="16"/>
                <w:szCs w:val="16"/>
                <w:lang w:eastAsia="en-US"/>
              </w:rPr>
              <w:t>C - Spesa ammissibile dichiarata da</w:t>
            </w:r>
            <w:r w:rsidR="00033A16" w:rsidRPr="00220585">
              <w:rPr>
                <w:rFonts w:eastAsia="Times New Roman" w:cs="Calibri"/>
                <w:b/>
                <w:bCs/>
                <w:color w:val="FFFFFF"/>
                <w:sz w:val="16"/>
                <w:szCs w:val="16"/>
                <w:lang w:eastAsia="en-US"/>
              </w:rPr>
              <w:t>i</w:t>
            </w:r>
            <w:r w:rsidRPr="00220585">
              <w:rPr>
                <w:rFonts w:eastAsia="Times New Roman" w:cs="Calibri"/>
                <w:b/>
                <w:bCs/>
                <w:color w:val="FFFFFF"/>
                <w:sz w:val="16"/>
                <w:szCs w:val="16"/>
                <w:lang w:eastAsia="en-US"/>
              </w:rPr>
              <w:t xml:space="preserve"> beneficiari</w:t>
            </w:r>
          </w:p>
        </w:tc>
        <w:tc>
          <w:tcPr>
            <w:tcW w:w="964" w:type="dxa"/>
            <w:tcBorders>
              <w:top w:val="nil"/>
              <w:left w:val="nil"/>
              <w:bottom w:val="nil"/>
              <w:right w:val="nil"/>
            </w:tcBorders>
            <w:shd w:val="clear" w:color="auto" w:fill="669748" w:themeFill="accent2" w:themeFillShade="BF"/>
            <w:noWrap/>
            <w:vAlign w:val="bottom"/>
            <w:hideMark/>
          </w:tcPr>
          <w:p w14:paraId="42E86AF7" w14:textId="77777777" w:rsidR="005E75CE" w:rsidRPr="00220585" w:rsidRDefault="005E75CE" w:rsidP="00033A16">
            <w:pPr>
              <w:jc w:val="right"/>
              <w:rPr>
                <w:rFonts w:eastAsia="Times New Roman" w:cs="Calibri"/>
                <w:b/>
                <w:bCs/>
                <w:color w:val="FFFFFF"/>
                <w:sz w:val="16"/>
                <w:szCs w:val="16"/>
                <w:lang w:eastAsia="en-US"/>
              </w:rPr>
            </w:pPr>
            <w:r w:rsidRPr="00220585">
              <w:rPr>
                <w:rFonts w:eastAsia="Times New Roman" w:cs="Calibri"/>
                <w:b/>
                <w:bCs/>
                <w:color w:val="FFFFFF"/>
                <w:sz w:val="16"/>
                <w:szCs w:val="16"/>
                <w:lang w:eastAsia="en-US"/>
              </w:rPr>
              <w:t>B/A - % impegnato</w:t>
            </w:r>
          </w:p>
        </w:tc>
        <w:tc>
          <w:tcPr>
            <w:tcW w:w="964" w:type="dxa"/>
            <w:tcBorders>
              <w:top w:val="nil"/>
              <w:left w:val="nil"/>
              <w:bottom w:val="nil"/>
              <w:right w:val="nil"/>
            </w:tcBorders>
            <w:shd w:val="clear" w:color="auto" w:fill="669748" w:themeFill="accent2" w:themeFillShade="BF"/>
            <w:noWrap/>
            <w:vAlign w:val="bottom"/>
            <w:hideMark/>
          </w:tcPr>
          <w:p w14:paraId="695C633D" w14:textId="77777777" w:rsidR="005E75CE" w:rsidRPr="00220585" w:rsidRDefault="005E75CE" w:rsidP="00033A16">
            <w:pPr>
              <w:jc w:val="right"/>
              <w:rPr>
                <w:rFonts w:eastAsia="Times New Roman" w:cs="Calibri"/>
                <w:b/>
                <w:bCs/>
                <w:color w:val="FFFFFF"/>
                <w:sz w:val="16"/>
                <w:szCs w:val="16"/>
                <w:lang w:eastAsia="en-US"/>
              </w:rPr>
            </w:pPr>
            <w:r w:rsidRPr="00220585">
              <w:rPr>
                <w:rFonts w:eastAsia="Times New Roman" w:cs="Calibri"/>
                <w:b/>
                <w:bCs/>
                <w:color w:val="FFFFFF"/>
                <w:sz w:val="16"/>
                <w:szCs w:val="16"/>
                <w:lang w:eastAsia="en-US"/>
              </w:rPr>
              <w:t>C/A - % speso</w:t>
            </w:r>
          </w:p>
        </w:tc>
      </w:tr>
      <w:tr w:rsidR="005E75CE" w:rsidRPr="00220585" w14:paraId="2196753B" w14:textId="77777777" w:rsidTr="00E5782E">
        <w:trPr>
          <w:trHeight w:val="300"/>
        </w:trPr>
        <w:tc>
          <w:tcPr>
            <w:tcW w:w="3798" w:type="dxa"/>
            <w:tcBorders>
              <w:top w:val="nil"/>
              <w:left w:val="nil"/>
              <w:bottom w:val="single" w:sz="4" w:space="0" w:color="305496"/>
              <w:right w:val="nil"/>
            </w:tcBorders>
            <w:shd w:val="clear" w:color="000000" w:fill="E7E6E6"/>
            <w:noWrap/>
            <w:vAlign w:val="bottom"/>
            <w:hideMark/>
          </w:tcPr>
          <w:p w14:paraId="0552A527" w14:textId="77777777" w:rsidR="005E75CE" w:rsidRPr="00220585" w:rsidRDefault="005E75CE" w:rsidP="005E75CE">
            <w:pPr>
              <w:jc w:val="left"/>
              <w:rPr>
                <w:rFonts w:eastAsia="Times New Roman" w:cs="Calibri"/>
                <w:b/>
                <w:bCs/>
                <w:color w:val="000000"/>
                <w:sz w:val="16"/>
                <w:szCs w:val="16"/>
                <w:lang w:eastAsia="en-US"/>
              </w:rPr>
            </w:pPr>
            <w:r w:rsidRPr="00220585">
              <w:rPr>
                <w:rFonts w:eastAsia="Times New Roman" w:cs="Calibri"/>
                <w:b/>
                <w:bCs/>
                <w:color w:val="000000"/>
                <w:sz w:val="16"/>
                <w:szCs w:val="16"/>
                <w:lang w:eastAsia="en-US"/>
              </w:rPr>
              <w:t>Area socio-economica</w:t>
            </w:r>
          </w:p>
        </w:tc>
        <w:tc>
          <w:tcPr>
            <w:tcW w:w="1361" w:type="dxa"/>
            <w:tcBorders>
              <w:top w:val="nil"/>
              <w:left w:val="nil"/>
              <w:bottom w:val="single" w:sz="4" w:space="0" w:color="305496"/>
              <w:right w:val="nil"/>
            </w:tcBorders>
            <w:shd w:val="clear" w:color="000000" w:fill="E7E6E6"/>
            <w:noWrap/>
            <w:vAlign w:val="bottom"/>
            <w:hideMark/>
          </w:tcPr>
          <w:p w14:paraId="4E968363" w14:textId="77777777" w:rsidR="005E75CE" w:rsidRPr="00220585" w:rsidRDefault="005E75CE"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28.186.176,00</w:t>
            </w:r>
          </w:p>
        </w:tc>
        <w:tc>
          <w:tcPr>
            <w:tcW w:w="1361" w:type="dxa"/>
            <w:tcBorders>
              <w:top w:val="nil"/>
              <w:left w:val="nil"/>
              <w:bottom w:val="single" w:sz="4" w:space="0" w:color="305496"/>
              <w:right w:val="nil"/>
            </w:tcBorders>
            <w:shd w:val="clear" w:color="000000" w:fill="E7E6E6"/>
            <w:noWrap/>
            <w:vAlign w:val="bottom"/>
            <w:hideMark/>
          </w:tcPr>
          <w:p w14:paraId="7F3B4BF8" w14:textId="77777777" w:rsidR="005E75CE" w:rsidRPr="00220585" w:rsidRDefault="005E75CE"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18.921.856,00</w:t>
            </w:r>
          </w:p>
        </w:tc>
        <w:tc>
          <w:tcPr>
            <w:tcW w:w="1361" w:type="dxa"/>
            <w:tcBorders>
              <w:top w:val="nil"/>
              <w:left w:val="nil"/>
              <w:bottom w:val="single" w:sz="4" w:space="0" w:color="305496"/>
              <w:right w:val="nil"/>
            </w:tcBorders>
            <w:shd w:val="clear" w:color="000000" w:fill="E7E6E6"/>
            <w:noWrap/>
            <w:vAlign w:val="bottom"/>
            <w:hideMark/>
          </w:tcPr>
          <w:p w14:paraId="20DE7596" w14:textId="77777777" w:rsidR="005E75CE" w:rsidRPr="00220585" w:rsidRDefault="005E75CE"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1.961.024,00</w:t>
            </w:r>
          </w:p>
        </w:tc>
        <w:tc>
          <w:tcPr>
            <w:tcW w:w="964" w:type="dxa"/>
            <w:tcBorders>
              <w:top w:val="nil"/>
              <w:left w:val="nil"/>
              <w:bottom w:val="single" w:sz="4" w:space="0" w:color="305496"/>
              <w:right w:val="nil"/>
            </w:tcBorders>
            <w:shd w:val="clear" w:color="000000" w:fill="E7E6E6"/>
            <w:noWrap/>
            <w:vAlign w:val="bottom"/>
            <w:hideMark/>
          </w:tcPr>
          <w:p w14:paraId="1151C526" w14:textId="77777777" w:rsidR="005E75CE" w:rsidRPr="00220585" w:rsidRDefault="005E75CE"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67,13%</w:t>
            </w:r>
          </w:p>
        </w:tc>
        <w:tc>
          <w:tcPr>
            <w:tcW w:w="964" w:type="dxa"/>
            <w:tcBorders>
              <w:top w:val="nil"/>
              <w:left w:val="nil"/>
              <w:bottom w:val="single" w:sz="4" w:space="0" w:color="305496"/>
              <w:right w:val="nil"/>
            </w:tcBorders>
            <w:shd w:val="clear" w:color="000000" w:fill="E7E6E6"/>
            <w:noWrap/>
            <w:vAlign w:val="bottom"/>
            <w:hideMark/>
          </w:tcPr>
          <w:p w14:paraId="09050B7D" w14:textId="77777777" w:rsidR="005E75CE" w:rsidRPr="00220585" w:rsidRDefault="005E75CE"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6,96%</w:t>
            </w:r>
          </w:p>
        </w:tc>
      </w:tr>
      <w:tr w:rsidR="005E75CE" w:rsidRPr="00220585" w14:paraId="7DF6DA61" w14:textId="77777777" w:rsidTr="00E5782E">
        <w:trPr>
          <w:trHeight w:val="300"/>
        </w:trPr>
        <w:tc>
          <w:tcPr>
            <w:tcW w:w="3798" w:type="dxa"/>
            <w:tcBorders>
              <w:top w:val="nil"/>
              <w:left w:val="nil"/>
              <w:bottom w:val="nil"/>
              <w:right w:val="nil"/>
            </w:tcBorders>
            <w:shd w:val="clear" w:color="auto" w:fill="auto"/>
            <w:noWrap/>
            <w:vAlign w:val="bottom"/>
            <w:hideMark/>
          </w:tcPr>
          <w:p w14:paraId="241C2277" w14:textId="77777777" w:rsidR="005E75CE" w:rsidRPr="00220585" w:rsidRDefault="005E75CE" w:rsidP="005E75CE">
            <w:pPr>
              <w:ind w:firstLineChars="100" w:firstLine="160"/>
              <w:jc w:val="left"/>
              <w:rPr>
                <w:rFonts w:eastAsia="Times New Roman" w:cs="Calibri"/>
                <w:color w:val="000000"/>
                <w:sz w:val="16"/>
                <w:szCs w:val="16"/>
                <w:lang w:eastAsia="en-US"/>
              </w:rPr>
            </w:pPr>
            <w:r w:rsidRPr="00220585">
              <w:rPr>
                <w:rFonts w:eastAsia="Times New Roman" w:cs="Calibri"/>
                <w:color w:val="000000"/>
                <w:sz w:val="16"/>
                <w:szCs w:val="16"/>
                <w:lang w:eastAsia="en-US"/>
              </w:rPr>
              <w:t>V - Sviluppo urbano sostenibile</w:t>
            </w:r>
          </w:p>
        </w:tc>
        <w:tc>
          <w:tcPr>
            <w:tcW w:w="1361" w:type="dxa"/>
            <w:tcBorders>
              <w:top w:val="nil"/>
              <w:left w:val="nil"/>
              <w:bottom w:val="nil"/>
              <w:right w:val="nil"/>
            </w:tcBorders>
            <w:shd w:val="clear" w:color="auto" w:fill="auto"/>
            <w:noWrap/>
            <w:vAlign w:val="bottom"/>
            <w:hideMark/>
          </w:tcPr>
          <w:p w14:paraId="6662F463" w14:textId="77777777" w:rsidR="005E75CE" w:rsidRPr="00220585" w:rsidRDefault="005E75CE"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9.186.176,00</w:t>
            </w:r>
          </w:p>
        </w:tc>
        <w:tc>
          <w:tcPr>
            <w:tcW w:w="1361" w:type="dxa"/>
            <w:tcBorders>
              <w:top w:val="nil"/>
              <w:left w:val="nil"/>
              <w:bottom w:val="nil"/>
              <w:right w:val="nil"/>
            </w:tcBorders>
            <w:shd w:val="clear" w:color="auto" w:fill="auto"/>
            <w:noWrap/>
            <w:vAlign w:val="bottom"/>
            <w:hideMark/>
          </w:tcPr>
          <w:p w14:paraId="7D466CE7" w14:textId="77777777" w:rsidR="005E75CE" w:rsidRPr="00220585" w:rsidRDefault="005E75CE"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8.613.385,00</w:t>
            </w:r>
          </w:p>
        </w:tc>
        <w:tc>
          <w:tcPr>
            <w:tcW w:w="1361" w:type="dxa"/>
            <w:tcBorders>
              <w:top w:val="nil"/>
              <w:left w:val="nil"/>
              <w:bottom w:val="nil"/>
              <w:right w:val="nil"/>
            </w:tcBorders>
            <w:shd w:val="clear" w:color="auto" w:fill="auto"/>
            <w:noWrap/>
            <w:vAlign w:val="bottom"/>
            <w:hideMark/>
          </w:tcPr>
          <w:p w14:paraId="11CCCC30" w14:textId="77777777" w:rsidR="005E75CE" w:rsidRPr="00220585" w:rsidRDefault="005E75CE"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638.432,00</w:t>
            </w:r>
          </w:p>
        </w:tc>
        <w:tc>
          <w:tcPr>
            <w:tcW w:w="964" w:type="dxa"/>
            <w:tcBorders>
              <w:top w:val="nil"/>
              <w:left w:val="nil"/>
              <w:bottom w:val="nil"/>
              <w:right w:val="nil"/>
            </w:tcBorders>
            <w:shd w:val="clear" w:color="auto" w:fill="auto"/>
            <w:noWrap/>
            <w:vAlign w:val="bottom"/>
            <w:hideMark/>
          </w:tcPr>
          <w:p w14:paraId="78C2010F" w14:textId="77777777" w:rsidR="005E75CE" w:rsidRPr="00220585" w:rsidRDefault="005E75CE"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93,76%</w:t>
            </w:r>
          </w:p>
        </w:tc>
        <w:tc>
          <w:tcPr>
            <w:tcW w:w="964" w:type="dxa"/>
            <w:tcBorders>
              <w:top w:val="nil"/>
              <w:left w:val="nil"/>
              <w:bottom w:val="nil"/>
              <w:right w:val="nil"/>
            </w:tcBorders>
            <w:shd w:val="clear" w:color="auto" w:fill="auto"/>
            <w:noWrap/>
            <w:vAlign w:val="bottom"/>
            <w:hideMark/>
          </w:tcPr>
          <w:p w14:paraId="45AFA26C" w14:textId="77777777" w:rsidR="005E75CE" w:rsidRPr="00220585" w:rsidRDefault="005E75CE"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6,95%</w:t>
            </w:r>
          </w:p>
        </w:tc>
      </w:tr>
      <w:tr w:rsidR="005E75CE" w:rsidRPr="00220585" w14:paraId="75FA03F2" w14:textId="77777777" w:rsidTr="00792C8F">
        <w:trPr>
          <w:trHeight w:val="300"/>
        </w:trPr>
        <w:tc>
          <w:tcPr>
            <w:tcW w:w="3798" w:type="dxa"/>
            <w:tcBorders>
              <w:top w:val="nil"/>
              <w:left w:val="nil"/>
              <w:bottom w:val="single" w:sz="4" w:space="0" w:color="305496"/>
              <w:right w:val="nil"/>
            </w:tcBorders>
            <w:shd w:val="clear" w:color="auto" w:fill="auto"/>
            <w:noWrap/>
            <w:vAlign w:val="bottom"/>
            <w:hideMark/>
          </w:tcPr>
          <w:p w14:paraId="0224B095" w14:textId="77777777" w:rsidR="005E75CE" w:rsidRPr="00220585" w:rsidRDefault="005E75CE" w:rsidP="005E75CE">
            <w:pPr>
              <w:ind w:firstLineChars="100" w:firstLine="160"/>
              <w:jc w:val="left"/>
              <w:rPr>
                <w:rFonts w:eastAsia="Times New Roman" w:cs="Calibri"/>
                <w:color w:val="000000"/>
                <w:sz w:val="16"/>
                <w:szCs w:val="16"/>
                <w:lang w:eastAsia="en-US"/>
              </w:rPr>
            </w:pPr>
            <w:r w:rsidRPr="00220585">
              <w:rPr>
                <w:rFonts w:eastAsia="Times New Roman" w:cs="Calibri"/>
                <w:color w:val="000000"/>
                <w:sz w:val="16"/>
                <w:szCs w:val="16"/>
                <w:lang w:eastAsia="en-US"/>
              </w:rPr>
              <w:t>VI - Strategia turistica delle aree interne</w:t>
            </w:r>
          </w:p>
        </w:tc>
        <w:tc>
          <w:tcPr>
            <w:tcW w:w="1361" w:type="dxa"/>
            <w:tcBorders>
              <w:top w:val="nil"/>
              <w:left w:val="nil"/>
              <w:bottom w:val="single" w:sz="4" w:space="0" w:color="305496"/>
              <w:right w:val="nil"/>
            </w:tcBorders>
            <w:shd w:val="clear" w:color="auto" w:fill="auto"/>
            <w:noWrap/>
            <w:vAlign w:val="bottom"/>
            <w:hideMark/>
          </w:tcPr>
          <w:p w14:paraId="5496E2A0" w14:textId="77777777" w:rsidR="005E75CE" w:rsidRPr="00220585" w:rsidRDefault="005E75CE"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19.000.000,00</w:t>
            </w:r>
          </w:p>
        </w:tc>
        <w:tc>
          <w:tcPr>
            <w:tcW w:w="1361" w:type="dxa"/>
            <w:tcBorders>
              <w:top w:val="nil"/>
              <w:left w:val="nil"/>
              <w:bottom w:val="single" w:sz="4" w:space="0" w:color="305496"/>
              <w:right w:val="nil"/>
            </w:tcBorders>
            <w:shd w:val="clear" w:color="auto" w:fill="auto"/>
            <w:noWrap/>
            <w:vAlign w:val="bottom"/>
            <w:hideMark/>
          </w:tcPr>
          <w:p w14:paraId="3B80EB32" w14:textId="77777777" w:rsidR="005E75CE" w:rsidRPr="00220585" w:rsidRDefault="005E75CE"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10.308.471,00</w:t>
            </w:r>
          </w:p>
        </w:tc>
        <w:tc>
          <w:tcPr>
            <w:tcW w:w="1361" w:type="dxa"/>
            <w:tcBorders>
              <w:top w:val="nil"/>
              <w:left w:val="nil"/>
              <w:bottom w:val="single" w:sz="4" w:space="0" w:color="305496"/>
              <w:right w:val="nil"/>
            </w:tcBorders>
            <w:shd w:val="clear" w:color="auto" w:fill="auto"/>
            <w:noWrap/>
            <w:vAlign w:val="bottom"/>
            <w:hideMark/>
          </w:tcPr>
          <w:p w14:paraId="5BCBAA30" w14:textId="77777777" w:rsidR="005E75CE" w:rsidRPr="00220585" w:rsidRDefault="005E75CE"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1.322.592,00</w:t>
            </w:r>
          </w:p>
        </w:tc>
        <w:tc>
          <w:tcPr>
            <w:tcW w:w="964" w:type="dxa"/>
            <w:tcBorders>
              <w:top w:val="nil"/>
              <w:left w:val="nil"/>
              <w:bottom w:val="single" w:sz="4" w:space="0" w:color="305496"/>
              <w:right w:val="nil"/>
            </w:tcBorders>
            <w:shd w:val="clear" w:color="auto" w:fill="auto"/>
            <w:noWrap/>
            <w:vAlign w:val="bottom"/>
            <w:hideMark/>
          </w:tcPr>
          <w:p w14:paraId="2F4CE927" w14:textId="77777777" w:rsidR="005E75CE" w:rsidRPr="00220585" w:rsidRDefault="005E75CE"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54,26%</w:t>
            </w:r>
          </w:p>
        </w:tc>
        <w:tc>
          <w:tcPr>
            <w:tcW w:w="964" w:type="dxa"/>
            <w:tcBorders>
              <w:top w:val="nil"/>
              <w:left w:val="nil"/>
              <w:bottom w:val="single" w:sz="4" w:space="0" w:color="305496"/>
              <w:right w:val="nil"/>
            </w:tcBorders>
            <w:shd w:val="clear" w:color="auto" w:fill="auto"/>
            <w:noWrap/>
            <w:vAlign w:val="bottom"/>
            <w:hideMark/>
          </w:tcPr>
          <w:p w14:paraId="34993E5B" w14:textId="77777777" w:rsidR="005E75CE" w:rsidRPr="00220585" w:rsidRDefault="005E75CE"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6,96%</w:t>
            </w:r>
          </w:p>
        </w:tc>
      </w:tr>
    </w:tbl>
    <w:p w14:paraId="1376416B" w14:textId="77777777" w:rsidR="00AC1207" w:rsidRDefault="00AC1207" w:rsidP="00E263AD">
      <w:pPr>
        <w:rPr>
          <w:sz w:val="18"/>
          <w:szCs w:val="18"/>
        </w:rPr>
      </w:pPr>
      <w:r>
        <w:rPr>
          <w:sz w:val="18"/>
          <w:szCs w:val="18"/>
        </w:rPr>
        <w:t>Fonte: EU Open Data, 31.12.2020</w:t>
      </w:r>
    </w:p>
    <w:p w14:paraId="3AB86BEE" w14:textId="77777777" w:rsidR="00E5782E" w:rsidRDefault="00451F67" w:rsidP="00E263AD">
      <w:pPr>
        <w:rPr>
          <w:sz w:val="18"/>
          <w:szCs w:val="18"/>
        </w:rPr>
      </w:pPr>
      <w:r w:rsidRPr="00451F67">
        <w:rPr>
          <w:sz w:val="18"/>
          <w:szCs w:val="18"/>
        </w:rPr>
        <w:t xml:space="preserve">Nota: </w:t>
      </w:r>
      <w:r w:rsidRPr="00451F67">
        <w:rPr>
          <w:sz w:val="18"/>
          <w:szCs w:val="18"/>
          <w:vertAlign w:val="superscript"/>
        </w:rPr>
        <w:t xml:space="preserve">1 </w:t>
      </w:r>
      <w:r w:rsidRPr="00451F67">
        <w:rPr>
          <w:sz w:val="18"/>
          <w:szCs w:val="18"/>
        </w:rPr>
        <w:t>L’importo programmato comprende sia le risorse finanziarie dell’UE che nazionali.</w:t>
      </w:r>
    </w:p>
    <w:p w14:paraId="50115CEE" w14:textId="77777777" w:rsidR="002A7645" w:rsidRDefault="002A7645" w:rsidP="00E263AD"/>
    <w:p w14:paraId="4526FDA3" w14:textId="77777777" w:rsidR="00625496" w:rsidRDefault="00BD1471" w:rsidP="00540932">
      <w:r>
        <w:t>Come mostrato dalla tabella successiva, a</w:t>
      </w:r>
      <w:r w:rsidR="00540932">
        <w:t xml:space="preserve"> fine 2020, </w:t>
      </w:r>
      <w:r w:rsidR="00D364AC">
        <w:t>de</w:t>
      </w:r>
      <w:r w:rsidR="00FC67BF">
        <w:t>lle</w:t>
      </w:r>
      <w:r w:rsidR="00D364AC">
        <w:t xml:space="preserve"> 30 </w:t>
      </w:r>
      <w:r w:rsidR="00FC67BF">
        <w:t>operazioni</w:t>
      </w:r>
      <w:r w:rsidR="00D364AC">
        <w:t xml:space="preserve"> finanziat</w:t>
      </w:r>
      <w:r w:rsidR="00FC67BF">
        <w:t>e</w:t>
      </w:r>
      <w:r w:rsidR="00D364AC">
        <w:t xml:space="preserve"> nell’ambito dell’area socio-economica del FESR</w:t>
      </w:r>
      <w:r w:rsidR="00D06F76">
        <w:t>,</w:t>
      </w:r>
      <w:r w:rsidR="00D364AC">
        <w:t xml:space="preserve"> un</w:t>
      </w:r>
      <w:r w:rsidR="00FC67BF">
        <w:t xml:space="preserve">’operazione </w:t>
      </w:r>
      <w:r w:rsidR="00D364AC">
        <w:t>risulta finanziariamente completat</w:t>
      </w:r>
      <w:r w:rsidR="00FC67BF">
        <w:t>a</w:t>
      </w:r>
      <w:r w:rsidR="00D364AC">
        <w:t xml:space="preserve"> </w:t>
      </w:r>
      <w:r w:rsidR="00FC67BF">
        <w:t>(“</w:t>
      </w:r>
      <w:r w:rsidR="00D364AC" w:rsidRPr="00D364AC">
        <w:t xml:space="preserve">Illuminazione pubblica </w:t>
      </w:r>
      <w:r w:rsidR="005B6554">
        <w:t xml:space="preserve">- </w:t>
      </w:r>
      <w:r w:rsidR="00D364AC" w:rsidRPr="00D364AC">
        <w:t>Asse V Sviluppo Urbano Sostenibile</w:t>
      </w:r>
      <w:r w:rsidR="00FC67BF">
        <w:t>”)</w:t>
      </w:r>
      <w:r w:rsidR="00D364AC">
        <w:t>, un</w:t>
      </w:r>
      <w:r w:rsidR="005B6554">
        <w:t>’</w:t>
      </w:r>
      <w:r w:rsidR="00FC67BF">
        <w:t>a</w:t>
      </w:r>
      <w:r w:rsidR="005B6554">
        <w:t>ltra</w:t>
      </w:r>
      <w:r w:rsidR="00D364AC">
        <w:t xml:space="preserve"> </w:t>
      </w:r>
      <w:r w:rsidR="007F708D">
        <w:t xml:space="preserve">presenta una spesa ammissibile dichiarata da beneficiari pari a 0 </w:t>
      </w:r>
      <w:r w:rsidR="00FC67BF">
        <w:t>(“</w:t>
      </w:r>
      <w:r w:rsidR="00FC67BF" w:rsidRPr="00FC67BF">
        <w:t>Sviluppo Urbano Asse 5 Affidamento ILSPA</w:t>
      </w:r>
      <w:r w:rsidR="00FC67BF">
        <w:t>”) mentre le restanti</w:t>
      </w:r>
      <w:r w:rsidR="005B6554">
        <w:t xml:space="preserve"> iniziative </w:t>
      </w:r>
      <w:r w:rsidR="00FC67BF">
        <w:t xml:space="preserve">riportano bassi livelli di </w:t>
      </w:r>
      <w:r w:rsidR="00D06F76">
        <w:t>avanzamento</w:t>
      </w:r>
      <w:r w:rsidR="00FC67BF">
        <w:t xml:space="preserve"> finanziari</w:t>
      </w:r>
      <w:r w:rsidR="00D06F76">
        <w:t>o</w:t>
      </w:r>
      <w:r w:rsidR="00FC67BF">
        <w:t>.</w:t>
      </w:r>
    </w:p>
    <w:p w14:paraId="03DD34A1" w14:textId="77777777" w:rsidR="00540932" w:rsidRPr="00540932" w:rsidRDefault="00540932" w:rsidP="00540932"/>
    <w:p w14:paraId="5838B2DE" w14:textId="77777777" w:rsidR="004564CC" w:rsidRDefault="004564CC" w:rsidP="004564CC">
      <w:pPr>
        <w:pStyle w:val="Didascalia"/>
      </w:pPr>
      <w:bookmarkStart w:id="54" w:name="_Toc91081447"/>
      <w:r>
        <w:t xml:space="preserve">Tabella </w:t>
      </w:r>
      <w:r w:rsidR="004E6566">
        <w:fldChar w:fldCharType="begin"/>
      </w:r>
      <w:r>
        <w:instrText xml:space="preserve"> SEQ Tabella \* ARABIC </w:instrText>
      </w:r>
      <w:r w:rsidR="004E6566">
        <w:fldChar w:fldCharType="separate"/>
      </w:r>
      <w:r w:rsidR="00E53D6C">
        <w:rPr>
          <w:noProof/>
        </w:rPr>
        <w:t>21</w:t>
      </w:r>
      <w:r w:rsidR="004E6566">
        <w:fldChar w:fldCharType="end"/>
      </w:r>
      <w:r w:rsidR="001230B4">
        <w:t>. A</w:t>
      </w:r>
      <w:r>
        <w:t xml:space="preserve">vanzamento degli interventi FESR - Area </w:t>
      </w:r>
      <w:r w:rsidR="00396197">
        <w:t>socio-</w:t>
      </w:r>
      <w:r>
        <w:t>economica – fine 2020</w:t>
      </w:r>
      <w:bookmarkEnd w:id="54"/>
    </w:p>
    <w:tbl>
      <w:tblPr>
        <w:tblW w:w="9751" w:type="dxa"/>
        <w:tblLayout w:type="fixed"/>
        <w:tblLook w:val="04A0" w:firstRow="1" w:lastRow="0" w:firstColumn="1" w:lastColumn="0" w:noHBand="0" w:noVBand="1"/>
      </w:tblPr>
      <w:tblGrid>
        <w:gridCol w:w="4819"/>
        <w:gridCol w:w="1389"/>
        <w:gridCol w:w="1389"/>
        <w:gridCol w:w="1134"/>
        <w:gridCol w:w="1020"/>
      </w:tblGrid>
      <w:tr w:rsidR="00E70636" w:rsidRPr="00220585" w14:paraId="14A5A4DE" w14:textId="77777777" w:rsidTr="001A51AA">
        <w:trPr>
          <w:trHeight w:val="1200"/>
        </w:trPr>
        <w:tc>
          <w:tcPr>
            <w:tcW w:w="4819" w:type="dxa"/>
            <w:tcBorders>
              <w:top w:val="single" w:sz="8" w:space="0" w:color="548235"/>
              <w:left w:val="nil"/>
              <w:bottom w:val="nil"/>
              <w:right w:val="nil"/>
            </w:tcBorders>
            <w:shd w:val="clear" w:color="auto" w:fill="669748" w:themeFill="accent2" w:themeFillShade="BF"/>
            <w:vAlign w:val="bottom"/>
            <w:hideMark/>
          </w:tcPr>
          <w:p w14:paraId="1232D933" w14:textId="77777777" w:rsidR="00E70636" w:rsidRPr="00220585" w:rsidRDefault="00E70636" w:rsidP="00E70636">
            <w:pPr>
              <w:jc w:val="left"/>
              <w:rPr>
                <w:rFonts w:eastAsia="Times New Roman" w:cs="Calibri"/>
                <w:b/>
                <w:bCs/>
                <w:color w:val="FFFFFF"/>
                <w:sz w:val="16"/>
                <w:szCs w:val="16"/>
                <w:lang w:eastAsia="en-US"/>
              </w:rPr>
            </w:pPr>
            <w:r w:rsidRPr="00220585">
              <w:rPr>
                <w:rFonts w:eastAsia="Times New Roman" w:cs="Calibri"/>
                <w:b/>
                <w:bCs/>
                <w:color w:val="FFFFFF"/>
                <w:sz w:val="16"/>
                <w:szCs w:val="16"/>
                <w:lang w:eastAsia="en-US"/>
              </w:rPr>
              <w:t>Interventi</w:t>
            </w:r>
          </w:p>
        </w:tc>
        <w:tc>
          <w:tcPr>
            <w:tcW w:w="1389" w:type="dxa"/>
            <w:tcBorders>
              <w:top w:val="single" w:sz="8" w:space="0" w:color="548235"/>
              <w:left w:val="nil"/>
              <w:bottom w:val="nil"/>
              <w:right w:val="nil"/>
            </w:tcBorders>
            <w:shd w:val="clear" w:color="auto" w:fill="669748" w:themeFill="accent2" w:themeFillShade="BF"/>
            <w:vAlign w:val="bottom"/>
            <w:hideMark/>
          </w:tcPr>
          <w:p w14:paraId="43C3383E" w14:textId="77777777" w:rsidR="00E70636" w:rsidRPr="00220585" w:rsidRDefault="00E70636" w:rsidP="00033A16">
            <w:pPr>
              <w:jc w:val="right"/>
              <w:rPr>
                <w:rFonts w:eastAsia="Times New Roman" w:cs="Calibri"/>
                <w:b/>
                <w:bCs/>
                <w:color w:val="FFFFFF"/>
                <w:sz w:val="16"/>
                <w:szCs w:val="16"/>
                <w:lang w:eastAsia="en-US"/>
              </w:rPr>
            </w:pPr>
            <w:r w:rsidRPr="00220585">
              <w:rPr>
                <w:rFonts w:eastAsia="Times New Roman" w:cs="Calibri"/>
                <w:b/>
                <w:bCs/>
                <w:color w:val="FFFFFF"/>
                <w:sz w:val="16"/>
                <w:szCs w:val="16"/>
                <w:lang w:eastAsia="en-US"/>
              </w:rPr>
              <w:t>A - Spesa pubblica ammissibile delle operazioni selezionate per il sostegno (EUR)</w:t>
            </w:r>
          </w:p>
        </w:tc>
        <w:tc>
          <w:tcPr>
            <w:tcW w:w="1389" w:type="dxa"/>
            <w:tcBorders>
              <w:top w:val="single" w:sz="8" w:space="0" w:color="548235"/>
              <w:left w:val="nil"/>
              <w:bottom w:val="nil"/>
              <w:right w:val="nil"/>
            </w:tcBorders>
            <w:shd w:val="clear" w:color="auto" w:fill="669748" w:themeFill="accent2" w:themeFillShade="BF"/>
            <w:vAlign w:val="bottom"/>
            <w:hideMark/>
          </w:tcPr>
          <w:p w14:paraId="33517DA3" w14:textId="77777777" w:rsidR="00E70636" w:rsidRPr="00220585" w:rsidRDefault="00E70636" w:rsidP="00033A16">
            <w:pPr>
              <w:jc w:val="right"/>
              <w:rPr>
                <w:rFonts w:eastAsia="Times New Roman" w:cs="Calibri"/>
                <w:b/>
                <w:bCs/>
                <w:color w:val="FFFFFF"/>
                <w:sz w:val="16"/>
                <w:szCs w:val="16"/>
                <w:lang w:eastAsia="en-US"/>
              </w:rPr>
            </w:pPr>
            <w:r w:rsidRPr="00220585">
              <w:rPr>
                <w:rFonts w:eastAsia="Times New Roman" w:cs="Calibri"/>
                <w:b/>
                <w:bCs/>
                <w:color w:val="FFFFFF"/>
                <w:sz w:val="16"/>
                <w:szCs w:val="16"/>
                <w:lang w:eastAsia="en-US"/>
              </w:rPr>
              <w:t>B - Spesa totale ammissibile dichiarata dai beneficiari all'AdG (EUR)</w:t>
            </w:r>
          </w:p>
        </w:tc>
        <w:tc>
          <w:tcPr>
            <w:tcW w:w="1134" w:type="dxa"/>
            <w:tcBorders>
              <w:top w:val="single" w:sz="8" w:space="0" w:color="548235"/>
              <w:left w:val="nil"/>
              <w:bottom w:val="nil"/>
              <w:right w:val="nil"/>
            </w:tcBorders>
            <w:shd w:val="clear" w:color="auto" w:fill="669748" w:themeFill="accent2" w:themeFillShade="BF"/>
            <w:vAlign w:val="bottom"/>
            <w:hideMark/>
          </w:tcPr>
          <w:p w14:paraId="584DAB42" w14:textId="77777777" w:rsidR="00E70636" w:rsidRPr="00220585" w:rsidRDefault="00E70636" w:rsidP="00033A16">
            <w:pPr>
              <w:jc w:val="right"/>
              <w:rPr>
                <w:rFonts w:eastAsia="Times New Roman" w:cs="Calibri"/>
                <w:b/>
                <w:bCs/>
                <w:color w:val="FFFFFF"/>
                <w:sz w:val="16"/>
                <w:szCs w:val="16"/>
                <w:lang w:eastAsia="en-US"/>
              </w:rPr>
            </w:pPr>
            <w:r w:rsidRPr="00220585">
              <w:rPr>
                <w:rFonts w:eastAsia="Times New Roman" w:cs="Calibri"/>
                <w:b/>
                <w:bCs/>
                <w:color w:val="FFFFFF"/>
                <w:sz w:val="16"/>
                <w:szCs w:val="16"/>
                <w:lang w:eastAsia="en-US"/>
              </w:rPr>
              <w:t>B/A - Spesa ammissibile dichiarata dai beneficiari (%)</w:t>
            </w:r>
          </w:p>
        </w:tc>
        <w:tc>
          <w:tcPr>
            <w:tcW w:w="1020" w:type="dxa"/>
            <w:tcBorders>
              <w:top w:val="single" w:sz="8" w:space="0" w:color="548235"/>
              <w:left w:val="nil"/>
              <w:bottom w:val="nil"/>
              <w:right w:val="nil"/>
            </w:tcBorders>
            <w:shd w:val="clear" w:color="auto" w:fill="669748" w:themeFill="accent2" w:themeFillShade="BF"/>
            <w:vAlign w:val="bottom"/>
            <w:hideMark/>
          </w:tcPr>
          <w:p w14:paraId="36AFE309" w14:textId="77777777" w:rsidR="00E70636" w:rsidRPr="00220585" w:rsidRDefault="00E70636" w:rsidP="00033A16">
            <w:pPr>
              <w:jc w:val="right"/>
              <w:rPr>
                <w:rFonts w:eastAsia="Times New Roman" w:cs="Calibri"/>
                <w:b/>
                <w:bCs/>
                <w:color w:val="FFFFFF"/>
                <w:sz w:val="16"/>
                <w:szCs w:val="16"/>
                <w:lang w:eastAsia="en-US"/>
              </w:rPr>
            </w:pPr>
            <w:r w:rsidRPr="00220585">
              <w:rPr>
                <w:rFonts w:eastAsia="Times New Roman" w:cs="Calibri"/>
                <w:b/>
                <w:bCs/>
                <w:color w:val="FFFFFF"/>
                <w:sz w:val="16"/>
                <w:szCs w:val="16"/>
                <w:lang w:eastAsia="en-US"/>
              </w:rPr>
              <w:t>Numero di operazioni selezionate</w:t>
            </w:r>
          </w:p>
        </w:tc>
      </w:tr>
      <w:tr w:rsidR="00E70636" w:rsidRPr="00220585" w14:paraId="5316DA2B" w14:textId="77777777" w:rsidTr="00EA0726">
        <w:trPr>
          <w:trHeight w:val="300"/>
        </w:trPr>
        <w:tc>
          <w:tcPr>
            <w:tcW w:w="4819" w:type="dxa"/>
            <w:tcBorders>
              <w:top w:val="nil"/>
              <w:left w:val="nil"/>
              <w:bottom w:val="single" w:sz="4" w:space="0" w:color="305496"/>
              <w:right w:val="nil"/>
            </w:tcBorders>
            <w:shd w:val="clear" w:color="auto" w:fill="auto"/>
            <w:noWrap/>
            <w:vAlign w:val="bottom"/>
            <w:hideMark/>
          </w:tcPr>
          <w:p w14:paraId="31B28EE6" w14:textId="77777777" w:rsidR="00E70636" w:rsidRPr="00220585" w:rsidRDefault="00E70636" w:rsidP="00E70636">
            <w:pPr>
              <w:jc w:val="left"/>
              <w:rPr>
                <w:rFonts w:eastAsia="Times New Roman" w:cs="Calibri"/>
                <w:b/>
                <w:bCs/>
                <w:color w:val="000000"/>
                <w:sz w:val="16"/>
                <w:szCs w:val="16"/>
                <w:lang w:eastAsia="en-US"/>
              </w:rPr>
            </w:pPr>
            <w:r w:rsidRPr="00220585">
              <w:rPr>
                <w:rFonts w:eastAsia="Times New Roman" w:cs="Calibri"/>
                <w:b/>
                <w:bCs/>
                <w:color w:val="000000"/>
                <w:sz w:val="16"/>
                <w:szCs w:val="16"/>
                <w:lang w:eastAsia="en-US"/>
              </w:rPr>
              <w:t>Area socio-economica</w:t>
            </w:r>
          </w:p>
        </w:tc>
        <w:tc>
          <w:tcPr>
            <w:tcW w:w="1389" w:type="dxa"/>
            <w:tcBorders>
              <w:top w:val="nil"/>
              <w:left w:val="nil"/>
              <w:bottom w:val="single" w:sz="4" w:space="0" w:color="305496"/>
              <w:right w:val="nil"/>
            </w:tcBorders>
            <w:shd w:val="clear" w:color="auto" w:fill="auto"/>
            <w:noWrap/>
            <w:vAlign w:val="bottom"/>
            <w:hideMark/>
          </w:tcPr>
          <w:p w14:paraId="2A20D483" w14:textId="77777777" w:rsidR="00E70636" w:rsidRPr="00220585" w:rsidRDefault="00E70636"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18.921.856,00</w:t>
            </w:r>
          </w:p>
        </w:tc>
        <w:tc>
          <w:tcPr>
            <w:tcW w:w="1389" w:type="dxa"/>
            <w:tcBorders>
              <w:top w:val="nil"/>
              <w:left w:val="nil"/>
              <w:bottom w:val="single" w:sz="4" w:space="0" w:color="305496"/>
              <w:right w:val="nil"/>
            </w:tcBorders>
            <w:shd w:val="clear" w:color="auto" w:fill="auto"/>
            <w:noWrap/>
            <w:vAlign w:val="bottom"/>
            <w:hideMark/>
          </w:tcPr>
          <w:p w14:paraId="48857FF4" w14:textId="77777777" w:rsidR="00E70636" w:rsidRPr="00220585" w:rsidRDefault="00E70636"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1.961.024,00</w:t>
            </w:r>
          </w:p>
        </w:tc>
        <w:tc>
          <w:tcPr>
            <w:tcW w:w="1134" w:type="dxa"/>
            <w:tcBorders>
              <w:top w:val="nil"/>
              <w:left w:val="nil"/>
              <w:bottom w:val="single" w:sz="4" w:space="0" w:color="305496"/>
              <w:right w:val="nil"/>
            </w:tcBorders>
            <w:shd w:val="clear" w:color="auto" w:fill="auto"/>
            <w:noWrap/>
            <w:vAlign w:val="bottom"/>
            <w:hideMark/>
          </w:tcPr>
          <w:p w14:paraId="448A8FBA" w14:textId="77777777" w:rsidR="00E70636" w:rsidRPr="00220585" w:rsidRDefault="00E70636"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10,36%</w:t>
            </w:r>
          </w:p>
        </w:tc>
        <w:tc>
          <w:tcPr>
            <w:tcW w:w="1020" w:type="dxa"/>
            <w:tcBorders>
              <w:top w:val="nil"/>
              <w:left w:val="nil"/>
              <w:bottom w:val="single" w:sz="4" w:space="0" w:color="305496"/>
              <w:right w:val="nil"/>
            </w:tcBorders>
            <w:shd w:val="clear" w:color="auto" w:fill="auto"/>
            <w:noWrap/>
            <w:vAlign w:val="bottom"/>
            <w:hideMark/>
          </w:tcPr>
          <w:p w14:paraId="12B8B57B" w14:textId="1EA1BB78" w:rsidR="00E70636" w:rsidRPr="00220585" w:rsidRDefault="00E70636"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30</w:t>
            </w:r>
          </w:p>
        </w:tc>
      </w:tr>
      <w:tr w:rsidR="00E70636" w:rsidRPr="00220585" w14:paraId="60365495" w14:textId="77777777" w:rsidTr="00EA0726">
        <w:trPr>
          <w:trHeight w:val="300"/>
        </w:trPr>
        <w:tc>
          <w:tcPr>
            <w:tcW w:w="4819" w:type="dxa"/>
            <w:tcBorders>
              <w:top w:val="single" w:sz="4" w:space="0" w:color="305496"/>
              <w:left w:val="nil"/>
              <w:bottom w:val="single" w:sz="4" w:space="0" w:color="305496"/>
              <w:right w:val="nil"/>
            </w:tcBorders>
            <w:shd w:val="clear" w:color="auto" w:fill="E4E3E2" w:themeFill="background2"/>
            <w:noWrap/>
            <w:vAlign w:val="bottom"/>
            <w:hideMark/>
          </w:tcPr>
          <w:p w14:paraId="2EBC7D16" w14:textId="77777777" w:rsidR="00E70636" w:rsidRPr="00220585" w:rsidRDefault="00E70636" w:rsidP="00E70636">
            <w:pPr>
              <w:jc w:val="left"/>
              <w:rPr>
                <w:rFonts w:eastAsia="Times New Roman" w:cs="Calibri"/>
                <w:b/>
                <w:bCs/>
                <w:color w:val="000000"/>
                <w:sz w:val="16"/>
                <w:szCs w:val="16"/>
                <w:lang w:eastAsia="en-US"/>
              </w:rPr>
            </w:pPr>
            <w:r w:rsidRPr="00220585">
              <w:rPr>
                <w:rFonts w:eastAsia="Times New Roman" w:cs="Calibri"/>
                <w:b/>
                <w:bCs/>
                <w:color w:val="000000"/>
                <w:sz w:val="16"/>
                <w:szCs w:val="16"/>
                <w:lang w:eastAsia="en-US"/>
              </w:rPr>
              <w:t>V - SVILUPPO URBANO SOSTENIBILE</w:t>
            </w:r>
            <w:r w:rsidR="00E37297">
              <w:rPr>
                <w:rFonts w:eastAsia="Times New Roman" w:cs="Calibri"/>
                <w:b/>
                <w:bCs/>
                <w:color w:val="000000"/>
                <w:sz w:val="16"/>
                <w:szCs w:val="16"/>
                <w:lang w:eastAsia="en-US"/>
              </w:rPr>
              <w:t>*</w:t>
            </w:r>
          </w:p>
        </w:tc>
        <w:tc>
          <w:tcPr>
            <w:tcW w:w="1389" w:type="dxa"/>
            <w:tcBorders>
              <w:top w:val="single" w:sz="4" w:space="0" w:color="305496"/>
              <w:left w:val="nil"/>
              <w:bottom w:val="single" w:sz="4" w:space="0" w:color="305496"/>
              <w:right w:val="nil"/>
            </w:tcBorders>
            <w:shd w:val="clear" w:color="auto" w:fill="E4E3E2" w:themeFill="background2"/>
            <w:noWrap/>
            <w:vAlign w:val="bottom"/>
            <w:hideMark/>
          </w:tcPr>
          <w:p w14:paraId="10178A30" w14:textId="77777777" w:rsidR="00E70636" w:rsidRPr="00220585" w:rsidRDefault="00E70636"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8.613.385,00</w:t>
            </w:r>
          </w:p>
        </w:tc>
        <w:tc>
          <w:tcPr>
            <w:tcW w:w="1389" w:type="dxa"/>
            <w:tcBorders>
              <w:top w:val="single" w:sz="4" w:space="0" w:color="305496"/>
              <w:left w:val="nil"/>
              <w:bottom w:val="single" w:sz="4" w:space="0" w:color="305496"/>
              <w:right w:val="nil"/>
            </w:tcBorders>
            <w:shd w:val="clear" w:color="auto" w:fill="E4E3E2" w:themeFill="background2"/>
            <w:noWrap/>
            <w:vAlign w:val="bottom"/>
            <w:hideMark/>
          </w:tcPr>
          <w:p w14:paraId="721D1B11" w14:textId="77777777" w:rsidR="00E70636" w:rsidRPr="00220585" w:rsidRDefault="00E70636"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638.432,00</w:t>
            </w:r>
          </w:p>
        </w:tc>
        <w:tc>
          <w:tcPr>
            <w:tcW w:w="1134" w:type="dxa"/>
            <w:tcBorders>
              <w:top w:val="single" w:sz="4" w:space="0" w:color="305496"/>
              <w:left w:val="nil"/>
              <w:bottom w:val="single" w:sz="4" w:space="0" w:color="305496"/>
              <w:right w:val="nil"/>
            </w:tcBorders>
            <w:shd w:val="clear" w:color="auto" w:fill="E4E3E2" w:themeFill="background2"/>
            <w:noWrap/>
            <w:vAlign w:val="bottom"/>
            <w:hideMark/>
          </w:tcPr>
          <w:p w14:paraId="61A44DE4" w14:textId="77777777" w:rsidR="00E70636" w:rsidRPr="00220585" w:rsidRDefault="00E70636"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7,41%</w:t>
            </w:r>
          </w:p>
        </w:tc>
        <w:tc>
          <w:tcPr>
            <w:tcW w:w="1020" w:type="dxa"/>
            <w:tcBorders>
              <w:top w:val="single" w:sz="4" w:space="0" w:color="305496"/>
              <w:left w:val="nil"/>
              <w:bottom w:val="single" w:sz="4" w:space="0" w:color="305496"/>
              <w:right w:val="nil"/>
            </w:tcBorders>
            <w:shd w:val="clear" w:color="auto" w:fill="E4E3E2" w:themeFill="background2"/>
            <w:noWrap/>
            <w:vAlign w:val="bottom"/>
            <w:hideMark/>
          </w:tcPr>
          <w:p w14:paraId="774D0143" w14:textId="3DA1AD95" w:rsidR="00E70636" w:rsidRPr="00220585" w:rsidRDefault="00E70636"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3</w:t>
            </w:r>
          </w:p>
        </w:tc>
      </w:tr>
      <w:tr w:rsidR="00E70636" w:rsidRPr="00220585" w14:paraId="41C5B38E" w14:textId="77777777" w:rsidTr="00EA0726">
        <w:trPr>
          <w:trHeight w:val="300"/>
        </w:trPr>
        <w:tc>
          <w:tcPr>
            <w:tcW w:w="4819" w:type="dxa"/>
            <w:tcBorders>
              <w:top w:val="single" w:sz="4" w:space="0" w:color="305496"/>
              <w:left w:val="nil"/>
              <w:bottom w:val="nil"/>
              <w:right w:val="nil"/>
            </w:tcBorders>
            <w:shd w:val="clear" w:color="auto" w:fill="auto"/>
            <w:vAlign w:val="bottom"/>
            <w:hideMark/>
          </w:tcPr>
          <w:p w14:paraId="1F57D20A" w14:textId="77777777" w:rsidR="00E70636" w:rsidRPr="00220585" w:rsidRDefault="00E70636" w:rsidP="00E70636">
            <w:pPr>
              <w:jc w:val="left"/>
              <w:rPr>
                <w:rFonts w:eastAsia="Times New Roman" w:cs="Calibri"/>
                <w:color w:val="000000"/>
                <w:sz w:val="16"/>
                <w:szCs w:val="16"/>
                <w:lang w:eastAsia="en-US"/>
              </w:rPr>
            </w:pPr>
            <w:r w:rsidRPr="00220585">
              <w:rPr>
                <w:rFonts w:eastAsia="Times New Roman" w:cs="Calibri"/>
                <w:color w:val="000000"/>
                <w:sz w:val="16"/>
                <w:szCs w:val="16"/>
                <w:lang w:eastAsia="en-US"/>
              </w:rPr>
              <w:t>Eco-efficientamento energetico Asse V Sviluppo Urbano Sostenibile</w:t>
            </w:r>
          </w:p>
        </w:tc>
        <w:tc>
          <w:tcPr>
            <w:tcW w:w="1389" w:type="dxa"/>
            <w:tcBorders>
              <w:top w:val="single" w:sz="4" w:space="0" w:color="305496"/>
              <w:left w:val="nil"/>
              <w:bottom w:val="nil"/>
              <w:right w:val="nil"/>
            </w:tcBorders>
            <w:shd w:val="clear" w:color="auto" w:fill="auto"/>
            <w:noWrap/>
            <w:vAlign w:val="bottom"/>
            <w:hideMark/>
          </w:tcPr>
          <w:p w14:paraId="0721916B" w14:textId="77777777" w:rsidR="00E70636" w:rsidRPr="00220585" w:rsidRDefault="00E70636"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1.161.213,00</w:t>
            </w:r>
          </w:p>
        </w:tc>
        <w:tc>
          <w:tcPr>
            <w:tcW w:w="1389" w:type="dxa"/>
            <w:tcBorders>
              <w:top w:val="single" w:sz="4" w:space="0" w:color="305496"/>
              <w:left w:val="nil"/>
              <w:bottom w:val="nil"/>
              <w:right w:val="nil"/>
            </w:tcBorders>
            <w:shd w:val="clear" w:color="auto" w:fill="auto"/>
            <w:noWrap/>
            <w:vAlign w:val="bottom"/>
            <w:hideMark/>
          </w:tcPr>
          <w:p w14:paraId="2DD469CC" w14:textId="77777777" w:rsidR="00E70636" w:rsidRPr="00220585" w:rsidRDefault="00E70636"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38.432,00</w:t>
            </w:r>
          </w:p>
        </w:tc>
        <w:tc>
          <w:tcPr>
            <w:tcW w:w="1134" w:type="dxa"/>
            <w:tcBorders>
              <w:top w:val="single" w:sz="4" w:space="0" w:color="305496"/>
              <w:left w:val="nil"/>
              <w:bottom w:val="nil"/>
              <w:right w:val="nil"/>
            </w:tcBorders>
            <w:shd w:val="clear" w:color="auto" w:fill="auto"/>
            <w:noWrap/>
            <w:vAlign w:val="bottom"/>
            <w:hideMark/>
          </w:tcPr>
          <w:p w14:paraId="48EB8C3A" w14:textId="77777777" w:rsidR="00E70636" w:rsidRPr="00220585" w:rsidRDefault="00E70636"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3,31%</w:t>
            </w:r>
          </w:p>
        </w:tc>
        <w:tc>
          <w:tcPr>
            <w:tcW w:w="1020" w:type="dxa"/>
            <w:tcBorders>
              <w:top w:val="single" w:sz="4" w:space="0" w:color="305496"/>
              <w:left w:val="nil"/>
              <w:bottom w:val="nil"/>
              <w:right w:val="nil"/>
            </w:tcBorders>
            <w:shd w:val="clear" w:color="auto" w:fill="auto"/>
            <w:noWrap/>
            <w:vAlign w:val="bottom"/>
            <w:hideMark/>
          </w:tcPr>
          <w:p w14:paraId="0F6F741A" w14:textId="7E8CEF70" w:rsidR="00E70636" w:rsidRPr="00220585" w:rsidRDefault="00E70636"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1</w:t>
            </w:r>
          </w:p>
        </w:tc>
      </w:tr>
      <w:tr w:rsidR="00E70636" w:rsidRPr="00220585" w14:paraId="5F1C67FC" w14:textId="77777777" w:rsidTr="00847325">
        <w:trPr>
          <w:trHeight w:val="300"/>
        </w:trPr>
        <w:tc>
          <w:tcPr>
            <w:tcW w:w="4819" w:type="dxa"/>
            <w:tcBorders>
              <w:top w:val="nil"/>
              <w:left w:val="nil"/>
              <w:bottom w:val="nil"/>
              <w:right w:val="nil"/>
            </w:tcBorders>
            <w:shd w:val="clear" w:color="auto" w:fill="auto"/>
            <w:vAlign w:val="bottom"/>
            <w:hideMark/>
          </w:tcPr>
          <w:p w14:paraId="58862B92" w14:textId="77777777" w:rsidR="00E70636" w:rsidRPr="00220585" w:rsidRDefault="00E70636" w:rsidP="00E70636">
            <w:pPr>
              <w:jc w:val="left"/>
              <w:rPr>
                <w:rFonts w:eastAsia="Times New Roman" w:cs="Calibri"/>
                <w:color w:val="000000"/>
                <w:sz w:val="16"/>
                <w:szCs w:val="16"/>
                <w:lang w:eastAsia="en-US"/>
              </w:rPr>
            </w:pPr>
            <w:r w:rsidRPr="00220585">
              <w:rPr>
                <w:rFonts w:eastAsia="Times New Roman" w:cs="Calibri"/>
                <w:color w:val="000000"/>
                <w:sz w:val="16"/>
                <w:szCs w:val="16"/>
                <w:lang w:eastAsia="en-US"/>
              </w:rPr>
              <w:t>Illuminazione pubblica Asse V Sviluppo Urbano Sostenibile</w:t>
            </w:r>
          </w:p>
        </w:tc>
        <w:tc>
          <w:tcPr>
            <w:tcW w:w="1389" w:type="dxa"/>
            <w:tcBorders>
              <w:top w:val="nil"/>
              <w:left w:val="nil"/>
              <w:bottom w:val="nil"/>
              <w:right w:val="nil"/>
            </w:tcBorders>
            <w:shd w:val="clear" w:color="auto" w:fill="auto"/>
            <w:noWrap/>
            <w:vAlign w:val="bottom"/>
            <w:hideMark/>
          </w:tcPr>
          <w:p w14:paraId="2E4269D7" w14:textId="77777777" w:rsidR="00E70636" w:rsidRPr="00220585" w:rsidRDefault="00E70636"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600.000,00</w:t>
            </w:r>
          </w:p>
        </w:tc>
        <w:tc>
          <w:tcPr>
            <w:tcW w:w="1389" w:type="dxa"/>
            <w:tcBorders>
              <w:top w:val="nil"/>
              <w:left w:val="nil"/>
              <w:bottom w:val="nil"/>
              <w:right w:val="nil"/>
            </w:tcBorders>
            <w:shd w:val="clear" w:color="auto" w:fill="auto"/>
            <w:noWrap/>
            <w:vAlign w:val="bottom"/>
            <w:hideMark/>
          </w:tcPr>
          <w:p w14:paraId="44E322DD" w14:textId="77777777" w:rsidR="00E70636" w:rsidRPr="00220585" w:rsidRDefault="00E70636"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600.000,00</w:t>
            </w:r>
          </w:p>
        </w:tc>
        <w:tc>
          <w:tcPr>
            <w:tcW w:w="1134" w:type="dxa"/>
            <w:tcBorders>
              <w:top w:val="nil"/>
              <w:left w:val="nil"/>
              <w:bottom w:val="nil"/>
              <w:right w:val="nil"/>
            </w:tcBorders>
            <w:shd w:val="clear" w:color="auto" w:fill="auto"/>
            <w:noWrap/>
            <w:vAlign w:val="bottom"/>
            <w:hideMark/>
          </w:tcPr>
          <w:p w14:paraId="58BD563E" w14:textId="77777777" w:rsidR="00E70636" w:rsidRPr="00220585" w:rsidRDefault="00E70636"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72A2802E" w14:textId="7FCA925F" w:rsidR="00E70636" w:rsidRPr="00220585" w:rsidRDefault="00E70636"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1</w:t>
            </w:r>
          </w:p>
        </w:tc>
      </w:tr>
      <w:tr w:rsidR="00E70636" w:rsidRPr="00220585" w14:paraId="11C23353" w14:textId="77777777" w:rsidTr="00847325">
        <w:trPr>
          <w:trHeight w:val="300"/>
        </w:trPr>
        <w:tc>
          <w:tcPr>
            <w:tcW w:w="4819" w:type="dxa"/>
            <w:tcBorders>
              <w:top w:val="nil"/>
              <w:left w:val="nil"/>
              <w:bottom w:val="nil"/>
              <w:right w:val="nil"/>
            </w:tcBorders>
            <w:shd w:val="clear" w:color="auto" w:fill="auto"/>
            <w:vAlign w:val="bottom"/>
            <w:hideMark/>
          </w:tcPr>
          <w:p w14:paraId="5FCE1160" w14:textId="77777777" w:rsidR="00E70636" w:rsidRPr="00220585" w:rsidRDefault="00E70636" w:rsidP="00E70636">
            <w:pPr>
              <w:jc w:val="left"/>
              <w:rPr>
                <w:rFonts w:eastAsia="Times New Roman" w:cs="Calibri"/>
                <w:color w:val="000000"/>
                <w:sz w:val="16"/>
                <w:szCs w:val="16"/>
                <w:lang w:eastAsia="en-US"/>
              </w:rPr>
            </w:pPr>
            <w:r w:rsidRPr="00220585">
              <w:rPr>
                <w:rFonts w:eastAsia="Times New Roman" w:cs="Calibri"/>
                <w:color w:val="000000"/>
                <w:sz w:val="16"/>
                <w:szCs w:val="16"/>
                <w:lang w:eastAsia="en-US"/>
              </w:rPr>
              <w:t>Sviluppo Urbano Asse 5 Affidamento ILSPA</w:t>
            </w:r>
          </w:p>
        </w:tc>
        <w:tc>
          <w:tcPr>
            <w:tcW w:w="1389" w:type="dxa"/>
            <w:tcBorders>
              <w:top w:val="nil"/>
              <w:left w:val="nil"/>
              <w:bottom w:val="nil"/>
              <w:right w:val="nil"/>
            </w:tcBorders>
            <w:shd w:val="clear" w:color="auto" w:fill="auto"/>
            <w:noWrap/>
            <w:vAlign w:val="bottom"/>
            <w:hideMark/>
          </w:tcPr>
          <w:p w14:paraId="7F7D801D" w14:textId="77777777" w:rsidR="00E70636" w:rsidRPr="00220585" w:rsidRDefault="00E70636"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6.852.172,00</w:t>
            </w:r>
          </w:p>
        </w:tc>
        <w:tc>
          <w:tcPr>
            <w:tcW w:w="1389" w:type="dxa"/>
            <w:tcBorders>
              <w:top w:val="nil"/>
              <w:left w:val="nil"/>
              <w:bottom w:val="nil"/>
              <w:right w:val="nil"/>
            </w:tcBorders>
            <w:shd w:val="clear" w:color="auto" w:fill="auto"/>
            <w:noWrap/>
            <w:vAlign w:val="bottom"/>
            <w:hideMark/>
          </w:tcPr>
          <w:p w14:paraId="0CA8DC7D" w14:textId="77777777" w:rsidR="00E70636" w:rsidRPr="00220585" w:rsidRDefault="00E70636"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hideMark/>
          </w:tcPr>
          <w:p w14:paraId="451F55F1" w14:textId="77777777" w:rsidR="00E70636" w:rsidRPr="00220585" w:rsidRDefault="00E70636"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5E30D0AC" w14:textId="195E3BED" w:rsidR="00E70636" w:rsidRPr="00220585" w:rsidRDefault="00E70636"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1</w:t>
            </w:r>
          </w:p>
        </w:tc>
      </w:tr>
      <w:tr w:rsidR="00E70636" w:rsidRPr="00220585" w14:paraId="296A3688" w14:textId="77777777" w:rsidTr="00EA0726">
        <w:trPr>
          <w:trHeight w:val="300"/>
        </w:trPr>
        <w:tc>
          <w:tcPr>
            <w:tcW w:w="4819" w:type="dxa"/>
            <w:tcBorders>
              <w:top w:val="nil"/>
              <w:left w:val="nil"/>
              <w:bottom w:val="single" w:sz="4" w:space="0" w:color="305496"/>
              <w:right w:val="nil"/>
            </w:tcBorders>
            <w:shd w:val="clear" w:color="auto" w:fill="E4E3E2" w:themeFill="background2"/>
            <w:vAlign w:val="bottom"/>
          </w:tcPr>
          <w:p w14:paraId="6237ACA6" w14:textId="77777777" w:rsidR="00E70636" w:rsidRPr="00220585" w:rsidRDefault="00E70636" w:rsidP="00E70636">
            <w:pPr>
              <w:jc w:val="left"/>
              <w:rPr>
                <w:rFonts w:eastAsia="Times New Roman" w:cs="Calibri"/>
                <w:b/>
                <w:bCs/>
                <w:color w:val="000000"/>
                <w:sz w:val="16"/>
                <w:szCs w:val="16"/>
                <w:lang w:eastAsia="en-US"/>
              </w:rPr>
            </w:pPr>
            <w:r w:rsidRPr="00220585">
              <w:rPr>
                <w:rFonts w:eastAsia="Times New Roman" w:cs="Calibri"/>
                <w:b/>
                <w:bCs/>
                <w:color w:val="000000"/>
                <w:sz w:val="16"/>
                <w:szCs w:val="16"/>
                <w:lang w:eastAsia="en-US"/>
              </w:rPr>
              <w:t>VI - STRATEGIA TURISTICA DELLE AREE INTERNE</w:t>
            </w:r>
          </w:p>
        </w:tc>
        <w:tc>
          <w:tcPr>
            <w:tcW w:w="1389" w:type="dxa"/>
            <w:tcBorders>
              <w:top w:val="nil"/>
              <w:left w:val="nil"/>
              <w:bottom w:val="single" w:sz="4" w:space="0" w:color="305496"/>
              <w:right w:val="nil"/>
            </w:tcBorders>
            <w:shd w:val="clear" w:color="auto" w:fill="E4E3E2" w:themeFill="background2"/>
            <w:noWrap/>
            <w:vAlign w:val="bottom"/>
          </w:tcPr>
          <w:p w14:paraId="0CE750AC" w14:textId="77777777" w:rsidR="00E70636" w:rsidRPr="00220585" w:rsidRDefault="00E70636"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10.308.471,00</w:t>
            </w:r>
          </w:p>
        </w:tc>
        <w:tc>
          <w:tcPr>
            <w:tcW w:w="1389" w:type="dxa"/>
            <w:tcBorders>
              <w:top w:val="nil"/>
              <w:left w:val="nil"/>
              <w:bottom w:val="single" w:sz="4" w:space="0" w:color="305496"/>
              <w:right w:val="nil"/>
            </w:tcBorders>
            <w:shd w:val="clear" w:color="auto" w:fill="E4E3E2" w:themeFill="background2"/>
            <w:noWrap/>
            <w:vAlign w:val="bottom"/>
          </w:tcPr>
          <w:p w14:paraId="210E8D56" w14:textId="77777777" w:rsidR="00E70636" w:rsidRPr="00220585" w:rsidRDefault="00E70636"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1.322.592,00</w:t>
            </w:r>
          </w:p>
        </w:tc>
        <w:tc>
          <w:tcPr>
            <w:tcW w:w="1134" w:type="dxa"/>
            <w:tcBorders>
              <w:top w:val="nil"/>
              <w:left w:val="nil"/>
              <w:bottom w:val="single" w:sz="4" w:space="0" w:color="305496"/>
              <w:right w:val="nil"/>
            </w:tcBorders>
            <w:shd w:val="clear" w:color="auto" w:fill="E4E3E2" w:themeFill="background2"/>
            <w:noWrap/>
            <w:vAlign w:val="bottom"/>
          </w:tcPr>
          <w:p w14:paraId="4650CE38" w14:textId="77777777" w:rsidR="00E70636" w:rsidRPr="00220585" w:rsidRDefault="00E70636"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12,83%</w:t>
            </w:r>
          </w:p>
        </w:tc>
        <w:tc>
          <w:tcPr>
            <w:tcW w:w="1020" w:type="dxa"/>
            <w:tcBorders>
              <w:top w:val="nil"/>
              <w:left w:val="nil"/>
              <w:bottom w:val="single" w:sz="4" w:space="0" w:color="305496"/>
              <w:right w:val="nil"/>
            </w:tcBorders>
            <w:shd w:val="clear" w:color="auto" w:fill="E4E3E2" w:themeFill="background2"/>
            <w:noWrap/>
            <w:vAlign w:val="bottom"/>
          </w:tcPr>
          <w:p w14:paraId="25041A1B" w14:textId="4F2DBED9" w:rsidR="00E70636" w:rsidRPr="00220585" w:rsidRDefault="00E70636"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27</w:t>
            </w:r>
          </w:p>
        </w:tc>
      </w:tr>
      <w:tr w:rsidR="00E70636" w:rsidRPr="00220585" w14:paraId="6DD6B32F" w14:textId="77777777" w:rsidTr="00EA0726">
        <w:trPr>
          <w:trHeight w:val="300"/>
        </w:trPr>
        <w:tc>
          <w:tcPr>
            <w:tcW w:w="4819" w:type="dxa"/>
            <w:tcBorders>
              <w:top w:val="single" w:sz="4" w:space="0" w:color="305496"/>
              <w:left w:val="nil"/>
              <w:bottom w:val="single" w:sz="4" w:space="0" w:color="305496"/>
              <w:right w:val="nil"/>
            </w:tcBorders>
            <w:shd w:val="clear" w:color="auto" w:fill="auto"/>
            <w:vAlign w:val="bottom"/>
          </w:tcPr>
          <w:p w14:paraId="6ABAC623" w14:textId="77777777" w:rsidR="00E70636" w:rsidRPr="00220585" w:rsidRDefault="00E70636" w:rsidP="00E70636">
            <w:pPr>
              <w:jc w:val="left"/>
              <w:rPr>
                <w:rFonts w:eastAsia="Times New Roman" w:cs="Calibri"/>
                <w:color w:val="000000"/>
                <w:sz w:val="16"/>
                <w:szCs w:val="16"/>
                <w:lang w:eastAsia="en-US"/>
              </w:rPr>
            </w:pPr>
            <w:r w:rsidRPr="00220585">
              <w:rPr>
                <w:rFonts w:eastAsia="Times New Roman" w:cs="Calibri"/>
                <w:color w:val="000000"/>
                <w:sz w:val="16"/>
                <w:szCs w:val="16"/>
                <w:lang w:eastAsia="en-US"/>
              </w:rPr>
              <w:t>Aree Interne Asse 6</w:t>
            </w:r>
          </w:p>
        </w:tc>
        <w:tc>
          <w:tcPr>
            <w:tcW w:w="1389" w:type="dxa"/>
            <w:tcBorders>
              <w:top w:val="single" w:sz="4" w:space="0" w:color="305496"/>
              <w:left w:val="nil"/>
              <w:bottom w:val="single" w:sz="4" w:space="0" w:color="305496"/>
              <w:right w:val="nil"/>
            </w:tcBorders>
            <w:shd w:val="clear" w:color="auto" w:fill="auto"/>
            <w:noWrap/>
            <w:vAlign w:val="bottom"/>
          </w:tcPr>
          <w:p w14:paraId="1A50188A" w14:textId="77777777" w:rsidR="00E70636" w:rsidRPr="00220585" w:rsidRDefault="00E70636"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10.308.471,00</w:t>
            </w:r>
          </w:p>
        </w:tc>
        <w:tc>
          <w:tcPr>
            <w:tcW w:w="1389" w:type="dxa"/>
            <w:tcBorders>
              <w:top w:val="single" w:sz="4" w:space="0" w:color="305496"/>
              <w:left w:val="nil"/>
              <w:bottom w:val="single" w:sz="4" w:space="0" w:color="305496"/>
              <w:right w:val="nil"/>
            </w:tcBorders>
            <w:shd w:val="clear" w:color="auto" w:fill="auto"/>
            <w:noWrap/>
            <w:vAlign w:val="bottom"/>
          </w:tcPr>
          <w:p w14:paraId="0DCA2839" w14:textId="77777777" w:rsidR="00E70636" w:rsidRPr="00220585" w:rsidRDefault="00E70636"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1.322.592,00</w:t>
            </w:r>
          </w:p>
        </w:tc>
        <w:tc>
          <w:tcPr>
            <w:tcW w:w="1134" w:type="dxa"/>
            <w:tcBorders>
              <w:top w:val="single" w:sz="4" w:space="0" w:color="305496"/>
              <w:left w:val="nil"/>
              <w:bottom w:val="single" w:sz="4" w:space="0" w:color="305496"/>
              <w:right w:val="nil"/>
            </w:tcBorders>
            <w:shd w:val="clear" w:color="auto" w:fill="auto"/>
            <w:noWrap/>
            <w:vAlign w:val="bottom"/>
          </w:tcPr>
          <w:p w14:paraId="1F75CE21" w14:textId="77777777" w:rsidR="00E70636" w:rsidRPr="00220585" w:rsidRDefault="00E70636"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12,83%</w:t>
            </w:r>
          </w:p>
        </w:tc>
        <w:tc>
          <w:tcPr>
            <w:tcW w:w="1020" w:type="dxa"/>
            <w:tcBorders>
              <w:top w:val="single" w:sz="4" w:space="0" w:color="305496"/>
              <w:left w:val="nil"/>
              <w:bottom w:val="single" w:sz="4" w:space="0" w:color="305496"/>
              <w:right w:val="nil"/>
            </w:tcBorders>
            <w:shd w:val="clear" w:color="auto" w:fill="auto"/>
            <w:noWrap/>
            <w:vAlign w:val="bottom"/>
          </w:tcPr>
          <w:p w14:paraId="05717D0B" w14:textId="28FF7D2D" w:rsidR="00E70636" w:rsidRPr="00220585" w:rsidRDefault="00E70636"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27</w:t>
            </w:r>
          </w:p>
        </w:tc>
      </w:tr>
    </w:tbl>
    <w:p w14:paraId="60A50802" w14:textId="77777777" w:rsidR="00E5782E" w:rsidRDefault="005D6B8F" w:rsidP="005D6B8F">
      <w:pPr>
        <w:rPr>
          <w:sz w:val="18"/>
          <w:szCs w:val="18"/>
        </w:rPr>
      </w:pPr>
      <w:r>
        <w:rPr>
          <w:sz w:val="18"/>
          <w:szCs w:val="18"/>
        </w:rPr>
        <w:t>Fonte: Dati di monitoraggio forniti da Regione Lombardia aggiornati al 31.12.2020.</w:t>
      </w:r>
    </w:p>
    <w:p w14:paraId="36313155" w14:textId="77777777" w:rsidR="005D6B8F" w:rsidRPr="005D6B8F" w:rsidRDefault="00E37297" w:rsidP="005D6B8F">
      <w:pPr>
        <w:rPr>
          <w:sz w:val="18"/>
          <w:szCs w:val="18"/>
        </w:rPr>
      </w:pPr>
      <w:r>
        <w:rPr>
          <w:sz w:val="18"/>
          <w:szCs w:val="18"/>
        </w:rPr>
        <w:t>*</w:t>
      </w:r>
      <w:r w:rsidR="004E6566" w:rsidRPr="00825203">
        <w:rPr>
          <w:sz w:val="18"/>
          <w:szCs w:val="18"/>
        </w:rPr>
        <w:t xml:space="preserve"> esclusa </w:t>
      </w:r>
      <w:r w:rsidRPr="00E37297">
        <w:rPr>
          <w:sz w:val="18"/>
          <w:szCs w:val="18"/>
        </w:rPr>
        <w:t>azione di sostegno all'avvio e rafforzamento di attività imprenditoriali con effetti socialmente desiderabili (V.3.c.1.1.)</w:t>
      </w:r>
      <w:r>
        <w:rPr>
          <w:sz w:val="18"/>
          <w:szCs w:val="18"/>
        </w:rPr>
        <w:t xml:space="preserve"> per cui non sono state fornite informazioni </w:t>
      </w:r>
      <w:r w:rsidR="008B0B44">
        <w:rPr>
          <w:sz w:val="18"/>
          <w:szCs w:val="18"/>
        </w:rPr>
        <w:t>di monitoraggio durante la fase di elaborazione dei dati</w:t>
      </w:r>
      <w:r w:rsidRPr="00E37297">
        <w:rPr>
          <w:sz w:val="18"/>
          <w:szCs w:val="18"/>
        </w:rPr>
        <w:t>.</w:t>
      </w:r>
    </w:p>
    <w:p w14:paraId="183E6658" w14:textId="77777777" w:rsidR="00E37297" w:rsidRDefault="00E37297" w:rsidP="007F29A9">
      <w:pPr>
        <w:rPr>
          <w:szCs w:val="22"/>
        </w:rPr>
      </w:pPr>
      <w:bookmarkStart w:id="55" w:name="_Hlk79158011"/>
    </w:p>
    <w:p w14:paraId="2CE8F6FE" w14:textId="77777777" w:rsidR="00D04734" w:rsidRDefault="00D04734" w:rsidP="007F29A9">
      <w:pPr>
        <w:rPr>
          <w:szCs w:val="22"/>
        </w:rPr>
      </w:pPr>
      <w:r w:rsidRPr="00D04734">
        <w:rPr>
          <w:szCs w:val="22"/>
        </w:rPr>
        <w:t>La tabella seguente riporta lo stato di avanzamento finanziario dell</w:t>
      </w:r>
      <w:r w:rsidR="002A7645">
        <w:rPr>
          <w:szCs w:val="22"/>
        </w:rPr>
        <w:t>a priorità V</w:t>
      </w:r>
      <w:r w:rsidR="001E7E3D">
        <w:rPr>
          <w:szCs w:val="22"/>
        </w:rPr>
        <w:t>I</w:t>
      </w:r>
      <w:r w:rsidR="002A7645">
        <w:rPr>
          <w:szCs w:val="22"/>
        </w:rPr>
        <w:t xml:space="preserve"> del </w:t>
      </w:r>
      <w:r w:rsidRPr="005B6554">
        <w:rPr>
          <w:b/>
          <w:bCs/>
          <w:szCs w:val="22"/>
        </w:rPr>
        <w:t>PSR FEASR</w:t>
      </w:r>
      <w:r w:rsidRPr="00D04734">
        <w:rPr>
          <w:szCs w:val="22"/>
        </w:rPr>
        <w:t xml:space="preserve">. Il FEASR contribuisce all’area socio-economica </w:t>
      </w:r>
      <w:r w:rsidR="006215EA">
        <w:rPr>
          <w:szCs w:val="22"/>
        </w:rPr>
        <w:t>impegnando</w:t>
      </w:r>
      <w:r w:rsidRPr="00D04734">
        <w:rPr>
          <w:szCs w:val="22"/>
        </w:rPr>
        <w:t xml:space="preserve"> risorse per 131 milioni di euro, circa 3 milioni in più rispetto all’ammontare inizialmente programmato.</w:t>
      </w:r>
      <w:r>
        <w:rPr>
          <w:szCs w:val="22"/>
        </w:rPr>
        <w:t xml:space="preserve"> Tuttavia, solamente il 21,82% delle risorse programmate risulta effettivamente speso.</w:t>
      </w:r>
    </w:p>
    <w:p w14:paraId="00582A85" w14:textId="77777777" w:rsidR="00220585" w:rsidRPr="00D04734" w:rsidRDefault="00220585" w:rsidP="007F29A9">
      <w:pPr>
        <w:rPr>
          <w:szCs w:val="22"/>
        </w:rPr>
      </w:pPr>
    </w:p>
    <w:p w14:paraId="5163E54A" w14:textId="77777777" w:rsidR="00896B03" w:rsidRDefault="00896B03" w:rsidP="00896B03">
      <w:pPr>
        <w:pStyle w:val="Didascalia"/>
      </w:pPr>
      <w:bookmarkStart w:id="56" w:name="_Toc91081448"/>
      <w:r>
        <w:t xml:space="preserve">Tabella </w:t>
      </w:r>
      <w:r w:rsidR="004E6566">
        <w:fldChar w:fldCharType="begin"/>
      </w:r>
      <w:r>
        <w:instrText xml:space="preserve"> SEQ Tabella \* ARABIC </w:instrText>
      </w:r>
      <w:r w:rsidR="004E6566">
        <w:fldChar w:fldCharType="separate"/>
      </w:r>
      <w:r w:rsidR="00E53D6C">
        <w:rPr>
          <w:noProof/>
        </w:rPr>
        <w:t>22</w:t>
      </w:r>
      <w:r w:rsidR="004E6566">
        <w:fldChar w:fldCharType="end"/>
      </w:r>
      <w:r w:rsidR="001230B4">
        <w:t>. A</w:t>
      </w:r>
      <w:r>
        <w:t>vanzamento degli assi FEASR - Area socio-economica – fine 2020</w:t>
      </w:r>
      <w:bookmarkEnd w:id="56"/>
    </w:p>
    <w:tbl>
      <w:tblPr>
        <w:tblW w:w="9753" w:type="dxa"/>
        <w:tblLayout w:type="fixed"/>
        <w:tblLook w:val="04A0" w:firstRow="1" w:lastRow="0" w:firstColumn="1" w:lastColumn="0" w:noHBand="0" w:noVBand="1"/>
      </w:tblPr>
      <w:tblGrid>
        <w:gridCol w:w="3742"/>
        <w:gridCol w:w="1361"/>
        <w:gridCol w:w="1361"/>
        <w:gridCol w:w="1361"/>
        <w:gridCol w:w="964"/>
        <w:gridCol w:w="964"/>
      </w:tblGrid>
      <w:tr w:rsidR="005E75CE" w:rsidRPr="00220585" w14:paraId="5DB5D8C7" w14:textId="77777777" w:rsidTr="001A51AA">
        <w:trPr>
          <w:trHeight w:val="345"/>
        </w:trPr>
        <w:tc>
          <w:tcPr>
            <w:tcW w:w="3742" w:type="dxa"/>
            <w:tcBorders>
              <w:top w:val="nil"/>
              <w:left w:val="nil"/>
              <w:bottom w:val="nil"/>
              <w:right w:val="nil"/>
            </w:tcBorders>
            <w:shd w:val="clear" w:color="auto" w:fill="669748" w:themeFill="accent2" w:themeFillShade="BF"/>
            <w:noWrap/>
            <w:vAlign w:val="bottom"/>
            <w:hideMark/>
          </w:tcPr>
          <w:p w14:paraId="006031D6" w14:textId="77777777" w:rsidR="005E75CE" w:rsidRPr="00220585" w:rsidRDefault="005E75CE" w:rsidP="005E75CE">
            <w:pPr>
              <w:jc w:val="left"/>
              <w:rPr>
                <w:rFonts w:eastAsia="Times New Roman" w:cs="Calibri"/>
                <w:b/>
                <w:bCs/>
                <w:color w:val="FFFFFF"/>
                <w:sz w:val="16"/>
                <w:szCs w:val="16"/>
                <w:lang w:eastAsia="en-US"/>
              </w:rPr>
            </w:pPr>
            <w:bookmarkStart w:id="57" w:name="_Hlk86745773"/>
            <w:r w:rsidRPr="00220585">
              <w:rPr>
                <w:rFonts w:eastAsia="Times New Roman" w:cs="Calibri"/>
                <w:b/>
                <w:bCs/>
                <w:color w:val="FFFFFF"/>
                <w:sz w:val="16"/>
                <w:szCs w:val="16"/>
                <w:lang w:eastAsia="en-US"/>
              </w:rPr>
              <w:t>Area</w:t>
            </w:r>
          </w:p>
        </w:tc>
        <w:tc>
          <w:tcPr>
            <w:tcW w:w="1361" w:type="dxa"/>
            <w:tcBorders>
              <w:top w:val="nil"/>
              <w:left w:val="nil"/>
              <w:bottom w:val="nil"/>
              <w:right w:val="nil"/>
            </w:tcBorders>
            <w:shd w:val="clear" w:color="auto" w:fill="669748" w:themeFill="accent2" w:themeFillShade="BF"/>
            <w:noWrap/>
            <w:vAlign w:val="bottom"/>
            <w:hideMark/>
          </w:tcPr>
          <w:p w14:paraId="05649A77" w14:textId="77777777" w:rsidR="005E75CE" w:rsidRPr="00220585" w:rsidRDefault="005E75CE" w:rsidP="00033A16">
            <w:pPr>
              <w:jc w:val="right"/>
              <w:rPr>
                <w:rFonts w:eastAsia="Times New Roman" w:cs="Calibri"/>
                <w:b/>
                <w:bCs/>
                <w:color w:val="FFFFFF"/>
                <w:sz w:val="16"/>
                <w:szCs w:val="16"/>
                <w:lang w:eastAsia="en-US"/>
              </w:rPr>
            </w:pPr>
            <w:r w:rsidRPr="00220585">
              <w:rPr>
                <w:rFonts w:eastAsia="Times New Roman" w:cs="Calibri"/>
                <w:b/>
                <w:bCs/>
                <w:color w:val="FFFFFF"/>
                <w:sz w:val="16"/>
                <w:szCs w:val="16"/>
                <w:lang w:eastAsia="en-US"/>
              </w:rPr>
              <w:t>A - Importo programmato</w:t>
            </w:r>
            <w:r w:rsidRPr="00220585">
              <w:rPr>
                <w:rFonts w:eastAsia="Times New Roman" w:cs="Calibri"/>
                <w:b/>
                <w:bCs/>
                <w:color w:val="FFFFFF"/>
                <w:sz w:val="16"/>
                <w:szCs w:val="16"/>
                <w:vertAlign w:val="superscript"/>
                <w:lang w:eastAsia="en-US"/>
              </w:rPr>
              <w:t>1</w:t>
            </w:r>
          </w:p>
        </w:tc>
        <w:tc>
          <w:tcPr>
            <w:tcW w:w="1361" w:type="dxa"/>
            <w:tcBorders>
              <w:top w:val="nil"/>
              <w:left w:val="nil"/>
              <w:bottom w:val="nil"/>
              <w:right w:val="nil"/>
            </w:tcBorders>
            <w:shd w:val="clear" w:color="auto" w:fill="669748" w:themeFill="accent2" w:themeFillShade="BF"/>
            <w:noWrap/>
            <w:vAlign w:val="bottom"/>
            <w:hideMark/>
          </w:tcPr>
          <w:p w14:paraId="7F8671CA" w14:textId="77777777" w:rsidR="005E75CE" w:rsidRPr="00220585" w:rsidRDefault="005E75CE" w:rsidP="00033A16">
            <w:pPr>
              <w:jc w:val="right"/>
              <w:rPr>
                <w:rFonts w:eastAsia="Times New Roman" w:cs="Calibri"/>
                <w:b/>
                <w:bCs/>
                <w:color w:val="FFFFFF"/>
                <w:sz w:val="16"/>
                <w:szCs w:val="16"/>
                <w:lang w:eastAsia="en-US"/>
              </w:rPr>
            </w:pPr>
            <w:r w:rsidRPr="00220585">
              <w:rPr>
                <w:rFonts w:eastAsia="Times New Roman" w:cs="Calibri"/>
                <w:b/>
                <w:bCs/>
                <w:color w:val="FFFFFF"/>
                <w:sz w:val="16"/>
                <w:szCs w:val="16"/>
                <w:lang w:eastAsia="en-US"/>
              </w:rPr>
              <w:t>B - Importo impegnato</w:t>
            </w:r>
          </w:p>
        </w:tc>
        <w:tc>
          <w:tcPr>
            <w:tcW w:w="1361" w:type="dxa"/>
            <w:tcBorders>
              <w:top w:val="nil"/>
              <w:left w:val="nil"/>
              <w:bottom w:val="nil"/>
              <w:right w:val="nil"/>
            </w:tcBorders>
            <w:shd w:val="clear" w:color="auto" w:fill="669748" w:themeFill="accent2" w:themeFillShade="BF"/>
            <w:noWrap/>
            <w:vAlign w:val="bottom"/>
            <w:hideMark/>
          </w:tcPr>
          <w:p w14:paraId="63C84130" w14:textId="77777777" w:rsidR="005E75CE" w:rsidRPr="00220585" w:rsidRDefault="005E75CE" w:rsidP="00033A16">
            <w:pPr>
              <w:jc w:val="right"/>
              <w:rPr>
                <w:rFonts w:eastAsia="Times New Roman" w:cs="Calibri"/>
                <w:b/>
                <w:bCs/>
                <w:color w:val="FFFFFF"/>
                <w:sz w:val="16"/>
                <w:szCs w:val="16"/>
                <w:lang w:eastAsia="en-US"/>
              </w:rPr>
            </w:pPr>
            <w:r w:rsidRPr="00220585">
              <w:rPr>
                <w:rFonts w:eastAsia="Times New Roman" w:cs="Calibri"/>
                <w:b/>
                <w:bCs/>
                <w:color w:val="FFFFFF"/>
                <w:sz w:val="16"/>
                <w:szCs w:val="16"/>
                <w:lang w:eastAsia="en-US"/>
              </w:rPr>
              <w:t>C - Spesa ammissibile dichiarata da</w:t>
            </w:r>
            <w:r w:rsidR="00BE1F60" w:rsidRPr="00220585">
              <w:rPr>
                <w:rFonts w:eastAsia="Times New Roman" w:cs="Calibri"/>
                <w:b/>
                <w:bCs/>
                <w:color w:val="FFFFFF"/>
                <w:sz w:val="16"/>
                <w:szCs w:val="16"/>
                <w:lang w:eastAsia="en-US"/>
              </w:rPr>
              <w:t>i</w:t>
            </w:r>
            <w:r w:rsidRPr="00220585">
              <w:rPr>
                <w:rFonts w:eastAsia="Times New Roman" w:cs="Calibri"/>
                <w:b/>
                <w:bCs/>
                <w:color w:val="FFFFFF"/>
                <w:sz w:val="16"/>
                <w:szCs w:val="16"/>
                <w:lang w:eastAsia="en-US"/>
              </w:rPr>
              <w:t xml:space="preserve"> beneficiari</w:t>
            </w:r>
          </w:p>
        </w:tc>
        <w:tc>
          <w:tcPr>
            <w:tcW w:w="964" w:type="dxa"/>
            <w:tcBorders>
              <w:top w:val="nil"/>
              <w:left w:val="nil"/>
              <w:bottom w:val="nil"/>
              <w:right w:val="nil"/>
            </w:tcBorders>
            <w:shd w:val="clear" w:color="auto" w:fill="669748" w:themeFill="accent2" w:themeFillShade="BF"/>
            <w:noWrap/>
            <w:vAlign w:val="bottom"/>
            <w:hideMark/>
          </w:tcPr>
          <w:p w14:paraId="1479AA3A" w14:textId="77777777" w:rsidR="005E75CE" w:rsidRPr="00220585" w:rsidRDefault="005E75CE" w:rsidP="00033A16">
            <w:pPr>
              <w:jc w:val="right"/>
              <w:rPr>
                <w:rFonts w:eastAsia="Times New Roman" w:cs="Calibri"/>
                <w:b/>
                <w:bCs/>
                <w:color w:val="FFFFFF"/>
                <w:sz w:val="16"/>
                <w:szCs w:val="16"/>
                <w:lang w:eastAsia="en-US"/>
              </w:rPr>
            </w:pPr>
            <w:r w:rsidRPr="00220585">
              <w:rPr>
                <w:rFonts w:eastAsia="Times New Roman" w:cs="Calibri"/>
                <w:b/>
                <w:bCs/>
                <w:color w:val="FFFFFF"/>
                <w:sz w:val="16"/>
                <w:szCs w:val="16"/>
                <w:lang w:eastAsia="en-US"/>
              </w:rPr>
              <w:t>B/A - % impegnato</w:t>
            </w:r>
          </w:p>
        </w:tc>
        <w:tc>
          <w:tcPr>
            <w:tcW w:w="964" w:type="dxa"/>
            <w:tcBorders>
              <w:top w:val="nil"/>
              <w:left w:val="nil"/>
              <w:bottom w:val="nil"/>
              <w:right w:val="nil"/>
            </w:tcBorders>
            <w:shd w:val="clear" w:color="auto" w:fill="669748" w:themeFill="accent2" w:themeFillShade="BF"/>
            <w:noWrap/>
            <w:vAlign w:val="bottom"/>
            <w:hideMark/>
          </w:tcPr>
          <w:p w14:paraId="1A843A1B" w14:textId="77777777" w:rsidR="005E75CE" w:rsidRPr="00220585" w:rsidRDefault="005E75CE" w:rsidP="00033A16">
            <w:pPr>
              <w:jc w:val="right"/>
              <w:rPr>
                <w:rFonts w:eastAsia="Times New Roman" w:cs="Calibri"/>
                <w:b/>
                <w:bCs/>
                <w:color w:val="FFFFFF"/>
                <w:sz w:val="16"/>
                <w:szCs w:val="16"/>
                <w:lang w:eastAsia="en-US"/>
              </w:rPr>
            </w:pPr>
            <w:r w:rsidRPr="00220585">
              <w:rPr>
                <w:rFonts w:eastAsia="Times New Roman" w:cs="Calibri"/>
                <w:b/>
                <w:bCs/>
                <w:color w:val="FFFFFF"/>
                <w:sz w:val="16"/>
                <w:szCs w:val="16"/>
                <w:lang w:eastAsia="en-US"/>
              </w:rPr>
              <w:t>C/A - % speso</w:t>
            </w:r>
          </w:p>
        </w:tc>
      </w:tr>
      <w:tr w:rsidR="005E75CE" w:rsidRPr="00220585" w14:paraId="3B55D599" w14:textId="77777777" w:rsidTr="00AF58DF">
        <w:trPr>
          <w:trHeight w:val="300"/>
        </w:trPr>
        <w:tc>
          <w:tcPr>
            <w:tcW w:w="3742" w:type="dxa"/>
            <w:tcBorders>
              <w:top w:val="nil"/>
              <w:left w:val="nil"/>
              <w:bottom w:val="single" w:sz="4" w:space="0" w:color="305496"/>
              <w:right w:val="nil"/>
            </w:tcBorders>
            <w:shd w:val="clear" w:color="000000" w:fill="E7E6E6"/>
            <w:noWrap/>
            <w:vAlign w:val="bottom"/>
            <w:hideMark/>
          </w:tcPr>
          <w:p w14:paraId="244A2243" w14:textId="77777777" w:rsidR="005E75CE" w:rsidRPr="00220585" w:rsidRDefault="005E75CE" w:rsidP="005E75CE">
            <w:pPr>
              <w:jc w:val="left"/>
              <w:rPr>
                <w:rFonts w:eastAsia="Times New Roman" w:cs="Calibri"/>
                <w:b/>
                <w:bCs/>
                <w:sz w:val="16"/>
                <w:szCs w:val="16"/>
                <w:lang w:eastAsia="en-US"/>
              </w:rPr>
            </w:pPr>
            <w:r w:rsidRPr="00220585">
              <w:rPr>
                <w:rFonts w:eastAsia="Times New Roman" w:cs="Calibri"/>
                <w:b/>
                <w:bCs/>
                <w:sz w:val="16"/>
                <w:szCs w:val="16"/>
                <w:lang w:eastAsia="en-US"/>
              </w:rPr>
              <w:t>Area socio-economica</w:t>
            </w:r>
          </w:p>
        </w:tc>
        <w:tc>
          <w:tcPr>
            <w:tcW w:w="1361" w:type="dxa"/>
            <w:tcBorders>
              <w:top w:val="nil"/>
              <w:left w:val="nil"/>
              <w:bottom w:val="single" w:sz="4" w:space="0" w:color="305496"/>
              <w:right w:val="nil"/>
            </w:tcBorders>
            <w:shd w:val="clear" w:color="000000" w:fill="E7E6E6"/>
            <w:noWrap/>
            <w:vAlign w:val="bottom"/>
            <w:hideMark/>
          </w:tcPr>
          <w:p w14:paraId="4B112142" w14:textId="6C71E1DD" w:rsidR="005E75CE" w:rsidRPr="00220585" w:rsidRDefault="005E75CE"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127.980.000,0</w:t>
            </w:r>
            <w:r w:rsidR="00777ED6">
              <w:rPr>
                <w:rFonts w:eastAsia="Times New Roman" w:cs="Calibri"/>
                <w:b/>
                <w:bCs/>
                <w:color w:val="000000"/>
                <w:sz w:val="16"/>
                <w:szCs w:val="16"/>
                <w:lang w:eastAsia="en-US"/>
              </w:rPr>
              <w:t>0</w:t>
            </w:r>
          </w:p>
        </w:tc>
        <w:tc>
          <w:tcPr>
            <w:tcW w:w="1361" w:type="dxa"/>
            <w:tcBorders>
              <w:top w:val="nil"/>
              <w:left w:val="nil"/>
              <w:bottom w:val="single" w:sz="4" w:space="0" w:color="305496"/>
              <w:right w:val="nil"/>
            </w:tcBorders>
            <w:shd w:val="clear" w:color="000000" w:fill="E7E6E6"/>
            <w:noWrap/>
            <w:vAlign w:val="bottom"/>
            <w:hideMark/>
          </w:tcPr>
          <w:p w14:paraId="6B35AE4D" w14:textId="6A0F0543" w:rsidR="005E75CE" w:rsidRPr="00220585" w:rsidRDefault="00777ED6" w:rsidP="00033A16">
            <w:pPr>
              <w:jc w:val="right"/>
              <w:rPr>
                <w:rFonts w:eastAsia="Times New Roman" w:cs="Calibri"/>
                <w:b/>
                <w:bCs/>
                <w:color w:val="000000"/>
                <w:sz w:val="16"/>
                <w:szCs w:val="16"/>
                <w:lang w:eastAsia="en-US"/>
              </w:rPr>
            </w:pPr>
            <w:r w:rsidRPr="00777ED6">
              <w:rPr>
                <w:rFonts w:eastAsia="Times New Roman" w:cs="Calibri"/>
                <w:b/>
                <w:bCs/>
                <w:color w:val="000000"/>
                <w:sz w:val="16"/>
                <w:szCs w:val="16"/>
                <w:lang w:eastAsia="en-US"/>
              </w:rPr>
              <w:t>132.447.058,87</w:t>
            </w:r>
          </w:p>
        </w:tc>
        <w:tc>
          <w:tcPr>
            <w:tcW w:w="1361" w:type="dxa"/>
            <w:tcBorders>
              <w:top w:val="nil"/>
              <w:left w:val="nil"/>
              <w:bottom w:val="single" w:sz="4" w:space="0" w:color="305496"/>
              <w:right w:val="nil"/>
            </w:tcBorders>
            <w:shd w:val="clear" w:color="000000" w:fill="E7E6E6"/>
            <w:noWrap/>
            <w:vAlign w:val="bottom"/>
            <w:hideMark/>
          </w:tcPr>
          <w:p w14:paraId="056CAB33" w14:textId="77777777" w:rsidR="005E75CE" w:rsidRPr="00220585" w:rsidRDefault="005E75CE"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27.930.050,92</w:t>
            </w:r>
          </w:p>
        </w:tc>
        <w:tc>
          <w:tcPr>
            <w:tcW w:w="964" w:type="dxa"/>
            <w:tcBorders>
              <w:top w:val="nil"/>
              <w:left w:val="nil"/>
              <w:bottom w:val="single" w:sz="4" w:space="0" w:color="305496"/>
              <w:right w:val="nil"/>
            </w:tcBorders>
            <w:shd w:val="clear" w:color="000000" w:fill="E7E6E6"/>
            <w:noWrap/>
            <w:vAlign w:val="bottom"/>
            <w:hideMark/>
          </w:tcPr>
          <w:p w14:paraId="34F0744F" w14:textId="5D49CCC8" w:rsidR="005E75CE" w:rsidRPr="00220585" w:rsidRDefault="00C67F33" w:rsidP="00033A16">
            <w:pPr>
              <w:jc w:val="right"/>
              <w:rPr>
                <w:rFonts w:eastAsia="Times New Roman" w:cs="Calibri"/>
                <w:b/>
                <w:bCs/>
                <w:color w:val="000000"/>
                <w:sz w:val="16"/>
                <w:szCs w:val="16"/>
                <w:lang w:eastAsia="en-US"/>
              </w:rPr>
            </w:pPr>
            <w:r w:rsidRPr="00C67F33">
              <w:rPr>
                <w:rFonts w:eastAsia="Times New Roman" w:cs="Calibri"/>
                <w:b/>
                <w:bCs/>
                <w:color w:val="000000"/>
                <w:sz w:val="16"/>
                <w:szCs w:val="16"/>
                <w:lang w:eastAsia="en-US"/>
              </w:rPr>
              <w:t>103,49</w:t>
            </w:r>
            <w:r w:rsidR="005E75CE" w:rsidRPr="00220585">
              <w:rPr>
                <w:rFonts w:eastAsia="Times New Roman" w:cs="Calibri"/>
                <w:b/>
                <w:bCs/>
                <w:color w:val="000000"/>
                <w:sz w:val="16"/>
                <w:szCs w:val="16"/>
                <w:lang w:eastAsia="en-US"/>
              </w:rPr>
              <w:t>%</w:t>
            </w:r>
          </w:p>
        </w:tc>
        <w:tc>
          <w:tcPr>
            <w:tcW w:w="964" w:type="dxa"/>
            <w:tcBorders>
              <w:top w:val="nil"/>
              <w:left w:val="nil"/>
              <w:bottom w:val="single" w:sz="4" w:space="0" w:color="305496"/>
              <w:right w:val="nil"/>
            </w:tcBorders>
            <w:shd w:val="clear" w:color="000000" w:fill="E7E6E6"/>
            <w:noWrap/>
            <w:vAlign w:val="bottom"/>
            <w:hideMark/>
          </w:tcPr>
          <w:p w14:paraId="07AAB7B2" w14:textId="77777777" w:rsidR="005E75CE" w:rsidRPr="00220585" w:rsidRDefault="005E75CE" w:rsidP="00033A16">
            <w:pPr>
              <w:jc w:val="right"/>
              <w:rPr>
                <w:rFonts w:eastAsia="Times New Roman" w:cs="Calibri"/>
                <w:b/>
                <w:bCs/>
                <w:color w:val="000000"/>
                <w:sz w:val="16"/>
                <w:szCs w:val="16"/>
                <w:lang w:eastAsia="en-US"/>
              </w:rPr>
            </w:pPr>
            <w:r w:rsidRPr="00220585">
              <w:rPr>
                <w:rFonts w:eastAsia="Times New Roman" w:cs="Calibri"/>
                <w:b/>
                <w:bCs/>
                <w:color w:val="000000"/>
                <w:sz w:val="16"/>
                <w:szCs w:val="16"/>
                <w:lang w:eastAsia="en-US"/>
              </w:rPr>
              <w:t>21,82%</w:t>
            </w:r>
          </w:p>
        </w:tc>
      </w:tr>
      <w:tr w:rsidR="005E75CE" w:rsidRPr="00220585" w14:paraId="4859B0F1" w14:textId="77777777" w:rsidTr="00AF58DF">
        <w:trPr>
          <w:trHeight w:val="300"/>
        </w:trPr>
        <w:tc>
          <w:tcPr>
            <w:tcW w:w="3742" w:type="dxa"/>
            <w:tcBorders>
              <w:top w:val="nil"/>
              <w:left w:val="nil"/>
              <w:bottom w:val="single" w:sz="4" w:space="0" w:color="305496"/>
              <w:right w:val="nil"/>
            </w:tcBorders>
            <w:shd w:val="clear" w:color="auto" w:fill="auto"/>
            <w:noWrap/>
            <w:vAlign w:val="bottom"/>
            <w:hideMark/>
          </w:tcPr>
          <w:p w14:paraId="66F00F51" w14:textId="77777777" w:rsidR="005E75CE" w:rsidRPr="00220585" w:rsidRDefault="005E75CE" w:rsidP="005E75CE">
            <w:pPr>
              <w:jc w:val="left"/>
              <w:rPr>
                <w:rFonts w:eastAsia="Times New Roman" w:cs="Calibri"/>
                <w:sz w:val="16"/>
                <w:szCs w:val="16"/>
                <w:lang w:eastAsia="en-US"/>
              </w:rPr>
            </w:pPr>
            <w:r w:rsidRPr="00220585">
              <w:rPr>
                <w:rFonts w:eastAsia="Times New Roman" w:cs="Calibri"/>
                <w:sz w:val="16"/>
                <w:szCs w:val="16"/>
                <w:lang w:eastAsia="en-US"/>
              </w:rPr>
              <w:t xml:space="preserve">VI - Inclusione sociale, riduzione della povertà e sviluppo economico nelle zone rurali </w:t>
            </w:r>
          </w:p>
        </w:tc>
        <w:tc>
          <w:tcPr>
            <w:tcW w:w="1361" w:type="dxa"/>
            <w:tcBorders>
              <w:top w:val="nil"/>
              <w:left w:val="nil"/>
              <w:bottom w:val="single" w:sz="4" w:space="0" w:color="305496"/>
              <w:right w:val="nil"/>
            </w:tcBorders>
            <w:shd w:val="clear" w:color="auto" w:fill="auto"/>
            <w:noWrap/>
            <w:vAlign w:val="bottom"/>
            <w:hideMark/>
          </w:tcPr>
          <w:p w14:paraId="2288943C" w14:textId="7341EEA4" w:rsidR="005E75CE" w:rsidRPr="00220585" w:rsidRDefault="005E75CE"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127.980.000,0</w:t>
            </w:r>
            <w:r w:rsidR="0004590D">
              <w:rPr>
                <w:rFonts w:eastAsia="Times New Roman" w:cs="Calibri"/>
                <w:color w:val="000000"/>
                <w:sz w:val="16"/>
                <w:szCs w:val="16"/>
                <w:lang w:eastAsia="en-US"/>
              </w:rPr>
              <w:t>0</w:t>
            </w:r>
          </w:p>
        </w:tc>
        <w:tc>
          <w:tcPr>
            <w:tcW w:w="1361" w:type="dxa"/>
            <w:tcBorders>
              <w:top w:val="nil"/>
              <w:left w:val="nil"/>
              <w:bottom w:val="single" w:sz="4" w:space="0" w:color="305496"/>
              <w:right w:val="nil"/>
            </w:tcBorders>
            <w:shd w:val="clear" w:color="auto" w:fill="auto"/>
            <w:noWrap/>
            <w:vAlign w:val="bottom"/>
            <w:hideMark/>
          </w:tcPr>
          <w:p w14:paraId="6CAB744C" w14:textId="49FA655F" w:rsidR="005E75CE" w:rsidRPr="00220585" w:rsidRDefault="0004590D" w:rsidP="00033A16">
            <w:pPr>
              <w:jc w:val="right"/>
              <w:rPr>
                <w:rFonts w:eastAsia="Times New Roman" w:cs="Calibri"/>
                <w:color w:val="000000"/>
                <w:sz w:val="16"/>
                <w:szCs w:val="16"/>
                <w:lang w:eastAsia="en-US"/>
              </w:rPr>
            </w:pPr>
            <w:r w:rsidRPr="0004590D">
              <w:rPr>
                <w:rFonts w:eastAsia="Times New Roman" w:cs="Calibri"/>
                <w:color w:val="000000"/>
                <w:sz w:val="16"/>
                <w:szCs w:val="16"/>
                <w:lang w:eastAsia="en-US"/>
              </w:rPr>
              <w:t>132.447.058,87</w:t>
            </w:r>
          </w:p>
        </w:tc>
        <w:tc>
          <w:tcPr>
            <w:tcW w:w="1361" w:type="dxa"/>
            <w:tcBorders>
              <w:top w:val="nil"/>
              <w:left w:val="nil"/>
              <w:bottom w:val="single" w:sz="4" w:space="0" w:color="305496"/>
              <w:right w:val="nil"/>
            </w:tcBorders>
            <w:shd w:val="clear" w:color="auto" w:fill="auto"/>
            <w:noWrap/>
            <w:vAlign w:val="bottom"/>
            <w:hideMark/>
          </w:tcPr>
          <w:p w14:paraId="089971C9" w14:textId="77777777" w:rsidR="005E75CE" w:rsidRPr="00220585" w:rsidRDefault="005E75CE"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27.930.050,92</w:t>
            </w:r>
          </w:p>
        </w:tc>
        <w:tc>
          <w:tcPr>
            <w:tcW w:w="964" w:type="dxa"/>
            <w:tcBorders>
              <w:top w:val="nil"/>
              <w:left w:val="nil"/>
              <w:bottom w:val="single" w:sz="4" w:space="0" w:color="305496"/>
              <w:right w:val="nil"/>
            </w:tcBorders>
            <w:shd w:val="clear" w:color="auto" w:fill="auto"/>
            <w:noWrap/>
            <w:vAlign w:val="bottom"/>
            <w:hideMark/>
          </w:tcPr>
          <w:p w14:paraId="01AEEE56" w14:textId="260FBC7D" w:rsidR="005E75CE" w:rsidRPr="00220585" w:rsidRDefault="0004590D" w:rsidP="00033A16">
            <w:pPr>
              <w:jc w:val="right"/>
              <w:rPr>
                <w:rFonts w:eastAsia="Times New Roman" w:cs="Calibri"/>
                <w:color w:val="000000"/>
                <w:sz w:val="16"/>
                <w:szCs w:val="16"/>
                <w:lang w:eastAsia="en-US"/>
              </w:rPr>
            </w:pPr>
            <w:r w:rsidRPr="0004590D">
              <w:rPr>
                <w:rFonts w:eastAsia="Times New Roman" w:cs="Calibri"/>
                <w:color w:val="000000"/>
                <w:sz w:val="16"/>
                <w:szCs w:val="16"/>
                <w:lang w:eastAsia="en-US"/>
              </w:rPr>
              <w:t>103,49</w:t>
            </w:r>
            <w:r w:rsidR="005E75CE" w:rsidRPr="00220585">
              <w:rPr>
                <w:rFonts w:eastAsia="Times New Roman" w:cs="Calibri"/>
                <w:color w:val="000000"/>
                <w:sz w:val="16"/>
                <w:szCs w:val="16"/>
                <w:lang w:eastAsia="en-US"/>
              </w:rPr>
              <w:t>%</w:t>
            </w:r>
          </w:p>
        </w:tc>
        <w:tc>
          <w:tcPr>
            <w:tcW w:w="964" w:type="dxa"/>
            <w:tcBorders>
              <w:top w:val="nil"/>
              <w:left w:val="nil"/>
              <w:bottom w:val="single" w:sz="4" w:space="0" w:color="305496"/>
              <w:right w:val="nil"/>
            </w:tcBorders>
            <w:shd w:val="clear" w:color="auto" w:fill="auto"/>
            <w:noWrap/>
            <w:vAlign w:val="bottom"/>
            <w:hideMark/>
          </w:tcPr>
          <w:p w14:paraId="2EFA0334" w14:textId="77777777" w:rsidR="005E75CE" w:rsidRPr="00220585" w:rsidRDefault="005E75CE" w:rsidP="00033A16">
            <w:pPr>
              <w:jc w:val="right"/>
              <w:rPr>
                <w:rFonts w:eastAsia="Times New Roman" w:cs="Calibri"/>
                <w:color w:val="000000"/>
                <w:sz w:val="16"/>
                <w:szCs w:val="16"/>
                <w:lang w:eastAsia="en-US"/>
              </w:rPr>
            </w:pPr>
            <w:r w:rsidRPr="00220585">
              <w:rPr>
                <w:rFonts w:eastAsia="Times New Roman" w:cs="Calibri"/>
                <w:color w:val="000000"/>
                <w:sz w:val="16"/>
                <w:szCs w:val="16"/>
                <w:lang w:eastAsia="en-US"/>
              </w:rPr>
              <w:t>21,82%</w:t>
            </w:r>
          </w:p>
        </w:tc>
      </w:tr>
    </w:tbl>
    <w:bookmarkEnd w:id="57"/>
    <w:p w14:paraId="33E5F03B" w14:textId="44BECC1F" w:rsidR="00AC1207" w:rsidRDefault="00AC1207" w:rsidP="007F29A9">
      <w:pPr>
        <w:rPr>
          <w:sz w:val="18"/>
          <w:szCs w:val="18"/>
        </w:rPr>
      </w:pPr>
      <w:r>
        <w:rPr>
          <w:sz w:val="18"/>
          <w:szCs w:val="18"/>
        </w:rPr>
        <w:t xml:space="preserve">Fonte: </w:t>
      </w:r>
      <w:r w:rsidR="005A4621">
        <w:rPr>
          <w:sz w:val="18"/>
          <w:szCs w:val="18"/>
        </w:rPr>
        <w:t>RAA</w:t>
      </w:r>
      <w:r>
        <w:rPr>
          <w:sz w:val="18"/>
          <w:szCs w:val="18"/>
        </w:rPr>
        <w:t>2020</w:t>
      </w:r>
    </w:p>
    <w:p w14:paraId="173DE9BE" w14:textId="77777777" w:rsidR="00896B03" w:rsidRPr="009E3807" w:rsidRDefault="00451F67" w:rsidP="007F29A9">
      <w:pPr>
        <w:rPr>
          <w:sz w:val="18"/>
          <w:szCs w:val="18"/>
        </w:rPr>
      </w:pPr>
      <w:r w:rsidRPr="00451F67">
        <w:rPr>
          <w:sz w:val="18"/>
          <w:szCs w:val="18"/>
        </w:rPr>
        <w:t xml:space="preserve">Nota: </w:t>
      </w:r>
      <w:r w:rsidRPr="00451F67">
        <w:rPr>
          <w:sz w:val="18"/>
          <w:szCs w:val="18"/>
          <w:vertAlign w:val="superscript"/>
        </w:rPr>
        <w:t xml:space="preserve">1 </w:t>
      </w:r>
      <w:r w:rsidRPr="00451F67">
        <w:rPr>
          <w:sz w:val="18"/>
          <w:szCs w:val="18"/>
        </w:rPr>
        <w:t>L’importo programmato comprende sia le risorse finanziarie dell’UE che nazionali.</w:t>
      </w:r>
    </w:p>
    <w:bookmarkEnd w:id="55"/>
    <w:p w14:paraId="3D3CDD7D" w14:textId="77777777" w:rsidR="00C437DB" w:rsidRDefault="00C437DB" w:rsidP="0086197B"/>
    <w:p w14:paraId="6309D87A" w14:textId="77777777" w:rsidR="00624B2A" w:rsidRDefault="00624B2A" w:rsidP="0086197B"/>
    <w:p w14:paraId="0BC2B8E2" w14:textId="77777777" w:rsidR="0086197B" w:rsidRDefault="0086197B" w:rsidP="0086197B">
      <w:pPr>
        <w:pStyle w:val="Titolo4"/>
      </w:pPr>
      <w:r>
        <w:t>Realizzazioni e risultati</w:t>
      </w:r>
    </w:p>
    <w:p w14:paraId="483B738B" w14:textId="77777777" w:rsidR="00735C60" w:rsidRDefault="00735C60" w:rsidP="005B6554"/>
    <w:p w14:paraId="2BCC733D" w14:textId="77777777" w:rsidR="005B6554" w:rsidRPr="006E61C1" w:rsidRDefault="005B6554" w:rsidP="005B6554">
      <w:r>
        <w:t xml:space="preserve">Le due tabelle seguenti riportano l’indice di realizzazione degli indicatori di output e di risultato degli </w:t>
      </w:r>
      <w:r w:rsidR="00220585">
        <w:t>A</w:t>
      </w:r>
      <w:r>
        <w:t xml:space="preserve">ssi del </w:t>
      </w:r>
      <w:r w:rsidRPr="00735C60">
        <w:rPr>
          <w:b/>
          <w:bCs/>
        </w:rPr>
        <w:t>POR FSE</w:t>
      </w:r>
      <w:r>
        <w:t xml:space="preserve"> afferenti all’area socio-economica</w:t>
      </w:r>
      <w:r w:rsidRPr="006E61C1">
        <w:t xml:space="preserve">. </w:t>
      </w:r>
      <w:r>
        <w:t xml:space="preserve">A fine 2020, la maggior parte dei target di output dell’Asse I sono stati già ampiamente superati ad eccezione dei progetti indirizzati ai giovani tra i 15 e 29 anni che però mostrano un buon grado di avanzamento. L’Asse I riporta anche un discreto livello di raggiungimento dei risultati in quanto più della metà (60%) dei 157.891 disoccupati che hanno partecipato alle attività finanziate dalla priorità 8i e il 27% di coloro che hanno partecipato a iniziative afferenti alla priorità di investimento 8v hanno trovato lavoro entro sei mesi dalla fine della partecipazione al progetto. Solamente le azioni riguardanti la disoccupazione giovanile all’interno della priorità d’investimento 8ii mostrano indici di raggiungimento dei risultati molto bassi riuscendo a collocare all’interno del mercato del lavoro entro sei mesi dalla fine dei progetti </w:t>
      </w:r>
      <w:r w:rsidR="00735C60">
        <w:t>appena</w:t>
      </w:r>
      <w:r>
        <w:t xml:space="preserve"> il 4% dei partecipanti. Nel complesso</w:t>
      </w:r>
      <w:r w:rsidR="00735C60">
        <w:t>, sia</w:t>
      </w:r>
      <w:r>
        <w:t xml:space="preserve"> gli indicatori di output relativi agli interventi per l’inclusione sociale (Asse II) sia quelli relativi alla formazione e istruzione (Asse III) dimostrano un ottimo livello di realizzazione. L’Asse III riporta anche un buon livello di raggiungimento dei risultati raggiungendo il target fissato </w:t>
      </w:r>
      <w:r w:rsidR="00735C60">
        <w:t xml:space="preserve">per il </w:t>
      </w:r>
      <w:r>
        <w:t>2023 per gli interventi volti a ridurre l’abbandono scolastico e promuovere parità di accesso all’istruzione (PI 10i) e dimostrando un ottimo avanzamento delle azioni volte a migliorare la coerenza tra istruzione e mercato del lavoro (PI 10iv)</w:t>
      </w:r>
      <w:r w:rsidR="00735C60">
        <w:t>.</w:t>
      </w:r>
    </w:p>
    <w:p w14:paraId="5D6DB989" w14:textId="77777777" w:rsidR="005B6554" w:rsidRPr="005B6554" w:rsidRDefault="005B6554" w:rsidP="005B6554"/>
    <w:p w14:paraId="55739675" w14:textId="77777777" w:rsidR="00350A27" w:rsidRDefault="00350A27" w:rsidP="00350A27">
      <w:pPr>
        <w:pStyle w:val="Didascalia"/>
      </w:pPr>
      <w:r w:rsidRPr="002515F0">
        <w:t>Tabella 6. Indicatori di output selezionati F</w:t>
      </w:r>
      <w:r>
        <w:t>SE</w:t>
      </w:r>
      <w:r w:rsidRPr="002515F0">
        <w:t xml:space="preserve"> – Area </w:t>
      </w:r>
      <w:r>
        <w:t>socio-economica</w:t>
      </w:r>
    </w:p>
    <w:tbl>
      <w:tblPr>
        <w:tblW w:w="5000" w:type="pct"/>
        <w:tblCellMar>
          <w:left w:w="28" w:type="dxa"/>
          <w:right w:w="28" w:type="dxa"/>
        </w:tblCellMar>
        <w:tblLook w:val="04A0" w:firstRow="1" w:lastRow="0" w:firstColumn="1" w:lastColumn="0" w:noHBand="0" w:noVBand="1"/>
      </w:tblPr>
      <w:tblGrid>
        <w:gridCol w:w="488"/>
        <w:gridCol w:w="732"/>
        <w:gridCol w:w="2409"/>
        <w:gridCol w:w="667"/>
        <w:gridCol w:w="669"/>
        <w:gridCol w:w="667"/>
        <w:gridCol w:w="669"/>
        <w:gridCol w:w="667"/>
        <w:gridCol w:w="544"/>
        <w:gridCol w:w="792"/>
        <w:gridCol w:w="669"/>
        <w:gridCol w:w="665"/>
      </w:tblGrid>
      <w:tr w:rsidR="00C130F7" w:rsidRPr="00C130F7" w14:paraId="3BC6525B" w14:textId="77777777" w:rsidTr="003270F9">
        <w:trPr>
          <w:trHeight w:val="378"/>
        </w:trPr>
        <w:tc>
          <w:tcPr>
            <w:tcW w:w="253" w:type="pct"/>
            <w:tcBorders>
              <w:top w:val="nil"/>
              <w:left w:val="nil"/>
              <w:bottom w:val="nil"/>
              <w:right w:val="nil"/>
            </w:tcBorders>
            <w:shd w:val="clear" w:color="auto" w:fill="669748" w:themeFill="accent2" w:themeFillShade="BF"/>
            <w:vAlign w:val="center"/>
            <w:hideMark/>
          </w:tcPr>
          <w:p w14:paraId="4E5FF09A" w14:textId="77777777" w:rsidR="00C130F7" w:rsidRPr="00624B2A" w:rsidRDefault="00C130F7" w:rsidP="00C130F7">
            <w:pPr>
              <w:jc w:val="left"/>
              <w:rPr>
                <w:rFonts w:eastAsia="Times New Roman" w:cs="Calibri"/>
                <w:b/>
                <w:bCs/>
                <w:color w:val="FFFFFF"/>
                <w:sz w:val="16"/>
                <w:szCs w:val="16"/>
                <w:lang w:eastAsia="it-IT"/>
              </w:rPr>
            </w:pPr>
            <w:r w:rsidRPr="00624B2A">
              <w:rPr>
                <w:rFonts w:eastAsia="Times New Roman" w:cs="Calibri"/>
                <w:b/>
                <w:bCs/>
                <w:color w:val="FFFFFF"/>
                <w:sz w:val="16"/>
                <w:szCs w:val="16"/>
                <w:lang w:eastAsia="it-IT"/>
              </w:rPr>
              <w:t>PI</w:t>
            </w:r>
          </w:p>
        </w:tc>
        <w:tc>
          <w:tcPr>
            <w:tcW w:w="380" w:type="pct"/>
            <w:tcBorders>
              <w:top w:val="nil"/>
              <w:left w:val="nil"/>
              <w:bottom w:val="nil"/>
              <w:right w:val="nil"/>
            </w:tcBorders>
            <w:shd w:val="clear" w:color="auto" w:fill="669748" w:themeFill="accent2" w:themeFillShade="BF"/>
            <w:vAlign w:val="center"/>
            <w:hideMark/>
          </w:tcPr>
          <w:p w14:paraId="519E2593" w14:textId="77777777" w:rsidR="00C130F7" w:rsidRPr="00624B2A" w:rsidRDefault="00C130F7" w:rsidP="00C130F7">
            <w:pPr>
              <w:jc w:val="left"/>
              <w:rPr>
                <w:rFonts w:eastAsia="Times New Roman" w:cs="Calibri"/>
                <w:b/>
                <w:bCs/>
                <w:color w:val="FFFFFF"/>
                <w:sz w:val="16"/>
                <w:szCs w:val="16"/>
                <w:lang w:eastAsia="it-IT"/>
              </w:rPr>
            </w:pPr>
            <w:r w:rsidRPr="00624B2A">
              <w:rPr>
                <w:rFonts w:eastAsia="Times New Roman" w:cs="Calibri"/>
                <w:b/>
                <w:bCs/>
                <w:color w:val="FFFFFF"/>
                <w:sz w:val="16"/>
                <w:szCs w:val="16"/>
                <w:lang w:eastAsia="it-IT"/>
              </w:rPr>
              <w:t>Codice indicatore</w:t>
            </w:r>
          </w:p>
        </w:tc>
        <w:tc>
          <w:tcPr>
            <w:tcW w:w="1250" w:type="pct"/>
            <w:tcBorders>
              <w:top w:val="nil"/>
              <w:left w:val="nil"/>
              <w:bottom w:val="nil"/>
              <w:right w:val="nil"/>
            </w:tcBorders>
            <w:shd w:val="clear" w:color="auto" w:fill="669748" w:themeFill="accent2" w:themeFillShade="BF"/>
            <w:vAlign w:val="center"/>
            <w:hideMark/>
          </w:tcPr>
          <w:p w14:paraId="3B146C3E" w14:textId="77777777" w:rsidR="00C130F7" w:rsidRPr="00624B2A" w:rsidRDefault="00C130F7" w:rsidP="00C130F7">
            <w:pPr>
              <w:jc w:val="left"/>
              <w:rPr>
                <w:rFonts w:eastAsia="Times New Roman" w:cs="Calibri"/>
                <w:b/>
                <w:bCs/>
                <w:color w:val="FFFFFF"/>
                <w:sz w:val="16"/>
                <w:szCs w:val="16"/>
                <w:lang w:eastAsia="it-IT"/>
              </w:rPr>
            </w:pPr>
            <w:r w:rsidRPr="00624B2A">
              <w:rPr>
                <w:rFonts w:eastAsia="Times New Roman" w:cs="Calibri"/>
                <w:b/>
                <w:bCs/>
                <w:color w:val="FFFFFF"/>
                <w:sz w:val="16"/>
                <w:szCs w:val="16"/>
                <w:lang w:eastAsia="it-IT"/>
              </w:rPr>
              <w:t xml:space="preserve">Indicatore di </w:t>
            </w:r>
            <w:r w:rsidR="00927832">
              <w:rPr>
                <w:rFonts w:eastAsia="Times New Roman" w:cs="Calibri"/>
                <w:b/>
                <w:bCs/>
                <w:color w:val="FFFFFF"/>
                <w:sz w:val="16"/>
                <w:szCs w:val="16"/>
                <w:lang w:eastAsia="it-IT"/>
              </w:rPr>
              <w:t>output</w:t>
            </w:r>
          </w:p>
        </w:tc>
        <w:tc>
          <w:tcPr>
            <w:tcW w:w="1039" w:type="pct"/>
            <w:gridSpan w:val="3"/>
            <w:tcBorders>
              <w:top w:val="nil"/>
              <w:left w:val="nil"/>
              <w:bottom w:val="nil"/>
              <w:right w:val="nil"/>
            </w:tcBorders>
            <w:shd w:val="clear" w:color="auto" w:fill="669748" w:themeFill="accent2" w:themeFillShade="BF"/>
            <w:vAlign w:val="center"/>
            <w:hideMark/>
          </w:tcPr>
          <w:p w14:paraId="19895952" w14:textId="77777777" w:rsidR="00C130F7" w:rsidRPr="00624B2A" w:rsidRDefault="00C130F7" w:rsidP="00C130F7">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A - Valore obiettivo (2023)</w:t>
            </w:r>
          </w:p>
        </w:tc>
        <w:tc>
          <w:tcPr>
            <w:tcW w:w="975" w:type="pct"/>
            <w:gridSpan w:val="3"/>
            <w:tcBorders>
              <w:top w:val="nil"/>
              <w:left w:val="nil"/>
              <w:bottom w:val="nil"/>
              <w:right w:val="nil"/>
            </w:tcBorders>
            <w:shd w:val="clear" w:color="auto" w:fill="669748" w:themeFill="accent2" w:themeFillShade="BF"/>
            <w:vAlign w:val="center"/>
            <w:hideMark/>
          </w:tcPr>
          <w:p w14:paraId="45346D9D" w14:textId="77777777" w:rsidR="00C130F7" w:rsidRPr="00624B2A" w:rsidRDefault="00C130F7" w:rsidP="00C130F7">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B - Valore 2020</w:t>
            </w:r>
          </w:p>
        </w:tc>
        <w:tc>
          <w:tcPr>
            <w:tcW w:w="1103" w:type="pct"/>
            <w:gridSpan w:val="3"/>
            <w:tcBorders>
              <w:top w:val="nil"/>
              <w:left w:val="nil"/>
              <w:bottom w:val="nil"/>
              <w:right w:val="nil"/>
            </w:tcBorders>
            <w:shd w:val="clear" w:color="auto" w:fill="669748" w:themeFill="accent2" w:themeFillShade="BF"/>
            <w:vAlign w:val="center"/>
            <w:hideMark/>
          </w:tcPr>
          <w:p w14:paraId="075DFD2D" w14:textId="77777777" w:rsidR="00C130F7" w:rsidRPr="00624B2A" w:rsidRDefault="00C130F7" w:rsidP="00C130F7">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B/A - Indice di realizzaz</w:t>
            </w:r>
            <w:r w:rsidR="00DE23D8">
              <w:rPr>
                <w:rFonts w:eastAsia="Times New Roman" w:cs="Calibri"/>
                <w:b/>
                <w:bCs/>
                <w:color w:val="FFFFFF"/>
                <w:sz w:val="16"/>
                <w:szCs w:val="16"/>
                <w:lang w:eastAsia="it-IT"/>
              </w:rPr>
              <w:t>i</w:t>
            </w:r>
            <w:r w:rsidRPr="00624B2A">
              <w:rPr>
                <w:rFonts w:eastAsia="Times New Roman" w:cs="Calibri"/>
                <w:b/>
                <w:bCs/>
                <w:color w:val="FFFFFF"/>
                <w:sz w:val="16"/>
                <w:szCs w:val="16"/>
                <w:lang w:eastAsia="it-IT"/>
              </w:rPr>
              <w:t>one</w:t>
            </w:r>
          </w:p>
        </w:tc>
      </w:tr>
      <w:tr w:rsidR="00C130F7" w:rsidRPr="00C130F7" w14:paraId="55ED2089" w14:textId="77777777" w:rsidTr="001A51AA">
        <w:trPr>
          <w:trHeight w:val="349"/>
        </w:trPr>
        <w:tc>
          <w:tcPr>
            <w:tcW w:w="253" w:type="pct"/>
            <w:tcBorders>
              <w:top w:val="nil"/>
              <w:left w:val="nil"/>
              <w:bottom w:val="nil"/>
              <w:right w:val="nil"/>
            </w:tcBorders>
            <w:shd w:val="clear" w:color="auto" w:fill="669748" w:themeFill="accent2" w:themeFillShade="BF"/>
            <w:vAlign w:val="center"/>
            <w:hideMark/>
          </w:tcPr>
          <w:p w14:paraId="425250F0" w14:textId="77777777" w:rsidR="00C130F7" w:rsidRPr="00624B2A" w:rsidRDefault="00C130F7" w:rsidP="00C130F7">
            <w:pPr>
              <w:jc w:val="left"/>
              <w:rPr>
                <w:rFonts w:eastAsia="Times New Roman" w:cs="Calibri"/>
                <w:b/>
                <w:bCs/>
                <w:color w:val="FFFFFF"/>
                <w:sz w:val="16"/>
                <w:szCs w:val="16"/>
                <w:lang w:eastAsia="it-IT"/>
              </w:rPr>
            </w:pPr>
            <w:r w:rsidRPr="00624B2A">
              <w:rPr>
                <w:rFonts w:eastAsia="Times New Roman" w:cs="Calibri"/>
                <w:b/>
                <w:bCs/>
                <w:color w:val="FFFFFF"/>
                <w:sz w:val="16"/>
                <w:szCs w:val="16"/>
                <w:lang w:eastAsia="it-IT"/>
              </w:rPr>
              <w:t> </w:t>
            </w:r>
          </w:p>
        </w:tc>
        <w:tc>
          <w:tcPr>
            <w:tcW w:w="380" w:type="pct"/>
            <w:tcBorders>
              <w:top w:val="nil"/>
              <w:left w:val="nil"/>
              <w:bottom w:val="nil"/>
              <w:right w:val="nil"/>
            </w:tcBorders>
            <w:shd w:val="clear" w:color="auto" w:fill="669748" w:themeFill="accent2" w:themeFillShade="BF"/>
            <w:vAlign w:val="center"/>
            <w:hideMark/>
          </w:tcPr>
          <w:p w14:paraId="6AF7E5E5" w14:textId="77777777" w:rsidR="00C130F7" w:rsidRPr="00624B2A" w:rsidRDefault="00C130F7" w:rsidP="00C130F7">
            <w:pPr>
              <w:jc w:val="left"/>
              <w:rPr>
                <w:rFonts w:eastAsia="Times New Roman" w:cs="Calibri"/>
                <w:b/>
                <w:bCs/>
                <w:color w:val="FFFFFF"/>
                <w:sz w:val="16"/>
                <w:szCs w:val="16"/>
                <w:lang w:eastAsia="it-IT"/>
              </w:rPr>
            </w:pPr>
            <w:r w:rsidRPr="00624B2A">
              <w:rPr>
                <w:rFonts w:eastAsia="Times New Roman" w:cs="Calibri"/>
                <w:b/>
                <w:bCs/>
                <w:color w:val="FFFFFF"/>
                <w:sz w:val="16"/>
                <w:szCs w:val="16"/>
                <w:lang w:eastAsia="it-IT"/>
              </w:rPr>
              <w:t> </w:t>
            </w:r>
          </w:p>
        </w:tc>
        <w:tc>
          <w:tcPr>
            <w:tcW w:w="1250" w:type="pct"/>
            <w:tcBorders>
              <w:top w:val="nil"/>
              <w:left w:val="nil"/>
              <w:bottom w:val="nil"/>
              <w:right w:val="nil"/>
            </w:tcBorders>
            <w:shd w:val="clear" w:color="auto" w:fill="669748" w:themeFill="accent2" w:themeFillShade="BF"/>
            <w:vAlign w:val="center"/>
            <w:hideMark/>
          </w:tcPr>
          <w:p w14:paraId="433B72CF" w14:textId="77777777" w:rsidR="00C130F7" w:rsidRPr="00624B2A" w:rsidRDefault="00C130F7" w:rsidP="00C130F7">
            <w:pPr>
              <w:jc w:val="left"/>
              <w:rPr>
                <w:rFonts w:eastAsia="Times New Roman" w:cs="Calibri"/>
                <w:b/>
                <w:bCs/>
                <w:color w:val="FFFFFF"/>
                <w:sz w:val="16"/>
                <w:szCs w:val="16"/>
                <w:lang w:eastAsia="it-IT"/>
              </w:rPr>
            </w:pPr>
            <w:r w:rsidRPr="00624B2A">
              <w:rPr>
                <w:rFonts w:eastAsia="Times New Roman" w:cs="Calibri"/>
                <w:b/>
                <w:bCs/>
                <w:color w:val="FFFFFF"/>
                <w:sz w:val="16"/>
                <w:szCs w:val="16"/>
                <w:lang w:eastAsia="it-IT"/>
              </w:rPr>
              <w:t> </w:t>
            </w:r>
          </w:p>
        </w:tc>
        <w:tc>
          <w:tcPr>
            <w:tcW w:w="346" w:type="pct"/>
            <w:tcBorders>
              <w:top w:val="nil"/>
              <w:left w:val="nil"/>
              <w:bottom w:val="nil"/>
              <w:right w:val="nil"/>
            </w:tcBorders>
            <w:shd w:val="clear" w:color="auto" w:fill="669748" w:themeFill="accent2" w:themeFillShade="BF"/>
            <w:vAlign w:val="center"/>
            <w:hideMark/>
          </w:tcPr>
          <w:p w14:paraId="5AB04956" w14:textId="77777777" w:rsidR="00C130F7" w:rsidRPr="00624B2A" w:rsidRDefault="00C130F7" w:rsidP="00C130F7">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Totale</w:t>
            </w:r>
          </w:p>
        </w:tc>
        <w:tc>
          <w:tcPr>
            <w:tcW w:w="347" w:type="pct"/>
            <w:tcBorders>
              <w:top w:val="nil"/>
              <w:left w:val="nil"/>
              <w:bottom w:val="nil"/>
              <w:right w:val="nil"/>
            </w:tcBorders>
            <w:shd w:val="clear" w:color="auto" w:fill="669748" w:themeFill="accent2" w:themeFillShade="BF"/>
            <w:vAlign w:val="center"/>
            <w:hideMark/>
          </w:tcPr>
          <w:p w14:paraId="37FA55CA" w14:textId="77777777" w:rsidR="00C130F7" w:rsidRPr="00624B2A" w:rsidRDefault="00C130F7" w:rsidP="00C130F7">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Uomini</w:t>
            </w:r>
          </w:p>
        </w:tc>
        <w:tc>
          <w:tcPr>
            <w:tcW w:w="346" w:type="pct"/>
            <w:tcBorders>
              <w:top w:val="nil"/>
              <w:left w:val="nil"/>
              <w:bottom w:val="nil"/>
              <w:right w:val="nil"/>
            </w:tcBorders>
            <w:shd w:val="clear" w:color="auto" w:fill="669748" w:themeFill="accent2" w:themeFillShade="BF"/>
            <w:vAlign w:val="center"/>
            <w:hideMark/>
          </w:tcPr>
          <w:p w14:paraId="19B9EF4A" w14:textId="77777777" w:rsidR="00C130F7" w:rsidRPr="00624B2A" w:rsidRDefault="00C130F7" w:rsidP="00C130F7">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Donne</w:t>
            </w:r>
          </w:p>
        </w:tc>
        <w:tc>
          <w:tcPr>
            <w:tcW w:w="347" w:type="pct"/>
            <w:tcBorders>
              <w:top w:val="nil"/>
              <w:left w:val="nil"/>
              <w:bottom w:val="nil"/>
              <w:right w:val="nil"/>
            </w:tcBorders>
            <w:shd w:val="clear" w:color="auto" w:fill="669748" w:themeFill="accent2" w:themeFillShade="BF"/>
            <w:vAlign w:val="center"/>
            <w:hideMark/>
          </w:tcPr>
          <w:p w14:paraId="0D1DB99C" w14:textId="77777777" w:rsidR="00C130F7" w:rsidRPr="00624B2A" w:rsidRDefault="00C130F7" w:rsidP="00C130F7">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Totale</w:t>
            </w:r>
          </w:p>
        </w:tc>
        <w:tc>
          <w:tcPr>
            <w:tcW w:w="346" w:type="pct"/>
            <w:tcBorders>
              <w:top w:val="nil"/>
              <w:left w:val="nil"/>
              <w:bottom w:val="nil"/>
              <w:right w:val="nil"/>
            </w:tcBorders>
            <w:shd w:val="clear" w:color="auto" w:fill="669748" w:themeFill="accent2" w:themeFillShade="BF"/>
            <w:vAlign w:val="center"/>
            <w:hideMark/>
          </w:tcPr>
          <w:p w14:paraId="48665356" w14:textId="77777777" w:rsidR="00C130F7" w:rsidRPr="00624B2A" w:rsidRDefault="00C130F7" w:rsidP="00C130F7">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Uomini</w:t>
            </w:r>
          </w:p>
        </w:tc>
        <w:tc>
          <w:tcPr>
            <w:tcW w:w="282" w:type="pct"/>
            <w:tcBorders>
              <w:top w:val="nil"/>
              <w:left w:val="nil"/>
              <w:bottom w:val="nil"/>
              <w:right w:val="nil"/>
            </w:tcBorders>
            <w:shd w:val="clear" w:color="auto" w:fill="669748" w:themeFill="accent2" w:themeFillShade="BF"/>
            <w:vAlign w:val="center"/>
            <w:hideMark/>
          </w:tcPr>
          <w:p w14:paraId="1897F6E4" w14:textId="77777777" w:rsidR="00C130F7" w:rsidRPr="00624B2A" w:rsidRDefault="00C130F7" w:rsidP="00C130F7">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Donne</w:t>
            </w:r>
          </w:p>
        </w:tc>
        <w:tc>
          <w:tcPr>
            <w:tcW w:w="411" w:type="pct"/>
            <w:tcBorders>
              <w:top w:val="nil"/>
              <w:left w:val="nil"/>
              <w:bottom w:val="nil"/>
              <w:right w:val="nil"/>
            </w:tcBorders>
            <w:shd w:val="clear" w:color="auto" w:fill="669748" w:themeFill="accent2" w:themeFillShade="BF"/>
            <w:vAlign w:val="center"/>
            <w:hideMark/>
          </w:tcPr>
          <w:p w14:paraId="18E74AD8" w14:textId="77777777" w:rsidR="00C130F7" w:rsidRPr="00624B2A" w:rsidRDefault="00C130F7" w:rsidP="00C130F7">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Totale</w:t>
            </w:r>
          </w:p>
        </w:tc>
        <w:tc>
          <w:tcPr>
            <w:tcW w:w="347" w:type="pct"/>
            <w:tcBorders>
              <w:top w:val="nil"/>
              <w:left w:val="nil"/>
              <w:bottom w:val="nil"/>
              <w:right w:val="nil"/>
            </w:tcBorders>
            <w:shd w:val="clear" w:color="auto" w:fill="669748" w:themeFill="accent2" w:themeFillShade="BF"/>
            <w:vAlign w:val="center"/>
            <w:hideMark/>
          </w:tcPr>
          <w:p w14:paraId="7C2EF4EA" w14:textId="77777777" w:rsidR="00C130F7" w:rsidRPr="00624B2A" w:rsidRDefault="00C130F7" w:rsidP="00C130F7">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Uomini</w:t>
            </w:r>
          </w:p>
        </w:tc>
        <w:tc>
          <w:tcPr>
            <w:tcW w:w="345" w:type="pct"/>
            <w:tcBorders>
              <w:top w:val="nil"/>
              <w:left w:val="nil"/>
              <w:bottom w:val="nil"/>
              <w:right w:val="nil"/>
            </w:tcBorders>
            <w:shd w:val="clear" w:color="auto" w:fill="669748" w:themeFill="accent2" w:themeFillShade="BF"/>
            <w:vAlign w:val="center"/>
            <w:hideMark/>
          </w:tcPr>
          <w:p w14:paraId="3076BAE8" w14:textId="77777777" w:rsidR="00C130F7" w:rsidRPr="00624B2A" w:rsidRDefault="00C130F7" w:rsidP="00C130F7">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Donne</w:t>
            </w:r>
          </w:p>
        </w:tc>
      </w:tr>
      <w:tr w:rsidR="00C130F7" w:rsidRPr="00C130F7" w14:paraId="359DED62" w14:textId="77777777" w:rsidTr="001A51AA">
        <w:trPr>
          <w:trHeight w:val="349"/>
        </w:trPr>
        <w:tc>
          <w:tcPr>
            <w:tcW w:w="253" w:type="pct"/>
            <w:tcBorders>
              <w:top w:val="nil"/>
              <w:left w:val="nil"/>
              <w:bottom w:val="single" w:sz="4" w:space="0" w:color="305496"/>
              <w:right w:val="nil"/>
            </w:tcBorders>
            <w:shd w:val="clear" w:color="000000" w:fill="E7E6E6"/>
            <w:vAlign w:val="bottom"/>
            <w:hideMark/>
          </w:tcPr>
          <w:p w14:paraId="050601D6" w14:textId="77777777" w:rsidR="00C130F7" w:rsidRPr="00624B2A" w:rsidRDefault="00C130F7" w:rsidP="00C130F7">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Asse I</w:t>
            </w:r>
          </w:p>
        </w:tc>
        <w:tc>
          <w:tcPr>
            <w:tcW w:w="380" w:type="pct"/>
            <w:tcBorders>
              <w:top w:val="nil"/>
              <w:left w:val="nil"/>
              <w:bottom w:val="single" w:sz="4" w:space="0" w:color="305496"/>
              <w:right w:val="nil"/>
            </w:tcBorders>
            <w:shd w:val="clear" w:color="000000" w:fill="E7E6E6"/>
            <w:vAlign w:val="bottom"/>
            <w:hideMark/>
          </w:tcPr>
          <w:p w14:paraId="52812EF4" w14:textId="77777777" w:rsidR="00C130F7" w:rsidRPr="00624B2A" w:rsidRDefault="00C130F7" w:rsidP="00C130F7">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1250" w:type="pct"/>
            <w:tcBorders>
              <w:top w:val="nil"/>
              <w:left w:val="nil"/>
              <w:bottom w:val="single" w:sz="4" w:space="0" w:color="305496"/>
              <w:right w:val="nil"/>
            </w:tcBorders>
            <w:shd w:val="clear" w:color="000000" w:fill="E7E6E6"/>
            <w:vAlign w:val="bottom"/>
            <w:hideMark/>
          </w:tcPr>
          <w:p w14:paraId="40F33A08" w14:textId="77777777" w:rsidR="00C130F7" w:rsidRPr="00624B2A" w:rsidRDefault="00C130F7" w:rsidP="00C130F7">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6" w:type="pct"/>
            <w:tcBorders>
              <w:top w:val="nil"/>
              <w:left w:val="nil"/>
              <w:bottom w:val="single" w:sz="4" w:space="0" w:color="305496"/>
              <w:right w:val="nil"/>
            </w:tcBorders>
            <w:shd w:val="clear" w:color="000000" w:fill="E7E6E6"/>
            <w:vAlign w:val="bottom"/>
            <w:hideMark/>
          </w:tcPr>
          <w:p w14:paraId="4E061441" w14:textId="77777777" w:rsidR="00C130F7" w:rsidRPr="00624B2A" w:rsidRDefault="00C130F7" w:rsidP="00C130F7">
            <w:pPr>
              <w:jc w:val="center"/>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7" w:type="pct"/>
            <w:tcBorders>
              <w:top w:val="nil"/>
              <w:left w:val="nil"/>
              <w:bottom w:val="single" w:sz="4" w:space="0" w:color="305496"/>
              <w:right w:val="nil"/>
            </w:tcBorders>
            <w:shd w:val="clear" w:color="000000" w:fill="E7E6E6"/>
            <w:vAlign w:val="bottom"/>
            <w:hideMark/>
          </w:tcPr>
          <w:p w14:paraId="5A43E92A" w14:textId="77777777" w:rsidR="00C130F7" w:rsidRPr="00624B2A" w:rsidRDefault="00C130F7" w:rsidP="00C130F7">
            <w:pPr>
              <w:jc w:val="center"/>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6" w:type="pct"/>
            <w:tcBorders>
              <w:top w:val="nil"/>
              <w:left w:val="nil"/>
              <w:bottom w:val="single" w:sz="4" w:space="0" w:color="305496"/>
              <w:right w:val="nil"/>
            </w:tcBorders>
            <w:shd w:val="clear" w:color="000000" w:fill="E7E6E6"/>
            <w:vAlign w:val="bottom"/>
            <w:hideMark/>
          </w:tcPr>
          <w:p w14:paraId="7A54CB25" w14:textId="77777777" w:rsidR="00C130F7" w:rsidRPr="00624B2A" w:rsidRDefault="00C130F7" w:rsidP="00C130F7">
            <w:pPr>
              <w:jc w:val="center"/>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7" w:type="pct"/>
            <w:tcBorders>
              <w:top w:val="nil"/>
              <w:left w:val="nil"/>
              <w:bottom w:val="single" w:sz="4" w:space="0" w:color="305496"/>
              <w:right w:val="nil"/>
            </w:tcBorders>
            <w:shd w:val="clear" w:color="000000" w:fill="E7E6E6"/>
            <w:vAlign w:val="center"/>
            <w:hideMark/>
          </w:tcPr>
          <w:p w14:paraId="220230F2" w14:textId="77777777" w:rsidR="00C130F7" w:rsidRPr="00624B2A" w:rsidRDefault="00C130F7" w:rsidP="00C130F7">
            <w:pPr>
              <w:jc w:val="center"/>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6" w:type="pct"/>
            <w:tcBorders>
              <w:top w:val="nil"/>
              <w:left w:val="nil"/>
              <w:bottom w:val="single" w:sz="4" w:space="0" w:color="305496"/>
              <w:right w:val="nil"/>
            </w:tcBorders>
            <w:shd w:val="clear" w:color="000000" w:fill="E7E6E6"/>
            <w:vAlign w:val="center"/>
            <w:hideMark/>
          </w:tcPr>
          <w:p w14:paraId="491C79F9" w14:textId="77777777" w:rsidR="00C130F7" w:rsidRPr="00624B2A" w:rsidRDefault="00C130F7" w:rsidP="00C130F7">
            <w:pPr>
              <w:jc w:val="center"/>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82" w:type="pct"/>
            <w:tcBorders>
              <w:top w:val="nil"/>
              <w:left w:val="nil"/>
              <w:bottom w:val="single" w:sz="4" w:space="0" w:color="305496"/>
              <w:right w:val="nil"/>
            </w:tcBorders>
            <w:shd w:val="clear" w:color="000000" w:fill="E7E6E6"/>
            <w:vAlign w:val="center"/>
            <w:hideMark/>
          </w:tcPr>
          <w:p w14:paraId="648018ED" w14:textId="77777777" w:rsidR="00C130F7" w:rsidRPr="00624B2A" w:rsidRDefault="00C130F7" w:rsidP="00C130F7">
            <w:pPr>
              <w:jc w:val="center"/>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411" w:type="pct"/>
            <w:tcBorders>
              <w:top w:val="nil"/>
              <w:left w:val="nil"/>
              <w:bottom w:val="single" w:sz="4" w:space="0" w:color="305496"/>
              <w:right w:val="nil"/>
            </w:tcBorders>
            <w:shd w:val="clear" w:color="000000" w:fill="E7E6E6"/>
            <w:vAlign w:val="center"/>
            <w:hideMark/>
          </w:tcPr>
          <w:p w14:paraId="21492347" w14:textId="77777777" w:rsidR="00C130F7" w:rsidRPr="00624B2A" w:rsidRDefault="00C130F7" w:rsidP="00C130F7">
            <w:pPr>
              <w:jc w:val="center"/>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7" w:type="pct"/>
            <w:tcBorders>
              <w:top w:val="nil"/>
              <w:left w:val="nil"/>
              <w:bottom w:val="single" w:sz="4" w:space="0" w:color="305496"/>
              <w:right w:val="nil"/>
            </w:tcBorders>
            <w:shd w:val="clear" w:color="000000" w:fill="E7E6E6"/>
            <w:vAlign w:val="center"/>
            <w:hideMark/>
          </w:tcPr>
          <w:p w14:paraId="0DDB12D8" w14:textId="77777777" w:rsidR="00C130F7" w:rsidRPr="00624B2A" w:rsidRDefault="00C130F7" w:rsidP="00C130F7">
            <w:pPr>
              <w:jc w:val="center"/>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5" w:type="pct"/>
            <w:tcBorders>
              <w:top w:val="nil"/>
              <w:left w:val="nil"/>
              <w:bottom w:val="single" w:sz="4" w:space="0" w:color="305496"/>
              <w:right w:val="nil"/>
            </w:tcBorders>
            <w:shd w:val="clear" w:color="000000" w:fill="E7E6E6"/>
            <w:vAlign w:val="center"/>
            <w:hideMark/>
          </w:tcPr>
          <w:p w14:paraId="286E96DA" w14:textId="77777777" w:rsidR="00C130F7" w:rsidRPr="00624B2A" w:rsidRDefault="00C130F7" w:rsidP="00C130F7">
            <w:pPr>
              <w:jc w:val="center"/>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r>
      <w:tr w:rsidR="00C130F7" w:rsidRPr="00C130F7" w14:paraId="14DF77BA" w14:textId="77777777" w:rsidTr="001A51AA">
        <w:trPr>
          <w:trHeight w:val="349"/>
        </w:trPr>
        <w:tc>
          <w:tcPr>
            <w:tcW w:w="253" w:type="pct"/>
            <w:tcBorders>
              <w:top w:val="nil"/>
              <w:left w:val="nil"/>
              <w:bottom w:val="nil"/>
              <w:right w:val="nil"/>
            </w:tcBorders>
            <w:shd w:val="clear" w:color="auto" w:fill="auto"/>
            <w:noWrap/>
            <w:vAlign w:val="center"/>
            <w:hideMark/>
          </w:tcPr>
          <w:p w14:paraId="06A88752"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8i</w:t>
            </w:r>
          </w:p>
        </w:tc>
        <w:tc>
          <w:tcPr>
            <w:tcW w:w="380" w:type="pct"/>
            <w:tcBorders>
              <w:top w:val="nil"/>
              <w:left w:val="nil"/>
              <w:bottom w:val="nil"/>
              <w:right w:val="nil"/>
            </w:tcBorders>
            <w:shd w:val="clear" w:color="auto" w:fill="auto"/>
            <w:noWrap/>
            <w:vAlign w:val="center"/>
            <w:hideMark/>
          </w:tcPr>
          <w:p w14:paraId="0A5C098B"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CO01</w:t>
            </w:r>
          </w:p>
        </w:tc>
        <w:tc>
          <w:tcPr>
            <w:tcW w:w="1250" w:type="pct"/>
            <w:tcBorders>
              <w:top w:val="nil"/>
              <w:left w:val="nil"/>
              <w:bottom w:val="nil"/>
              <w:right w:val="nil"/>
            </w:tcBorders>
            <w:shd w:val="clear" w:color="auto" w:fill="auto"/>
            <w:vAlign w:val="center"/>
            <w:hideMark/>
          </w:tcPr>
          <w:p w14:paraId="07E6C82E" w14:textId="77777777" w:rsidR="00C130F7" w:rsidRPr="00624B2A" w:rsidRDefault="00C130F7" w:rsidP="00761DE3">
            <w:pPr>
              <w:jc w:val="left"/>
              <w:rPr>
                <w:rFonts w:eastAsia="Times New Roman" w:cs="Calibri"/>
                <w:color w:val="000000"/>
                <w:sz w:val="16"/>
                <w:szCs w:val="16"/>
                <w:lang w:eastAsia="it-IT"/>
              </w:rPr>
            </w:pPr>
            <w:r w:rsidRPr="00624B2A">
              <w:rPr>
                <w:rFonts w:eastAsia="Times New Roman" w:cs="Calibri"/>
                <w:color w:val="000000"/>
                <w:sz w:val="16"/>
                <w:szCs w:val="16"/>
                <w:lang w:eastAsia="it-IT"/>
              </w:rPr>
              <w:t>I disoccupati, compresi i disoccupati di lungo periodo</w:t>
            </w:r>
          </w:p>
        </w:tc>
        <w:tc>
          <w:tcPr>
            <w:tcW w:w="346" w:type="pct"/>
            <w:tcBorders>
              <w:top w:val="nil"/>
              <w:left w:val="nil"/>
              <w:bottom w:val="nil"/>
              <w:right w:val="nil"/>
            </w:tcBorders>
            <w:shd w:val="clear" w:color="auto" w:fill="auto"/>
            <w:noWrap/>
            <w:vAlign w:val="bottom"/>
            <w:hideMark/>
          </w:tcPr>
          <w:p w14:paraId="3B9A4668"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131.480</w:t>
            </w:r>
          </w:p>
        </w:tc>
        <w:tc>
          <w:tcPr>
            <w:tcW w:w="347" w:type="pct"/>
            <w:tcBorders>
              <w:top w:val="nil"/>
              <w:left w:val="nil"/>
              <w:bottom w:val="nil"/>
              <w:right w:val="nil"/>
            </w:tcBorders>
            <w:shd w:val="clear" w:color="auto" w:fill="auto"/>
            <w:noWrap/>
            <w:vAlign w:val="bottom"/>
            <w:hideMark/>
          </w:tcPr>
          <w:p w14:paraId="288BD861"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69.685</w:t>
            </w:r>
          </w:p>
        </w:tc>
        <w:tc>
          <w:tcPr>
            <w:tcW w:w="346" w:type="pct"/>
            <w:tcBorders>
              <w:top w:val="nil"/>
              <w:left w:val="nil"/>
              <w:bottom w:val="nil"/>
              <w:right w:val="nil"/>
            </w:tcBorders>
            <w:shd w:val="clear" w:color="auto" w:fill="auto"/>
            <w:noWrap/>
            <w:vAlign w:val="bottom"/>
            <w:hideMark/>
          </w:tcPr>
          <w:p w14:paraId="17F8B77D"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61.795</w:t>
            </w:r>
          </w:p>
        </w:tc>
        <w:tc>
          <w:tcPr>
            <w:tcW w:w="347" w:type="pct"/>
            <w:tcBorders>
              <w:top w:val="nil"/>
              <w:left w:val="nil"/>
              <w:bottom w:val="nil"/>
              <w:right w:val="nil"/>
            </w:tcBorders>
            <w:shd w:val="clear" w:color="auto" w:fill="auto"/>
            <w:noWrap/>
            <w:vAlign w:val="bottom"/>
            <w:hideMark/>
          </w:tcPr>
          <w:p w14:paraId="3BA3FD5E"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157.891</w:t>
            </w:r>
          </w:p>
        </w:tc>
        <w:tc>
          <w:tcPr>
            <w:tcW w:w="346" w:type="pct"/>
            <w:tcBorders>
              <w:top w:val="nil"/>
              <w:left w:val="nil"/>
              <w:bottom w:val="nil"/>
              <w:right w:val="nil"/>
            </w:tcBorders>
            <w:shd w:val="clear" w:color="auto" w:fill="auto"/>
            <w:noWrap/>
            <w:vAlign w:val="bottom"/>
            <w:hideMark/>
          </w:tcPr>
          <w:p w14:paraId="1D3BD984"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84.187</w:t>
            </w:r>
          </w:p>
        </w:tc>
        <w:tc>
          <w:tcPr>
            <w:tcW w:w="282" w:type="pct"/>
            <w:tcBorders>
              <w:top w:val="nil"/>
              <w:left w:val="nil"/>
              <w:bottom w:val="nil"/>
              <w:right w:val="nil"/>
            </w:tcBorders>
            <w:shd w:val="clear" w:color="auto" w:fill="auto"/>
            <w:noWrap/>
            <w:vAlign w:val="bottom"/>
            <w:hideMark/>
          </w:tcPr>
          <w:p w14:paraId="1C1452AE"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73.704</w:t>
            </w:r>
          </w:p>
        </w:tc>
        <w:tc>
          <w:tcPr>
            <w:tcW w:w="411" w:type="pct"/>
            <w:tcBorders>
              <w:top w:val="nil"/>
              <w:left w:val="nil"/>
              <w:bottom w:val="nil"/>
              <w:right w:val="nil"/>
            </w:tcBorders>
            <w:shd w:val="clear" w:color="auto" w:fill="auto"/>
            <w:noWrap/>
            <w:vAlign w:val="bottom"/>
            <w:hideMark/>
          </w:tcPr>
          <w:p w14:paraId="52B499C1"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120%</w:t>
            </w:r>
          </w:p>
        </w:tc>
        <w:tc>
          <w:tcPr>
            <w:tcW w:w="347" w:type="pct"/>
            <w:tcBorders>
              <w:top w:val="nil"/>
              <w:left w:val="nil"/>
              <w:bottom w:val="nil"/>
              <w:right w:val="nil"/>
            </w:tcBorders>
            <w:shd w:val="clear" w:color="auto" w:fill="auto"/>
            <w:noWrap/>
            <w:vAlign w:val="bottom"/>
            <w:hideMark/>
          </w:tcPr>
          <w:p w14:paraId="757B51F5"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121%</w:t>
            </w:r>
          </w:p>
        </w:tc>
        <w:tc>
          <w:tcPr>
            <w:tcW w:w="345" w:type="pct"/>
            <w:tcBorders>
              <w:top w:val="nil"/>
              <w:left w:val="nil"/>
              <w:bottom w:val="nil"/>
              <w:right w:val="nil"/>
            </w:tcBorders>
            <w:shd w:val="clear" w:color="auto" w:fill="auto"/>
            <w:noWrap/>
            <w:vAlign w:val="bottom"/>
            <w:hideMark/>
          </w:tcPr>
          <w:p w14:paraId="170423D6"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119%</w:t>
            </w:r>
          </w:p>
        </w:tc>
      </w:tr>
      <w:tr w:rsidR="00C130F7" w:rsidRPr="00C130F7" w14:paraId="540E4F42" w14:textId="77777777" w:rsidTr="001A51AA">
        <w:trPr>
          <w:trHeight w:val="349"/>
        </w:trPr>
        <w:tc>
          <w:tcPr>
            <w:tcW w:w="253" w:type="pct"/>
            <w:tcBorders>
              <w:top w:val="nil"/>
              <w:left w:val="nil"/>
              <w:bottom w:val="nil"/>
              <w:right w:val="nil"/>
            </w:tcBorders>
            <w:shd w:val="clear" w:color="auto" w:fill="auto"/>
            <w:noWrap/>
            <w:vAlign w:val="center"/>
            <w:hideMark/>
          </w:tcPr>
          <w:p w14:paraId="5C00C9C6"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8ii</w:t>
            </w:r>
          </w:p>
        </w:tc>
        <w:tc>
          <w:tcPr>
            <w:tcW w:w="380" w:type="pct"/>
            <w:tcBorders>
              <w:top w:val="nil"/>
              <w:left w:val="nil"/>
              <w:bottom w:val="nil"/>
              <w:right w:val="nil"/>
            </w:tcBorders>
            <w:shd w:val="clear" w:color="auto" w:fill="auto"/>
            <w:noWrap/>
            <w:vAlign w:val="center"/>
            <w:hideMark/>
          </w:tcPr>
          <w:p w14:paraId="25499B68"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CO06</w:t>
            </w:r>
          </w:p>
        </w:tc>
        <w:tc>
          <w:tcPr>
            <w:tcW w:w="1250" w:type="pct"/>
            <w:tcBorders>
              <w:top w:val="nil"/>
              <w:left w:val="nil"/>
              <w:bottom w:val="nil"/>
              <w:right w:val="nil"/>
            </w:tcBorders>
            <w:shd w:val="clear" w:color="auto" w:fill="auto"/>
            <w:vAlign w:val="center"/>
            <w:hideMark/>
          </w:tcPr>
          <w:p w14:paraId="13DB9C88" w14:textId="77777777" w:rsidR="00C130F7" w:rsidRPr="00624B2A" w:rsidRDefault="00C130F7" w:rsidP="00761DE3">
            <w:pPr>
              <w:jc w:val="left"/>
              <w:rPr>
                <w:rFonts w:eastAsia="Times New Roman" w:cs="Calibri"/>
                <w:color w:val="000000"/>
                <w:sz w:val="16"/>
                <w:szCs w:val="16"/>
                <w:lang w:eastAsia="it-IT"/>
              </w:rPr>
            </w:pPr>
            <w:r w:rsidRPr="00624B2A">
              <w:rPr>
                <w:rFonts w:eastAsia="Times New Roman" w:cs="Calibri"/>
                <w:color w:val="000000"/>
                <w:sz w:val="16"/>
                <w:szCs w:val="16"/>
                <w:lang w:eastAsia="it-IT"/>
              </w:rPr>
              <w:t>Le persone di età inferiore a 25 anni</w:t>
            </w:r>
          </w:p>
        </w:tc>
        <w:tc>
          <w:tcPr>
            <w:tcW w:w="346" w:type="pct"/>
            <w:tcBorders>
              <w:top w:val="nil"/>
              <w:left w:val="nil"/>
              <w:bottom w:val="nil"/>
              <w:right w:val="nil"/>
            </w:tcBorders>
            <w:shd w:val="clear" w:color="auto" w:fill="auto"/>
            <w:noWrap/>
            <w:vAlign w:val="bottom"/>
            <w:hideMark/>
          </w:tcPr>
          <w:p w14:paraId="6B10C646"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1.702</w:t>
            </w:r>
          </w:p>
        </w:tc>
        <w:tc>
          <w:tcPr>
            <w:tcW w:w="347" w:type="pct"/>
            <w:tcBorders>
              <w:top w:val="nil"/>
              <w:left w:val="nil"/>
              <w:bottom w:val="nil"/>
              <w:right w:val="nil"/>
            </w:tcBorders>
            <w:shd w:val="clear" w:color="auto" w:fill="auto"/>
            <w:noWrap/>
            <w:vAlign w:val="bottom"/>
            <w:hideMark/>
          </w:tcPr>
          <w:p w14:paraId="7D936675"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987</w:t>
            </w:r>
          </w:p>
        </w:tc>
        <w:tc>
          <w:tcPr>
            <w:tcW w:w="346" w:type="pct"/>
            <w:tcBorders>
              <w:top w:val="nil"/>
              <w:left w:val="nil"/>
              <w:bottom w:val="nil"/>
              <w:right w:val="nil"/>
            </w:tcBorders>
            <w:shd w:val="clear" w:color="auto" w:fill="auto"/>
            <w:noWrap/>
            <w:vAlign w:val="bottom"/>
            <w:hideMark/>
          </w:tcPr>
          <w:p w14:paraId="1ACEA099"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715</w:t>
            </w:r>
          </w:p>
        </w:tc>
        <w:tc>
          <w:tcPr>
            <w:tcW w:w="347" w:type="pct"/>
            <w:tcBorders>
              <w:top w:val="nil"/>
              <w:left w:val="nil"/>
              <w:bottom w:val="nil"/>
              <w:right w:val="nil"/>
            </w:tcBorders>
            <w:shd w:val="clear" w:color="auto" w:fill="auto"/>
            <w:noWrap/>
            <w:vAlign w:val="bottom"/>
            <w:hideMark/>
          </w:tcPr>
          <w:p w14:paraId="03F3DE6F"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2.181</w:t>
            </w:r>
          </w:p>
        </w:tc>
        <w:tc>
          <w:tcPr>
            <w:tcW w:w="346" w:type="pct"/>
            <w:tcBorders>
              <w:top w:val="nil"/>
              <w:left w:val="nil"/>
              <w:bottom w:val="nil"/>
              <w:right w:val="nil"/>
            </w:tcBorders>
            <w:shd w:val="clear" w:color="auto" w:fill="auto"/>
            <w:noWrap/>
            <w:vAlign w:val="bottom"/>
            <w:hideMark/>
          </w:tcPr>
          <w:p w14:paraId="3DA8FB6D"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1.485</w:t>
            </w:r>
          </w:p>
        </w:tc>
        <w:tc>
          <w:tcPr>
            <w:tcW w:w="282" w:type="pct"/>
            <w:tcBorders>
              <w:top w:val="nil"/>
              <w:left w:val="nil"/>
              <w:bottom w:val="nil"/>
              <w:right w:val="nil"/>
            </w:tcBorders>
            <w:shd w:val="clear" w:color="auto" w:fill="auto"/>
            <w:noWrap/>
            <w:vAlign w:val="bottom"/>
            <w:hideMark/>
          </w:tcPr>
          <w:p w14:paraId="16C259CB"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696</w:t>
            </w:r>
          </w:p>
        </w:tc>
        <w:tc>
          <w:tcPr>
            <w:tcW w:w="411" w:type="pct"/>
            <w:tcBorders>
              <w:top w:val="nil"/>
              <w:left w:val="nil"/>
              <w:bottom w:val="nil"/>
              <w:right w:val="nil"/>
            </w:tcBorders>
            <w:shd w:val="clear" w:color="auto" w:fill="auto"/>
            <w:noWrap/>
            <w:vAlign w:val="bottom"/>
            <w:hideMark/>
          </w:tcPr>
          <w:p w14:paraId="38FB8861"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128%</w:t>
            </w:r>
          </w:p>
        </w:tc>
        <w:tc>
          <w:tcPr>
            <w:tcW w:w="347" w:type="pct"/>
            <w:tcBorders>
              <w:top w:val="nil"/>
              <w:left w:val="nil"/>
              <w:bottom w:val="nil"/>
              <w:right w:val="nil"/>
            </w:tcBorders>
            <w:shd w:val="clear" w:color="auto" w:fill="auto"/>
            <w:noWrap/>
            <w:vAlign w:val="bottom"/>
            <w:hideMark/>
          </w:tcPr>
          <w:p w14:paraId="24ABBD98"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150%</w:t>
            </w:r>
          </w:p>
        </w:tc>
        <w:tc>
          <w:tcPr>
            <w:tcW w:w="345" w:type="pct"/>
            <w:tcBorders>
              <w:top w:val="nil"/>
              <w:left w:val="nil"/>
              <w:bottom w:val="nil"/>
              <w:right w:val="nil"/>
            </w:tcBorders>
            <w:shd w:val="clear" w:color="auto" w:fill="auto"/>
            <w:noWrap/>
            <w:vAlign w:val="bottom"/>
            <w:hideMark/>
          </w:tcPr>
          <w:p w14:paraId="6B952737"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97%</w:t>
            </w:r>
          </w:p>
        </w:tc>
      </w:tr>
      <w:tr w:rsidR="00C130F7" w:rsidRPr="00C130F7" w14:paraId="3DDA9851" w14:textId="77777777" w:rsidTr="001A51AA">
        <w:trPr>
          <w:trHeight w:val="300"/>
        </w:trPr>
        <w:tc>
          <w:tcPr>
            <w:tcW w:w="253" w:type="pct"/>
            <w:tcBorders>
              <w:top w:val="nil"/>
              <w:left w:val="nil"/>
              <w:bottom w:val="nil"/>
              <w:right w:val="nil"/>
            </w:tcBorders>
            <w:shd w:val="clear" w:color="auto" w:fill="auto"/>
            <w:noWrap/>
            <w:vAlign w:val="center"/>
            <w:hideMark/>
          </w:tcPr>
          <w:p w14:paraId="44036E91"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8ii</w:t>
            </w:r>
          </w:p>
        </w:tc>
        <w:tc>
          <w:tcPr>
            <w:tcW w:w="380" w:type="pct"/>
            <w:tcBorders>
              <w:top w:val="nil"/>
              <w:left w:val="nil"/>
              <w:bottom w:val="nil"/>
              <w:right w:val="nil"/>
            </w:tcBorders>
            <w:shd w:val="clear" w:color="auto" w:fill="auto"/>
            <w:noWrap/>
            <w:vAlign w:val="center"/>
            <w:hideMark/>
          </w:tcPr>
          <w:p w14:paraId="52B5977A"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a2.1</w:t>
            </w:r>
          </w:p>
        </w:tc>
        <w:tc>
          <w:tcPr>
            <w:tcW w:w="1250" w:type="pct"/>
            <w:tcBorders>
              <w:top w:val="nil"/>
              <w:left w:val="nil"/>
              <w:bottom w:val="nil"/>
              <w:right w:val="nil"/>
            </w:tcBorders>
            <w:shd w:val="clear" w:color="auto" w:fill="auto"/>
            <w:vAlign w:val="center"/>
            <w:hideMark/>
          </w:tcPr>
          <w:p w14:paraId="1B810541" w14:textId="77777777" w:rsidR="00C130F7" w:rsidRPr="00624B2A" w:rsidRDefault="00C130F7" w:rsidP="00761DE3">
            <w:pPr>
              <w:jc w:val="left"/>
              <w:rPr>
                <w:rFonts w:eastAsia="Times New Roman" w:cs="Calibri"/>
                <w:color w:val="000000"/>
                <w:sz w:val="16"/>
                <w:szCs w:val="16"/>
                <w:lang w:eastAsia="it-IT"/>
              </w:rPr>
            </w:pPr>
            <w:r w:rsidRPr="00624B2A">
              <w:rPr>
                <w:rFonts w:eastAsia="Times New Roman" w:cs="Calibri"/>
                <w:color w:val="000000"/>
                <w:sz w:val="16"/>
                <w:szCs w:val="16"/>
                <w:lang w:eastAsia="it-IT"/>
              </w:rPr>
              <w:t>Partecipanti di età tra i 15 e i 29 anni</w:t>
            </w:r>
          </w:p>
        </w:tc>
        <w:tc>
          <w:tcPr>
            <w:tcW w:w="346" w:type="pct"/>
            <w:tcBorders>
              <w:top w:val="nil"/>
              <w:left w:val="nil"/>
              <w:bottom w:val="nil"/>
              <w:right w:val="nil"/>
            </w:tcBorders>
            <w:shd w:val="clear" w:color="auto" w:fill="auto"/>
            <w:noWrap/>
            <w:vAlign w:val="bottom"/>
            <w:hideMark/>
          </w:tcPr>
          <w:p w14:paraId="3FB35199"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4.052</w:t>
            </w:r>
          </w:p>
        </w:tc>
        <w:tc>
          <w:tcPr>
            <w:tcW w:w="347" w:type="pct"/>
            <w:tcBorders>
              <w:top w:val="nil"/>
              <w:left w:val="nil"/>
              <w:bottom w:val="nil"/>
              <w:right w:val="nil"/>
            </w:tcBorders>
            <w:shd w:val="clear" w:color="auto" w:fill="auto"/>
            <w:noWrap/>
            <w:vAlign w:val="bottom"/>
            <w:hideMark/>
          </w:tcPr>
          <w:p w14:paraId="5D4E4341"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2.350</w:t>
            </w:r>
          </w:p>
        </w:tc>
        <w:tc>
          <w:tcPr>
            <w:tcW w:w="346" w:type="pct"/>
            <w:tcBorders>
              <w:top w:val="nil"/>
              <w:left w:val="nil"/>
              <w:bottom w:val="nil"/>
              <w:right w:val="nil"/>
            </w:tcBorders>
            <w:shd w:val="clear" w:color="auto" w:fill="auto"/>
            <w:noWrap/>
            <w:vAlign w:val="bottom"/>
            <w:hideMark/>
          </w:tcPr>
          <w:p w14:paraId="1E770B4D"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1.702</w:t>
            </w:r>
          </w:p>
        </w:tc>
        <w:tc>
          <w:tcPr>
            <w:tcW w:w="347" w:type="pct"/>
            <w:tcBorders>
              <w:top w:val="nil"/>
              <w:left w:val="nil"/>
              <w:bottom w:val="nil"/>
              <w:right w:val="nil"/>
            </w:tcBorders>
            <w:shd w:val="clear" w:color="auto" w:fill="auto"/>
            <w:noWrap/>
            <w:vAlign w:val="bottom"/>
            <w:hideMark/>
          </w:tcPr>
          <w:p w14:paraId="57F95805"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2.412</w:t>
            </w:r>
          </w:p>
        </w:tc>
        <w:tc>
          <w:tcPr>
            <w:tcW w:w="346" w:type="pct"/>
            <w:tcBorders>
              <w:top w:val="nil"/>
              <w:left w:val="nil"/>
              <w:bottom w:val="nil"/>
              <w:right w:val="nil"/>
            </w:tcBorders>
            <w:shd w:val="clear" w:color="auto" w:fill="auto"/>
            <w:noWrap/>
            <w:vAlign w:val="bottom"/>
            <w:hideMark/>
          </w:tcPr>
          <w:p w14:paraId="13B2A9DC"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1.593</w:t>
            </w:r>
          </w:p>
        </w:tc>
        <w:tc>
          <w:tcPr>
            <w:tcW w:w="282" w:type="pct"/>
            <w:tcBorders>
              <w:top w:val="nil"/>
              <w:left w:val="nil"/>
              <w:bottom w:val="nil"/>
              <w:right w:val="nil"/>
            </w:tcBorders>
            <w:shd w:val="clear" w:color="auto" w:fill="auto"/>
            <w:noWrap/>
            <w:vAlign w:val="bottom"/>
            <w:hideMark/>
          </w:tcPr>
          <w:p w14:paraId="482B21EE"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819</w:t>
            </w:r>
          </w:p>
        </w:tc>
        <w:tc>
          <w:tcPr>
            <w:tcW w:w="411" w:type="pct"/>
            <w:tcBorders>
              <w:top w:val="nil"/>
              <w:left w:val="nil"/>
              <w:bottom w:val="nil"/>
              <w:right w:val="nil"/>
            </w:tcBorders>
            <w:shd w:val="clear" w:color="auto" w:fill="auto"/>
            <w:noWrap/>
            <w:vAlign w:val="bottom"/>
            <w:hideMark/>
          </w:tcPr>
          <w:p w14:paraId="39C18C77"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60%</w:t>
            </w:r>
          </w:p>
        </w:tc>
        <w:tc>
          <w:tcPr>
            <w:tcW w:w="347" w:type="pct"/>
            <w:tcBorders>
              <w:top w:val="nil"/>
              <w:left w:val="nil"/>
              <w:bottom w:val="nil"/>
              <w:right w:val="nil"/>
            </w:tcBorders>
            <w:shd w:val="clear" w:color="auto" w:fill="auto"/>
            <w:noWrap/>
            <w:vAlign w:val="bottom"/>
            <w:hideMark/>
          </w:tcPr>
          <w:p w14:paraId="51368560"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68%</w:t>
            </w:r>
          </w:p>
        </w:tc>
        <w:tc>
          <w:tcPr>
            <w:tcW w:w="345" w:type="pct"/>
            <w:tcBorders>
              <w:top w:val="nil"/>
              <w:left w:val="nil"/>
              <w:bottom w:val="nil"/>
              <w:right w:val="nil"/>
            </w:tcBorders>
            <w:shd w:val="clear" w:color="auto" w:fill="auto"/>
            <w:noWrap/>
            <w:vAlign w:val="bottom"/>
            <w:hideMark/>
          </w:tcPr>
          <w:p w14:paraId="33A78D0A"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48%</w:t>
            </w:r>
          </w:p>
        </w:tc>
      </w:tr>
      <w:tr w:rsidR="00C130F7" w:rsidRPr="00C130F7" w14:paraId="34F3E436" w14:textId="77777777" w:rsidTr="001A51AA">
        <w:trPr>
          <w:trHeight w:val="300"/>
        </w:trPr>
        <w:tc>
          <w:tcPr>
            <w:tcW w:w="253" w:type="pct"/>
            <w:tcBorders>
              <w:top w:val="nil"/>
              <w:left w:val="nil"/>
              <w:bottom w:val="nil"/>
              <w:right w:val="nil"/>
            </w:tcBorders>
            <w:shd w:val="clear" w:color="auto" w:fill="auto"/>
            <w:noWrap/>
            <w:vAlign w:val="center"/>
            <w:hideMark/>
          </w:tcPr>
          <w:p w14:paraId="0612338C"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8v</w:t>
            </w:r>
          </w:p>
        </w:tc>
        <w:tc>
          <w:tcPr>
            <w:tcW w:w="380" w:type="pct"/>
            <w:tcBorders>
              <w:top w:val="nil"/>
              <w:left w:val="nil"/>
              <w:bottom w:val="nil"/>
              <w:right w:val="nil"/>
            </w:tcBorders>
            <w:shd w:val="clear" w:color="auto" w:fill="auto"/>
            <w:noWrap/>
            <w:vAlign w:val="center"/>
            <w:hideMark/>
          </w:tcPr>
          <w:p w14:paraId="0350265A"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C</w:t>
            </w:r>
            <w:r w:rsidR="005C3A82">
              <w:rPr>
                <w:rFonts w:eastAsia="Times New Roman" w:cs="Calibri"/>
                <w:color w:val="000000"/>
                <w:sz w:val="16"/>
                <w:szCs w:val="16"/>
                <w:lang w:eastAsia="it-IT"/>
              </w:rPr>
              <w:t>O</w:t>
            </w:r>
            <w:r w:rsidRPr="00624B2A">
              <w:rPr>
                <w:rFonts w:eastAsia="Times New Roman" w:cs="Calibri"/>
                <w:color w:val="000000"/>
                <w:sz w:val="16"/>
                <w:szCs w:val="16"/>
                <w:lang w:eastAsia="it-IT"/>
              </w:rPr>
              <w:t>05</w:t>
            </w:r>
          </w:p>
        </w:tc>
        <w:tc>
          <w:tcPr>
            <w:tcW w:w="1250" w:type="pct"/>
            <w:tcBorders>
              <w:top w:val="nil"/>
              <w:left w:val="nil"/>
              <w:bottom w:val="nil"/>
              <w:right w:val="nil"/>
            </w:tcBorders>
            <w:shd w:val="clear" w:color="auto" w:fill="auto"/>
            <w:vAlign w:val="center"/>
            <w:hideMark/>
          </w:tcPr>
          <w:p w14:paraId="34DC0FC8" w14:textId="77777777" w:rsidR="00C130F7" w:rsidRPr="00624B2A" w:rsidRDefault="00C130F7" w:rsidP="00761DE3">
            <w:pPr>
              <w:jc w:val="left"/>
              <w:rPr>
                <w:rFonts w:eastAsia="Times New Roman" w:cs="Calibri"/>
                <w:color w:val="000000"/>
                <w:sz w:val="16"/>
                <w:szCs w:val="16"/>
                <w:lang w:eastAsia="it-IT"/>
              </w:rPr>
            </w:pPr>
            <w:r w:rsidRPr="00624B2A">
              <w:rPr>
                <w:rFonts w:eastAsia="Times New Roman" w:cs="Calibri"/>
                <w:color w:val="000000"/>
                <w:sz w:val="16"/>
                <w:szCs w:val="16"/>
                <w:lang w:eastAsia="it-IT"/>
              </w:rPr>
              <w:t>I lavoratori, compresi i lavoratori autonomi</w:t>
            </w:r>
          </w:p>
        </w:tc>
        <w:tc>
          <w:tcPr>
            <w:tcW w:w="346" w:type="pct"/>
            <w:tcBorders>
              <w:top w:val="nil"/>
              <w:left w:val="nil"/>
              <w:bottom w:val="nil"/>
              <w:right w:val="nil"/>
            </w:tcBorders>
            <w:shd w:val="clear" w:color="auto" w:fill="auto"/>
            <w:noWrap/>
            <w:vAlign w:val="bottom"/>
            <w:hideMark/>
          </w:tcPr>
          <w:p w14:paraId="79563144"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15.558</w:t>
            </w:r>
          </w:p>
        </w:tc>
        <w:tc>
          <w:tcPr>
            <w:tcW w:w="347" w:type="pct"/>
            <w:tcBorders>
              <w:top w:val="nil"/>
              <w:left w:val="nil"/>
              <w:bottom w:val="nil"/>
              <w:right w:val="nil"/>
            </w:tcBorders>
            <w:shd w:val="clear" w:color="auto" w:fill="auto"/>
            <w:noWrap/>
            <w:vAlign w:val="bottom"/>
            <w:hideMark/>
          </w:tcPr>
          <w:p w14:paraId="7AACE4BA"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9.179</w:t>
            </w:r>
          </w:p>
        </w:tc>
        <w:tc>
          <w:tcPr>
            <w:tcW w:w="346" w:type="pct"/>
            <w:tcBorders>
              <w:top w:val="nil"/>
              <w:left w:val="nil"/>
              <w:bottom w:val="nil"/>
              <w:right w:val="nil"/>
            </w:tcBorders>
            <w:shd w:val="clear" w:color="auto" w:fill="auto"/>
            <w:noWrap/>
            <w:vAlign w:val="bottom"/>
            <w:hideMark/>
          </w:tcPr>
          <w:p w14:paraId="55CFAA7B"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6.379</w:t>
            </w:r>
          </w:p>
        </w:tc>
        <w:tc>
          <w:tcPr>
            <w:tcW w:w="347" w:type="pct"/>
            <w:tcBorders>
              <w:top w:val="nil"/>
              <w:left w:val="nil"/>
              <w:bottom w:val="nil"/>
              <w:right w:val="nil"/>
            </w:tcBorders>
            <w:shd w:val="clear" w:color="auto" w:fill="auto"/>
            <w:noWrap/>
            <w:vAlign w:val="bottom"/>
            <w:hideMark/>
          </w:tcPr>
          <w:p w14:paraId="1ACC14B7"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48.104</w:t>
            </w:r>
          </w:p>
        </w:tc>
        <w:tc>
          <w:tcPr>
            <w:tcW w:w="346" w:type="pct"/>
            <w:tcBorders>
              <w:top w:val="nil"/>
              <w:left w:val="nil"/>
              <w:bottom w:val="nil"/>
              <w:right w:val="nil"/>
            </w:tcBorders>
            <w:shd w:val="clear" w:color="auto" w:fill="auto"/>
            <w:noWrap/>
            <w:vAlign w:val="bottom"/>
            <w:hideMark/>
          </w:tcPr>
          <w:p w14:paraId="224376C4"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25.733</w:t>
            </w:r>
          </w:p>
        </w:tc>
        <w:tc>
          <w:tcPr>
            <w:tcW w:w="282" w:type="pct"/>
            <w:tcBorders>
              <w:top w:val="nil"/>
              <w:left w:val="nil"/>
              <w:bottom w:val="nil"/>
              <w:right w:val="nil"/>
            </w:tcBorders>
            <w:shd w:val="clear" w:color="auto" w:fill="auto"/>
            <w:noWrap/>
            <w:vAlign w:val="bottom"/>
            <w:hideMark/>
          </w:tcPr>
          <w:p w14:paraId="112FFF38"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22.371</w:t>
            </w:r>
          </w:p>
        </w:tc>
        <w:tc>
          <w:tcPr>
            <w:tcW w:w="411" w:type="pct"/>
            <w:tcBorders>
              <w:top w:val="nil"/>
              <w:left w:val="nil"/>
              <w:bottom w:val="nil"/>
              <w:right w:val="nil"/>
            </w:tcBorders>
            <w:shd w:val="clear" w:color="auto" w:fill="auto"/>
            <w:noWrap/>
            <w:vAlign w:val="bottom"/>
            <w:hideMark/>
          </w:tcPr>
          <w:p w14:paraId="795EBBCA"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309%</w:t>
            </w:r>
          </w:p>
        </w:tc>
        <w:tc>
          <w:tcPr>
            <w:tcW w:w="347" w:type="pct"/>
            <w:tcBorders>
              <w:top w:val="nil"/>
              <w:left w:val="nil"/>
              <w:bottom w:val="nil"/>
              <w:right w:val="nil"/>
            </w:tcBorders>
            <w:shd w:val="clear" w:color="auto" w:fill="auto"/>
            <w:noWrap/>
            <w:vAlign w:val="bottom"/>
            <w:hideMark/>
          </w:tcPr>
          <w:p w14:paraId="42573A48"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280%</w:t>
            </w:r>
          </w:p>
        </w:tc>
        <w:tc>
          <w:tcPr>
            <w:tcW w:w="345" w:type="pct"/>
            <w:tcBorders>
              <w:top w:val="nil"/>
              <w:left w:val="nil"/>
              <w:bottom w:val="nil"/>
              <w:right w:val="nil"/>
            </w:tcBorders>
            <w:shd w:val="clear" w:color="auto" w:fill="auto"/>
            <w:noWrap/>
            <w:vAlign w:val="bottom"/>
            <w:hideMark/>
          </w:tcPr>
          <w:p w14:paraId="2763A669"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351%</w:t>
            </w:r>
          </w:p>
        </w:tc>
      </w:tr>
      <w:tr w:rsidR="00C130F7" w:rsidRPr="00C130F7" w14:paraId="60DA6631" w14:textId="77777777" w:rsidTr="001A51AA">
        <w:trPr>
          <w:trHeight w:val="300"/>
        </w:trPr>
        <w:tc>
          <w:tcPr>
            <w:tcW w:w="253" w:type="pct"/>
            <w:tcBorders>
              <w:top w:val="nil"/>
              <w:left w:val="nil"/>
              <w:bottom w:val="nil"/>
              <w:right w:val="nil"/>
            </w:tcBorders>
            <w:shd w:val="clear" w:color="auto" w:fill="auto"/>
            <w:noWrap/>
            <w:vAlign w:val="center"/>
            <w:hideMark/>
          </w:tcPr>
          <w:p w14:paraId="0B86ABD6"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8v</w:t>
            </w:r>
          </w:p>
        </w:tc>
        <w:tc>
          <w:tcPr>
            <w:tcW w:w="380" w:type="pct"/>
            <w:tcBorders>
              <w:top w:val="nil"/>
              <w:left w:val="nil"/>
              <w:bottom w:val="nil"/>
              <w:right w:val="nil"/>
            </w:tcBorders>
            <w:shd w:val="clear" w:color="auto" w:fill="auto"/>
            <w:noWrap/>
            <w:vAlign w:val="center"/>
            <w:hideMark/>
          </w:tcPr>
          <w:p w14:paraId="487AD768"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a5.1</w:t>
            </w:r>
          </w:p>
        </w:tc>
        <w:tc>
          <w:tcPr>
            <w:tcW w:w="1250" w:type="pct"/>
            <w:tcBorders>
              <w:top w:val="nil"/>
              <w:left w:val="nil"/>
              <w:bottom w:val="nil"/>
              <w:right w:val="nil"/>
            </w:tcBorders>
            <w:shd w:val="clear" w:color="auto" w:fill="auto"/>
            <w:vAlign w:val="center"/>
            <w:hideMark/>
          </w:tcPr>
          <w:p w14:paraId="2BA68022" w14:textId="77777777" w:rsidR="00C130F7" w:rsidRPr="00624B2A" w:rsidRDefault="00C130F7" w:rsidP="00624B2A">
            <w:pPr>
              <w:jc w:val="left"/>
              <w:rPr>
                <w:rFonts w:eastAsia="Times New Roman" w:cs="Calibri"/>
                <w:color w:val="000000"/>
                <w:sz w:val="16"/>
                <w:szCs w:val="16"/>
                <w:lang w:eastAsia="it-IT"/>
              </w:rPr>
            </w:pPr>
            <w:r w:rsidRPr="00624B2A">
              <w:rPr>
                <w:rFonts w:eastAsia="Times New Roman" w:cs="Calibri"/>
                <w:color w:val="000000"/>
                <w:sz w:val="16"/>
                <w:szCs w:val="16"/>
                <w:lang w:eastAsia="it-IT"/>
              </w:rPr>
              <w:t xml:space="preserve">Numero </w:t>
            </w:r>
            <w:r w:rsidR="00A57B62" w:rsidRPr="00C130F7">
              <w:rPr>
                <w:rFonts w:eastAsia="Times New Roman" w:cs="Calibri"/>
                <w:color w:val="000000"/>
                <w:sz w:val="16"/>
                <w:szCs w:val="16"/>
                <w:lang w:eastAsia="it-IT"/>
              </w:rPr>
              <w:t>di imprese</w:t>
            </w:r>
            <w:r w:rsidRPr="00624B2A">
              <w:rPr>
                <w:rFonts w:eastAsia="Times New Roman" w:cs="Calibri"/>
                <w:color w:val="000000"/>
                <w:sz w:val="16"/>
                <w:szCs w:val="16"/>
                <w:lang w:eastAsia="it-IT"/>
              </w:rPr>
              <w:t xml:space="preserve"> finanziate</w:t>
            </w:r>
          </w:p>
        </w:tc>
        <w:tc>
          <w:tcPr>
            <w:tcW w:w="346" w:type="pct"/>
            <w:tcBorders>
              <w:top w:val="nil"/>
              <w:left w:val="nil"/>
              <w:bottom w:val="nil"/>
              <w:right w:val="nil"/>
            </w:tcBorders>
            <w:shd w:val="clear" w:color="auto" w:fill="auto"/>
            <w:noWrap/>
            <w:vAlign w:val="bottom"/>
            <w:hideMark/>
          </w:tcPr>
          <w:p w14:paraId="2D8E598A"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734</w:t>
            </w:r>
          </w:p>
        </w:tc>
        <w:tc>
          <w:tcPr>
            <w:tcW w:w="347" w:type="pct"/>
            <w:tcBorders>
              <w:top w:val="nil"/>
              <w:left w:val="nil"/>
              <w:bottom w:val="nil"/>
              <w:right w:val="nil"/>
            </w:tcBorders>
            <w:shd w:val="clear" w:color="auto" w:fill="auto"/>
            <w:noWrap/>
            <w:vAlign w:val="bottom"/>
            <w:hideMark/>
          </w:tcPr>
          <w:p w14:paraId="490DDE05" w14:textId="77777777" w:rsidR="00C130F7" w:rsidRPr="00624B2A" w:rsidRDefault="00597920">
            <w:pPr>
              <w:jc w:val="right"/>
              <w:rPr>
                <w:rFonts w:eastAsia="Times New Roman" w:cs="Calibri"/>
                <w:color w:val="000000"/>
                <w:sz w:val="16"/>
                <w:szCs w:val="16"/>
                <w:lang w:eastAsia="it-IT"/>
              </w:rPr>
            </w:pPr>
            <w:r>
              <w:rPr>
                <w:rFonts w:eastAsia="Times New Roman" w:cs="Calibri"/>
                <w:color w:val="000000"/>
                <w:sz w:val="16"/>
                <w:szCs w:val="16"/>
                <w:lang w:eastAsia="it-IT"/>
              </w:rPr>
              <w:t>-</w:t>
            </w:r>
          </w:p>
        </w:tc>
        <w:tc>
          <w:tcPr>
            <w:tcW w:w="346" w:type="pct"/>
            <w:tcBorders>
              <w:top w:val="nil"/>
              <w:left w:val="nil"/>
              <w:bottom w:val="nil"/>
              <w:right w:val="nil"/>
            </w:tcBorders>
            <w:shd w:val="clear" w:color="auto" w:fill="auto"/>
            <w:noWrap/>
            <w:vAlign w:val="bottom"/>
            <w:hideMark/>
          </w:tcPr>
          <w:p w14:paraId="340B4C52" w14:textId="77777777" w:rsidR="00C130F7" w:rsidRPr="00624B2A" w:rsidRDefault="00597920">
            <w:pPr>
              <w:jc w:val="righ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w:t>
            </w:r>
          </w:p>
        </w:tc>
        <w:tc>
          <w:tcPr>
            <w:tcW w:w="347" w:type="pct"/>
            <w:tcBorders>
              <w:top w:val="nil"/>
              <w:left w:val="nil"/>
              <w:bottom w:val="nil"/>
              <w:right w:val="nil"/>
            </w:tcBorders>
            <w:shd w:val="clear" w:color="auto" w:fill="auto"/>
            <w:noWrap/>
            <w:vAlign w:val="bottom"/>
            <w:hideMark/>
          </w:tcPr>
          <w:p w14:paraId="307BABD9"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4.330</w:t>
            </w:r>
          </w:p>
        </w:tc>
        <w:tc>
          <w:tcPr>
            <w:tcW w:w="346" w:type="pct"/>
            <w:tcBorders>
              <w:top w:val="nil"/>
              <w:left w:val="nil"/>
              <w:bottom w:val="nil"/>
              <w:right w:val="nil"/>
            </w:tcBorders>
            <w:shd w:val="clear" w:color="auto" w:fill="auto"/>
            <w:noWrap/>
            <w:vAlign w:val="bottom"/>
            <w:hideMark/>
          </w:tcPr>
          <w:p w14:paraId="137C774E" w14:textId="77777777" w:rsidR="00C130F7" w:rsidRPr="00624B2A" w:rsidRDefault="00597920">
            <w:pPr>
              <w:jc w:val="right"/>
              <w:rPr>
                <w:rFonts w:eastAsia="Times New Roman" w:cs="Calibri"/>
                <w:color w:val="000000"/>
                <w:sz w:val="16"/>
                <w:szCs w:val="16"/>
                <w:lang w:eastAsia="it-IT"/>
              </w:rPr>
            </w:pPr>
            <w:r>
              <w:rPr>
                <w:rFonts w:eastAsia="Times New Roman" w:cs="Calibri"/>
                <w:color w:val="000000"/>
                <w:sz w:val="16"/>
                <w:szCs w:val="16"/>
                <w:lang w:eastAsia="it-IT"/>
              </w:rPr>
              <w:t>-</w:t>
            </w:r>
          </w:p>
        </w:tc>
        <w:tc>
          <w:tcPr>
            <w:tcW w:w="282" w:type="pct"/>
            <w:tcBorders>
              <w:top w:val="nil"/>
              <w:left w:val="nil"/>
              <w:bottom w:val="nil"/>
              <w:right w:val="nil"/>
            </w:tcBorders>
            <w:shd w:val="clear" w:color="auto" w:fill="auto"/>
            <w:noWrap/>
            <w:vAlign w:val="bottom"/>
            <w:hideMark/>
          </w:tcPr>
          <w:p w14:paraId="28F9AC27" w14:textId="77777777" w:rsidR="00C130F7" w:rsidRPr="00624B2A" w:rsidRDefault="00597920">
            <w:pPr>
              <w:jc w:val="righ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w:t>
            </w:r>
          </w:p>
        </w:tc>
        <w:tc>
          <w:tcPr>
            <w:tcW w:w="411" w:type="pct"/>
            <w:tcBorders>
              <w:top w:val="nil"/>
              <w:left w:val="nil"/>
              <w:bottom w:val="nil"/>
              <w:right w:val="nil"/>
            </w:tcBorders>
            <w:shd w:val="clear" w:color="auto" w:fill="auto"/>
            <w:noWrap/>
            <w:vAlign w:val="bottom"/>
            <w:hideMark/>
          </w:tcPr>
          <w:p w14:paraId="0D4E0C38"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590%</w:t>
            </w:r>
          </w:p>
        </w:tc>
        <w:tc>
          <w:tcPr>
            <w:tcW w:w="347" w:type="pct"/>
            <w:tcBorders>
              <w:top w:val="nil"/>
              <w:left w:val="nil"/>
              <w:bottom w:val="nil"/>
              <w:right w:val="nil"/>
            </w:tcBorders>
            <w:shd w:val="clear" w:color="auto" w:fill="auto"/>
            <w:noWrap/>
            <w:vAlign w:val="bottom"/>
            <w:hideMark/>
          </w:tcPr>
          <w:p w14:paraId="06376EBA" w14:textId="77777777" w:rsidR="00C130F7" w:rsidRPr="00624B2A" w:rsidRDefault="00597920">
            <w:pPr>
              <w:jc w:val="right"/>
              <w:rPr>
                <w:rFonts w:eastAsia="Times New Roman" w:cs="Calibri"/>
                <w:color w:val="000000"/>
                <w:sz w:val="16"/>
                <w:szCs w:val="16"/>
                <w:lang w:eastAsia="it-IT"/>
              </w:rPr>
            </w:pPr>
            <w:r>
              <w:rPr>
                <w:rFonts w:eastAsia="Times New Roman" w:cs="Calibri"/>
                <w:color w:val="000000"/>
                <w:sz w:val="16"/>
                <w:szCs w:val="16"/>
                <w:lang w:eastAsia="it-IT"/>
              </w:rPr>
              <w:t>-</w:t>
            </w:r>
          </w:p>
        </w:tc>
        <w:tc>
          <w:tcPr>
            <w:tcW w:w="345" w:type="pct"/>
            <w:tcBorders>
              <w:top w:val="nil"/>
              <w:left w:val="nil"/>
              <w:bottom w:val="nil"/>
              <w:right w:val="nil"/>
            </w:tcBorders>
            <w:shd w:val="clear" w:color="auto" w:fill="auto"/>
            <w:noWrap/>
            <w:vAlign w:val="bottom"/>
            <w:hideMark/>
          </w:tcPr>
          <w:p w14:paraId="179F99C2" w14:textId="77777777" w:rsidR="00C130F7" w:rsidRPr="00624B2A" w:rsidRDefault="00597920">
            <w:pPr>
              <w:jc w:val="righ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w:t>
            </w:r>
          </w:p>
        </w:tc>
      </w:tr>
      <w:tr w:rsidR="00DF11B7" w:rsidRPr="00C130F7" w14:paraId="51613B7C" w14:textId="77777777" w:rsidTr="001A51AA">
        <w:trPr>
          <w:trHeight w:val="300"/>
        </w:trPr>
        <w:tc>
          <w:tcPr>
            <w:tcW w:w="253" w:type="pct"/>
            <w:tcBorders>
              <w:top w:val="nil"/>
              <w:left w:val="nil"/>
              <w:bottom w:val="single" w:sz="4" w:space="0" w:color="305496"/>
              <w:right w:val="nil"/>
            </w:tcBorders>
            <w:shd w:val="clear" w:color="000000" w:fill="E7E6E6"/>
            <w:vAlign w:val="bottom"/>
            <w:hideMark/>
          </w:tcPr>
          <w:p w14:paraId="358F40EA" w14:textId="77777777" w:rsidR="00C130F7" w:rsidRPr="00624B2A" w:rsidRDefault="00C130F7" w:rsidP="00C130F7">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Asse II</w:t>
            </w:r>
          </w:p>
        </w:tc>
        <w:tc>
          <w:tcPr>
            <w:tcW w:w="380" w:type="pct"/>
            <w:tcBorders>
              <w:top w:val="nil"/>
              <w:left w:val="nil"/>
              <w:bottom w:val="single" w:sz="4" w:space="0" w:color="305496"/>
              <w:right w:val="nil"/>
            </w:tcBorders>
            <w:shd w:val="clear" w:color="000000" w:fill="E7E6E6"/>
            <w:vAlign w:val="bottom"/>
            <w:hideMark/>
          </w:tcPr>
          <w:p w14:paraId="53BA260D" w14:textId="77777777" w:rsidR="00C130F7" w:rsidRPr="00624B2A" w:rsidRDefault="00C130F7" w:rsidP="00C130F7">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1250" w:type="pct"/>
            <w:tcBorders>
              <w:top w:val="nil"/>
              <w:left w:val="nil"/>
              <w:bottom w:val="single" w:sz="4" w:space="0" w:color="305496"/>
              <w:right w:val="nil"/>
            </w:tcBorders>
            <w:shd w:val="clear" w:color="000000" w:fill="E7E6E6"/>
            <w:vAlign w:val="bottom"/>
            <w:hideMark/>
          </w:tcPr>
          <w:p w14:paraId="2752A0C8" w14:textId="77777777" w:rsidR="00C130F7" w:rsidRPr="00624B2A" w:rsidRDefault="00C130F7" w:rsidP="00C130F7">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6" w:type="pct"/>
            <w:tcBorders>
              <w:top w:val="nil"/>
              <w:left w:val="nil"/>
              <w:bottom w:val="single" w:sz="4" w:space="0" w:color="305496"/>
              <w:right w:val="nil"/>
            </w:tcBorders>
            <w:shd w:val="clear" w:color="000000" w:fill="E7E6E6"/>
            <w:vAlign w:val="bottom"/>
            <w:hideMark/>
          </w:tcPr>
          <w:p w14:paraId="27EEED41" w14:textId="77777777" w:rsidR="00C130F7" w:rsidRPr="00624B2A" w:rsidRDefault="00C130F7">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7" w:type="pct"/>
            <w:tcBorders>
              <w:top w:val="nil"/>
              <w:left w:val="nil"/>
              <w:bottom w:val="single" w:sz="4" w:space="0" w:color="305496"/>
              <w:right w:val="nil"/>
            </w:tcBorders>
            <w:shd w:val="clear" w:color="000000" w:fill="E7E6E6"/>
            <w:vAlign w:val="bottom"/>
            <w:hideMark/>
          </w:tcPr>
          <w:p w14:paraId="14108CDD" w14:textId="77777777" w:rsidR="00C130F7" w:rsidRPr="00624B2A" w:rsidRDefault="00C130F7">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6" w:type="pct"/>
            <w:tcBorders>
              <w:top w:val="nil"/>
              <w:left w:val="nil"/>
              <w:bottom w:val="single" w:sz="4" w:space="0" w:color="305496"/>
              <w:right w:val="nil"/>
            </w:tcBorders>
            <w:shd w:val="clear" w:color="000000" w:fill="E7E6E6"/>
            <w:vAlign w:val="bottom"/>
            <w:hideMark/>
          </w:tcPr>
          <w:p w14:paraId="59F8C13E" w14:textId="77777777" w:rsidR="00C130F7" w:rsidRPr="00624B2A" w:rsidRDefault="00C130F7">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7" w:type="pct"/>
            <w:tcBorders>
              <w:top w:val="nil"/>
              <w:left w:val="nil"/>
              <w:bottom w:val="single" w:sz="4" w:space="0" w:color="305496"/>
              <w:right w:val="nil"/>
            </w:tcBorders>
            <w:shd w:val="clear" w:color="000000" w:fill="E7E6E6"/>
            <w:vAlign w:val="bottom"/>
            <w:hideMark/>
          </w:tcPr>
          <w:p w14:paraId="371A41E3" w14:textId="77777777" w:rsidR="00C130F7" w:rsidRPr="00624B2A" w:rsidRDefault="00C130F7">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6" w:type="pct"/>
            <w:tcBorders>
              <w:top w:val="nil"/>
              <w:left w:val="nil"/>
              <w:bottom w:val="single" w:sz="4" w:space="0" w:color="305496"/>
              <w:right w:val="nil"/>
            </w:tcBorders>
            <w:shd w:val="clear" w:color="000000" w:fill="E7E6E6"/>
            <w:vAlign w:val="bottom"/>
            <w:hideMark/>
          </w:tcPr>
          <w:p w14:paraId="055E7D8E" w14:textId="77777777" w:rsidR="00C130F7" w:rsidRPr="00624B2A" w:rsidRDefault="00C130F7">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82" w:type="pct"/>
            <w:tcBorders>
              <w:top w:val="nil"/>
              <w:left w:val="nil"/>
              <w:bottom w:val="single" w:sz="4" w:space="0" w:color="305496"/>
              <w:right w:val="nil"/>
            </w:tcBorders>
            <w:shd w:val="clear" w:color="000000" w:fill="E7E6E6"/>
            <w:vAlign w:val="bottom"/>
            <w:hideMark/>
          </w:tcPr>
          <w:p w14:paraId="15036D22" w14:textId="77777777" w:rsidR="00C130F7" w:rsidRPr="00624B2A" w:rsidRDefault="00C130F7">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411" w:type="pct"/>
            <w:tcBorders>
              <w:top w:val="nil"/>
              <w:left w:val="nil"/>
              <w:bottom w:val="single" w:sz="4" w:space="0" w:color="305496"/>
              <w:right w:val="nil"/>
            </w:tcBorders>
            <w:shd w:val="clear" w:color="000000" w:fill="E7E6E6"/>
            <w:vAlign w:val="bottom"/>
            <w:hideMark/>
          </w:tcPr>
          <w:p w14:paraId="3F7E5BD6" w14:textId="77777777" w:rsidR="00C130F7" w:rsidRPr="00624B2A" w:rsidRDefault="00C130F7">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7" w:type="pct"/>
            <w:tcBorders>
              <w:top w:val="nil"/>
              <w:left w:val="nil"/>
              <w:bottom w:val="single" w:sz="4" w:space="0" w:color="305496"/>
              <w:right w:val="nil"/>
            </w:tcBorders>
            <w:shd w:val="clear" w:color="000000" w:fill="E7E6E6"/>
            <w:vAlign w:val="bottom"/>
            <w:hideMark/>
          </w:tcPr>
          <w:p w14:paraId="6D95FA34" w14:textId="77777777" w:rsidR="00C130F7" w:rsidRPr="00624B2A" w:rsidRDefault="00C130F7">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5" w:type="pct"/>
            <w:tcBorders>
              <w:top w:val="nil"/>
              <w:left w:val="nil"/>
              <w:bottom w:val="single" w:sz="4" w:space="0" w:color="305496"/>
              <w:right w:val="nil"/>
            </w:tcBorders>
            <w:shd w:val="clear" w:color="000000" w:fill="E7E6E6"/>
            <w:vAlign w:val="bottom"/>
            <w:hideMark/>
          </w:tcPr>
          <w:p w14:paraId="2DAC9873" w14:textId="77777777" w:rsidR="00C130F7" w:rsidRPr="00624B2A" w:rsidRDefault="00C130F7">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r>
      <w:tr w:rsidR="00C130F7" w:rsidRPr="00C130F7" w14:paraId="6D1CD660" w14:textId="77777777" w:rsidTr="001A51AA">
        <w:trPr>
          <w:trHeight w:val="300"/>
        </w:trPr>
        <w:tc>
          <w:tcPr>
            <w:tcW w:w="253" w:type="pct"/>
            <w:tcBorders>
              <w:top w:val="nil"/>
              <w:left w:val="nil"/>
              <w:bottom w:val="nil"/>
              <w:right w:val="nil"/>
            </w:tcBorders>
            <w:shd w:val="clear" w:color="auto" w:fill="auto"/>
            <w:noWrap/>
            <w:vAlign w:val="center"/>
            <w:hideMark/>
          </w:tcPr>
          <w:p w14:paraId="1A33D75F"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9i</w:t>
            </w:r>
          </w:p>
        </w:tc>
        <w:tc>
          <w:tcPr>
            <w:tcW w:w="380" w:type="pct"/>
            <w:tcBorders>
              <w:top w:val="nil"/>
              <w:left w:val="nil"/>
              <w:bottom w:val="nil"/>
              <w:right w:val="nil"/>
            </w:tcBorders>
            <w:shd w:val="clear" w:color="auto" w:fill="auto"/>
            <w:noWrap/>
            <w:vAlign w:val="center"/>
            <w:hideMark/>
          </w:tcPr>
          <w:p w14:paraId="51DA0A63"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CO16</w:t>
            </w:r>
          </w:p>
        </w:tc>
        <w:tc>
          <w:tcPr>
            <w:tcW w:w="1250" w:type="pct"/>
            <w:tcBorders>
              <w:top w:val="nil"/>
              <w:left w:val="nil"/>
              <w:bottom w:val="nil"/>
              <w:right w:val="nil"/>
            </w:tcBorders>
            <w:shd w:val="clear" w:color="auto" w:fill="auto"/>
            <w:vAlign w:val="center"/>
            <w:hideMark/>
          </w:tcPr>
          <w:p w14:paraId="34CD5E9E" w14:textId="77777777" w:rsidR="00C130F7" w:rsidRPr="00624B2A" w:rsidRDefault="00C130F7" w:rsidP="00761DE3">
            <w:pPr>
              <w:jc w:val="left"/>
              <w:rPr>
                <w:rFonts w:eastAsia="Times New Roman" w:cs="Calibri"/>
                <w:color w:val="000000"/>
                <w:sz w:val="16"/>
                <w:szCs w:val="16"/>
                <w:lang w:eastAsia="it-IT"/>
              </w:rPr>
            </w:pPr>
            <w:r w:rsidRPr="00624B2A">
              <w:rPr>
                <w:rFonts w:eastAsia="Times New Roman" w:cs="Calibri"/>
                <w:color w:val="000000"/>
                <w:sz w:val="16"/>
                <w:szCs w:val="16"/>
                <w:lang w:eastAsia="it-IT"/>
              </w:rPr>
              <w:t>I partecipanti con disabilità</w:t>
            </w:r>
          </w:p>
        </w:tc>
        <w:tc>
          <w:tcPr>
            <w:tcW w:w="346" w:type="pct"/>
            <w:tcBorders>
              <w:top w:val="nil"/>
              <w:left w:val="nil"/>
              <w:bottom w:val="nil"/>
              <w:right w:val="nil"/>
            </w:tcBorders>
            <w:shd w:val="clear" w:color="auto" w:fill="auto"/>
            <w:noWrap/>
            <w:vAlign w:val="bottom"/>
            <w:hideMark/>
          </w:tcPr>
          <w:p w14:paraId="45B3A765"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5.369</w:t>
            </w:r>
          </w:p>
        </w:tc>
        <w:tc>
          <w:tcPr>
            <w:tcW w:w="347" w:type="pct"/>
            <w:tcBorders>
              <w:top w:val="nil"/>
              <w:left w:val="nil"/>
              <w:bottom w:val="nil"/>
              <w:right w:val="nil"/>
            </w:tcBorders>
            <w:shd w:val="clear" w:color="auto" w:fill="auto"/>
            <w:noWrap/>
            <w:vAlign w:val="bottom"/>
            <w:hideMark/>
          </w:tcPr>
          <w:p w14:paraId="182998EC"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2.583</w:t>
            </w:r>
          </w:p>
        </w:tc>
        <w:tc>
          <w:tcPr>
            <w:tcW w:w="346" w:type="pct"/>
            <w:tcBorders>
              <w:top w:val="nil"/>
              <w:left w:val="nil"/>
              <w:bottom w:val="nil"/>
              <w:right w:val="nil"/>
            </w:tcBorders>
            <w:shd w:val="clear" w:color="auto" w:fill="auto"/>
            <w:noWrap/>
            <w:vAlign w:val="bottom"/>
            <w:hideMark/>
          </w:tcPr>
          <w:p w14:paraId="0EDC574D"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2.786</w:t>
            </w:r>
          </w:p>
        </w:tc>
        <w:tc>
          <w:tcPr>
            <w:tcW w:w="347" w:type="pct"/>
            <w:tcBorders>
              <w:top w:val="nil"/>
              <w:left w:val="nil"/>
              <w:bottom w:val="nil"/>
              <w:right w:val="nil"/>
            </w:tcBorders>
            <w:shd w:val="clear" w:color="auto" w:fill="auto"/>
            <w:noWrap/>
            <w:vAlign w:val="bottom"/>
            <w:hideMark/>
          </w:tcPr>
          <w:p w14:paraId="360DD5FA"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5.279</w:t>
            </w:r>
          </w:p>
        </w:tc>
        <w:tc>
          <w:tcPr>
            <w:tcW w:w="346" w:type="pct"/>
            <w:tcBorders>
              <w:top w:val="nil"/>
              <w:left w:val="nil"/>
              <w:bottom w:val="nil"/>
              <w:right w:val="nil"/>
            </w:tcBorders>
            <w:shd w:val="clear" w:color="auto" w:fill="auto"/>
            <w:noWrap/>
            <w:vAlign w:val="bottom"/>
            <w:hideMark/>
          </w:tcPr>
          <w:p w14:paraId="4BD6A9B7"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3.462</w:t>
            </w:r>
          </w:p>
        </w:tc>
        <w:tc>
          <w:tcPr>
            <w:tcW w:w="282" w:type="pct"/>
            <w:tcBorders>
              <w:top w:val="nil"/>
              <w:left w:val="nil"/>
              <w:bottom w:val="nil"/>
              <w:right w:val="nil"/>
            </w:tcBorders>
            <w:shd w:val="clear" w:color="auto" w:fill="auto"/>
            <w:noWrap/>
            <w:vAlign w:val="bottom"/>
            <w:hideMark/>
          </w:tcPr>
          <w:p w14:paraId="0539BFC7"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1.817</w:t>
            </w:r>
          </w:p>
        </w:tc>
        <w:tc>
          <w:tcPr>
            <w:tcW w:w="411" w:type="pct"/>
            <w:tcBorders>
              <w:top w:val="nil"/>
              <w:left w:val="nil"/>
              <w:bottom w:val="nil"/>
              <w:right w:val="nil"/>
            </w:tcBorders>
            <w:shd w:val="clear" w:color="auto" w:fill="auto"/>
            <w:noWrap/>
            <w:vAlign w:val="bottom"/>
            <w:hideMark/>
          </w:tcPr>
          <w:p w14:paraId="137EF728"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98%</w:t>
            </w:r>
          </w:p>
        </w:tc>
        <w:tc>
          <w:tcPr>
            <w:tcW w:w="347" w:type="pct"/>
            <w:tcBorders>
              <w:top w:val="nil"/>
              <w:left w:val="nil"/>
              <w:bottom w:val="nil"/>
              <w:right w:val="nil"/>
            </w:tcBorders>
            <w:shd w:val="clear" w:color="auto" w:fill="auto"/>
            <w:noWrap/>
            <w:vAlign w:val="bottom"/>
            <w:hideMark/>
          </w:tcPr>
          <w:p w14:paraId="08DC8669"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134%</w:t>
            </w:r>
          </w:p>
        </w:tc>
        <w:tc>
          <w:tcPr>
            <w:tcW w:w="345" w:type="pct"/>
            <w:tcBorders>
              <w:top w:val="nil"/>
              <w:left w:val="nil"/>
              <w:bottom w:val="nil"/>
              <w:right w:val="nil"/>
            </w:tcBorders>
            <w:shd w:val="clear" w:color="auto" w:fill="auto"/>
            <w:noWrap/>
            <w:vAlign w:val="bottom"/>
            <w:hideMark/>
          </w:tcPr>
          <w:p w14:paraId="0F1D2B8F"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65%</w:t>
            </w:r>
          </w:p>
        </w:tc>
      </w:tr>
      <w:tr w:rsidR="00C130F7" w:rsidRPr="00C130F7" w14:paraId="38162B8F" w14:textId="77777777" w:rsidTr="001A51AA">
        <w:trPr>
          <w:trHeight w:val="300"/>
        </w:trPr>
        <w:tc>
          <w:tcPr>
            <w:tcW w:w="253" w:type="pct"/>
            <w:tcBorders>
              <w:top w:val="nil"/>
              <w:left w:val="nil"/>
              <w:bottom w:val="nil"/>
              <w:right w:val="nil"/>
            </w:tcBorders>
            <w:shd w:val="clear" w:color="auto" w:fill="auto"/>
            <w:noWrap/>
            <w:vAlign w:val="center"/>
            <w:hideMark/>
          </w:tcPr>
          <w:p w14:paraId="06592162"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9i</w:t>
            </w:r>
          </w:p>
        </w:tc>
        <w:tc>
          <w:tcPr>
            <w:tcW w:w="380" w:type="pct"/>
            <w:tcBorders>
              <w:top w:val="nil"/>
              <w:left w:val="nil"/>
              <w:bottom w:val="nil"/>
              <w:right w:val="nil"/>
            </w:tcBorders>
            <w:shd w:val="clear" w:color="auto" w:fill="auto"/>
            <w:noWrap/>
            <w:vAlign w:val="center"/>
            <w:hideMark/>
          </w:tcPr>
          <w:p w14:paraId="24624D7F"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CO17</w:t>
            </w:r>
          </w:p>
        </w:tc>
        <w:tc>
          <w:tcPr>
            <w:tcW w:w="1250" w:type="pct"/>
            <w:tcBorders>
              <w:top w:val="nil"/>
              <w:left w:val="nil"/>
              <w:bottom w:val="nil"/>
              <w:right w:val="nil"/>
            </w:tcBorders>
            <w:shd w:val="clear" w:color="auto" w:fill="auto"/>
            <w:vAlign w:val="center"/>
            <w:hideMark/>
          </w:tcPr>
          <w:p w14:paraId="6A43D102" w14:textId="77777777" w:rsidR="00C130F7" w:rsidRPr="00624B2A" w:rsidRDefault="00C130F7" w:rsidP="00761DE3">
            <w:pPr>
              <w:jc w:val="left"/>
              <w:rPr>
                <w:rFonts w:eastAsia="Times New Roman" w:cs="Calibri"/>
                <w:color w:val="000000"/>
                <w:sz w:val="16"/>
                <w:szCs w:val="16"/>
                <w:lang w:eastAsia="it-IT"/>
              </w:rPr>
            </w:pPr>
            <w:r w:rsidRPr="00624B2A">
              <w:rPr>
                <w:rFonts w:eastAsia="Times New Roman" w:cs="Calibri"/>
                <w:color w:val="000000"/>
                <w:sz w:val="16"/>
                <w:szCs w:val="16"/>
                <w:lang w:eastAsia="it-IT"/>
              </w:rPr>
              <w:t>Le altre persone svantaggiate</w:t>
            </w:r>
          </w:p>
        </w:tc>
        <w:tc>
          <w:tcPr>
            <w:tcW w:w="346" w:type="pct"/>
            <w:tcBorders>
              <w:top w:val="nil"/>
              <w:left w:val="nil"/>
              <w:bottom w:val="nil"/>
              <w:right w:val="nil"/>
            </w:tcBorders>
            <w:shd w:val="clear" w:color="auto" w:fill="auto"/>
            <w:noWrap/>
            <w:vAlign w:val="bottom"/>
            <w:hideMark/>
          </w:tcPr>
          <w:p w14:paraId="46B62BB1"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9.419</w:t>
            </w:r>
          </w:p>
        </w:tc>
        <w:tc>
          <w:tcPr>
            <w:tcW w:w="347" w:type="pct"/>
            <w:tcBorders>
              <w:top w:val="nil"/>
              <w:left w:val="nil"/>
              <w:bottom w:val="nil"/>
              <w:right w:val="nil"/>
            </w:tcBorders>
            <w:shd w:val="clear" w:color="auto" w:fill="auto"/>
            <w:noWrap/>
            <w:vAlign w:val="bottom"/>
            <w:hideMark/>
          </w:tcPr>
          <w:p w14:paraId="55B709B4"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7.608</w:t>
            </w:r>
          </w:p>
        </w:tc>
        <w:tc>
          <w:tcPr>
            <w:tcW w:w="346" w:type="pct"/>
            <w:tcBorders>
              <w:top w:val="nil"/>
              <w:left w:val="nil"/>
              <w:bottom w:val="nil"/>
              <w:right w:val="nil"/>
            </w:tcBorders>
            <w:shd w:val="clear" w:color="auto" w:fill="auto"/>
            <w:noWrap/>
            <w:vAlign w:val="bottom"/>
            <w:hideMark/>
          </w:tcPr>
          <w:p w14:paraId="69FC2783"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1.811</w:t>
            </w:r>
          </w:p>
        </w:tc>
        <w:tc>
          <w:tcPr>
            <w:tcW w:w="347" w:type="pct"/>
            <w:tcBorders>
              <w:top w:val="nil"/>
              <w:left w:val="nil"/>
              <w:bottom w:val="nil"/>
              <w:right w:val="nil"/>
            </w:tcBorders>
            <w:shd w:val="clear" w:color="auto" w:fill="auto"/>
            <w:noWrap/>
            <w:vAlign w:val="bottom"/>
            <w:hideMark/>
          </w:tcPr>
          <w:p w14:paraId="0984C6BA"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11.489</w:t>
            </w:r>
          </w:p>
        </w:tc>
        <w:tc>
          <w:tcPr>
            <w:tcW w:w="346" w:type="pct"/>
            <w:tcBorders>
              <w:top w:val="nil"/>
              <w:left w:val="nil"/>
              <w:bottom w:val="nil"/>
              <w:right w:val="nil"/>
            </w:tcBorders>
            <w:shd w:val="clear" w:color="auto" w:fill="auto"/>
            <w:noWrap/>
            <w:vAlign w:val="bottom"/>
            <w:hideMark/>
          </w:tcPr>
          <w:p w14:paraId="45C883E5"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10.270</w:t>
            </w:r>
          </w:p>
        </w:tc>
        <w:tc>
          <w:tcPr>
            <w:tcW w:w="282" w:type="pct"/>
            <w:tcBorders>
              <w:top w:val="nil"/>
              <w:left w:val="nil"/>
              <w:bottom w:val="nil"/>
              <w:right w:val="nil"/>
            </w:tcBorders>
            <w:shd w:val="clear" w:color="auto" w:fill="auto"/>
            <w:noWrap/>
            <w:vAlign w:val="bottom"/>
            <w:hideMark/>
          </w:tcPr>
          <w:p w14:paraId="3878B61E"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1.219</w:t>
            </w:r>
          </w:p>
        </w:tc>
        <w:tc>
          <w:tcPr>
            <w:tcW w:w="411" w:type="pct"/>
            <w:tcBorders>
              <w:top w:val="nil"/>
              <w:left w:val="nil"/>
              <w:bottom w:val="nil"/>
              <w:right w:val="nil"/>
            </w:tcBorders>
            <w:shd w:val="clear" w:color="auto" w:fill="auto"/>
            <w:noWrap/>
            <w:vAlign w:val="bottom"/>
            <w:hideMark/>
          </w:tcPr>
          <w:p w14:paraId="09EF7325"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122%</w:t>
            </w:r>
          </w:p>
        </w:tc>
        <w:tc>
          <w:tcPr>
            <w:tcW w:w="347" w:type="pct"/>
            <w:tcBorders>
              <w:top w:val="nil"/>
              <w:left w:val="nil"/>
              <w:bottom w:val="nil"/>
              <w:right w:val="nil"/>
            </w:tcBorders>
            <w:shd w:val="clear" w:color="auto" w:fill="auto"/>
            <w:noWrap/>
            <w:vAlign w:val="bottom"/>
            <w:hideMark/>
          </w:tcPr>
          <w:p w14:paraId="4221088A"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135%</w:t>
            </w:r>
          </w:p>
        </w:tc>
        <w:tc>
          <w:tcPr>
            <w:tcW w:w="345" w:type="pct"/>
            <w:tcBorders>
              <w:top w:val="nil"/>
              <w:left w:val="nil"/>
              <w:bottom w:val="nil"/>
              <w:right w:val="nil"/>
            </w:tcBorders>
            <w:shd w:val="clear" w:color="auto" w:fill="auto"/>
            <w:noWrap/>
            <w:vAlign w:val="bottom"/>
            <w:hideMark/>
          </w:tcPr>
          <w:p w14:paraId="08517585"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67%</w:t>
            </w:r>
          </w:p>
        </w:tc>
      </w:tr>
      <w:tr w:rsidR="00C130F7" w:rsidRPr="00C130F7" w14:paraId="658E99DC" w14:textId="77777777" w:rsidTr="001A51AA">
        <w:trPr>
          <w:trHeight w:val="300"/>
        </w:trPr>
        <w:tc>
          <w:tcPr>
            <w:tcW w:w="253" w:type="pct"/>
            <w:tcBorders>
              <w:top w:val="nil"/>
              <w:left w:val="nil"/>
              <w:bottom w:val="nil"/>
              <w:right w:val="nil"/>
            </w:tcBorders>
            <w:shd w:val="clear" w:color="auto" w:fill="auto"/>
            <w:noWrap/>
            <w:vAlign w:val="center"/>
            <w:hideMark/>
          </w:tcPr>
          <w:p w14:paraId="4591E849"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9ii</w:t>
            </w:r>
          </w:p>
        </w:tc>
        <w:tc>
          <w:tcPr>
            <w:tcW w:w="380" w:type="pct"/>
            <w:tcBorders>
              <w:top w:val="nil"/>
              <w:left w:val="nil"/>
              <w:bottom w:val="nil"/>
              <w:right w:val="nil"/>
            </w:tcBorders>
            <w:shd w:val="clear" w:color="auto" w:fill="auto"/>
            <w:noWrap/>
            <w:vAlign w:val="center"/>
            <w:hideMark/>
          </w:tcPr>
          <w:p w14:paraId="09892279"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CO17</w:t>
            </w:r>
          </w:p>
        </w:tc>
        <w:tc>
          <w:tcPr>
            <w:tcW w:w="1250" w:type="pct"/>
            <w:tcBorders>
              <w:top w:val="nil"/>
              <w:left w:val="nil"/>
              <w:bottom w:val="nil"/>
              <w:right w:val="nil"/>
            </w:tcBorders>
            <w:shd w:val="clear" w:color="auto" w:fill="auto"/>
            <w:vAlign w:val="center"/>
            <w:hideMark/>
          </w:tcPr>
          <w:p w14:paraId="6CFC2949" w14:textId="77777777" w:rsidR="00C130F7" w:rsidRPr="00624B2A" w:rsidRDefault="00C130F7" w:rsidP="00761DE3">
            <w:pPr>
              <w:jc w:val="left"/>
              <w:rPr>
                <w:rFonts w:eastAsia="Times New Roman" w:cs="Calibri"/>
                <w:color w:val="000000"/>
                <w:sz w:val="16"/>
                <w:szCs w:val="16"/>
                <w:lang w:eastAsia="it-IT"/>
              </w:rPr>
            </w:pPr>
            <w:r w:rsidRPr="00624B2A">
              <w:rPr>
                <w:rFonts w:eastAsia="Times New Roman" w:cs="Calibri"/>
                <w:color w:val="000000"/>
                <w:sz w:val="16"/>
                <w:szCs w:val="16"/>
                <w:lang w:eastAsia="it-IT"/>
              </w:rPr>
              <w:t>Le altre persone svantaggiate</w:t>
            </w:r>
          </w:p>
        </w:tc>
        <w:tc>
          <w:tcPr>
            <w:tcW w:w="346" w:type="pct"/>
            <w:tcBorders>
              <w:top w:val="nil"/>
              <w:left w:val="nil"/>
              <w:bottom w:val="nil"/>
              <w:right w:val="nil"/>
            </w:tcBorders>
            <w:shd w:val="clear" w:color="auto" w:fill="auto"/>
            <w:noWrap/>
            <w:vAlign w:val="bottom"/>
            <w:hideMark/>
          </w:tcPr>
          <w:p w14:paraId="20C8D19A"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18.579</w:t>
            </w:r>
          </w:p>
        </w:tc>
        <w:tc>
          <w:tcPr>
            <w:tcW w:w="347" w:type="pct"/>
            <w:tcBorders>
              <w:top w:val="nil"/>
              <w:left w:val="nil"/>
              <w:bottom w:val="nil"/>
              <w:right w:val="nil"/>
            </w:tcBorders>
            <w:shd w:val="clear" w:color="auto" w:fill="auto"/>
            <w:noWrap/>
            <w:vAlign w:val="bottom"/>
            <w:hideMark/>
          </w:tcPr>
          <w:p w14:paraId="531DD2FE"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15.792</w:t>
            </w:r>
          </w:p>
        </w:tc>
        <w:tc>
          <w:tcPr>
            <w:tcW w:w="346" w:type="pct"/>
            <w:tcBorders>
              <w:top w:val="nil"/>
              <w:left w:val="nil"/>
              <w:bottom w:val="nil"/>
              <w:right w:val="nil"/>
            </w:tcBorders>
            <w:shd w:val="clear" w:color="auto" w:fill="auto"/>
            <w:noWrap/>
            <w:vAlign w:val="bottom"/>
            <w:hideMark/>
          </w:tcPr>
          <w:p w14:paraId="3A343024"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2.787</w:t>
            </w:r>
          </w:p>
        </w:tc>
        <w:tc>
          <w:tcPr>
            <w:tcW w:w="347" w:type="pct"/>
            <w:tcBorders>
              <w:top w:val="nil"/>
              <w:left w:val="nil"/>
              <w:bottom w:val="nil"/>
              <w:right w:val="nil"/>
            </w:tcBorders>
            <w:shd w:val="clear" w:color="auto" w:fill="auto"/>
            <w:noWrap/>
            <w:vAlign w:val="bottom"/>
            <w:hideMark/>
          </w:tcPr>
          <w:p w14:paraId="7F27B50F"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7.399</w:t>
            </w:r>
          </w:p>
        </w:tc>
        <w:tc>
          <w:tcPr>
            <w:tcW w:w="346" w:type="pct"/>
            <w:tcBorders>
              <w:top w:val="nil"/>
              <w:left w:val="nil"/>
              <w:bottom w:val="nil"/>
              <w:right w:val="nil"/>
            </w:tcBorders>
            <w:shd w:val="clear" w:color="auto" w:fill="auto"/>
            <w:noWrap/>
            <w:vAlign w:val="bottom"/>
            <w:hideMark/>
          </w:tcPr>
          <w:p w14:paraId="3159F470"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6.189</w:t>
            </w:r>
          </w:p>
        </w:tc>
        <w:tc>
          <w:tcPr>
            <w:tcW w:w="282" w:type="pct"/>
            <w:tcBorders>
              <w:top w:val="nil"/>
              <w:left w:val="nil"/>
              <w:bottom w:val="nil"/>
              <w:right w:val="nil"/>
            </w:tcBorders>
            <w:shd w:val="clear" w:color="auto" w:fill="auto"/>
            <w:noWrap/>
            <w:vAlign w:val="bottom"/>
            <w:hideMark/>
          </w:tcPr>
          <w:p w14:paraId="63034D6B"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1.210</w:t>
            </w:r>
          </w:p>
        </w:tc>
        <w:tc>
          <w:tcPr>
            <w:tcW w:w="411" w:type="pct"/>
            <w:tcBorders>
              <w:top w:val="nil"/>
              <w:left w:val="nil"/>
              <w:bottom w:val="nil"/>
              <w:right w:val="nil"/>
            </w:tcBorders>
            <w:shd w:val="clear" w:color="auto" w:fill="auto"/>
            <w:noWrap/>
            <w:vAlign w:val="bottom"/>
            <w:hideMark/>
          </w:tcPr>
          <w:p w14:paraId="10BDEED2"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40%</w:t>
            </w:r>
          </w:p>
        </w:tc>
        <w:tc>
          <w:tcPr>
            <w:tcW w:w="347" w:type="pct"/>
            <w:tcBorders>
              <w:top w:val="nil"/>
              <w:left w:val="nil"/>
              <w:bottom w:val="nil"/>
              <w:right w:val="nil"/>
            </w:tcBorders>
            <w:shd w:val="clear" w:color="auto" w:fill="auto"/>
            <w:noWrap/>
            <w:vAlign w:val="bottom"/>
            <w:hideMark/>
          </w:tcPr>
          <w:p w14:paraId="617FA5CF"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39%</w:t>
            </w:r>
          </w:p>
        </w:tc>
        <w:tc>
          <w:tcPr>
            <w:tcW w:w="345" w:type="pct"/>
            <w:tcBorders>
              <w:top w:val="nil"/>
              <w:left w:val="nil"/>
              <w:bottom w:val="nil"/>
              <w:right w:val="nil"/>
            </w:tcBorders>
            <w:shd w:val="clear" w:color="auto" w:fill="auto"/>
            <w:noWrap/>
            <w:vAlign w:val="bottom"/>
            <w:hideMark/>
          </w:tcPr>
          <w:p w14:paraId="7908E6E3"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43%</w:t>
            </w:r>
          </w:p>
        </w:tc>
      </w:tr>
      <w:tr w:rsidR="00C130F7" w:rsidRPr="00C130F7" w14:paraId="03568AB0" w14:textId="77777777" w:rsidTr="001A51AA">
        <w:trPr>
          <w:trHeight w:val="300"/>
        </w:trPr>
        <w:tc>
          <w:tcPr>
            <w:tcW w:w="253" w:type="pct"/>
            <w:tcBorders>
              <w:top w:val="nil"/>
              <w:left w:val="nil"/>
              <w:bottom w:val="nil"/>
              <w:right w:val="nil"/>
            </w:tcBorders>
            <w:shd w:val="clear" w:color="auto" w:fill="auto"/>
            <w:noWrap/>
            <w:vAlign w:val="center"/>
            <w:hideMark/>
          </w:tcPr>
          <w:p w14:paraId="2AB16F74"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9iv</w:t>
            </w:r>
          </w:p>
        </w:tc>
        <w:tc>
          <w:tcPr>
            <w:tcW w:w="380" w:type="pct"/>
            <w:tcBorders>
              <w:top w:val="nil"/>
              <w:left w:val="nil"/>
              <w:bottom w:val="nil"/>
              <w:right w:val="nil"/>
            </w:tcBorders>
            <w:shd w:val="clear" w:color="auto" w:fill="auto"/>
            <w:noWrap/>
            <w:vAlign w:val="center"/>
            <w:hideMark/>
          </w:tcPr>
          <w:p w14:paraId="740D8982"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CO17</w:t>
            </w:r>
          </w:p>
        </w:tc>
        <w:tc>
          <w:tcPr>
            <w:tcW w:w="1250" w:type="pct"/>
            <w:tcBorders>
              <w:top w:val="nil"/>
              <w:left w:val="nil"/>
              <w:bottom w:val="nil"/>
              <w:right w:val="nil"/>
            </w:tcBorders>
            <w:shd w:val="clear" w:color="auto" w:fill="auto"/>
            <w:vAlign w:val="center"/>
            <w:hideMark/>
          </w:tcPr>
          <w:p w14:paraId="46612E4C" w14:textId="77777777" w:rsidR="00C130F7" w:rsidRPr="00624B2A" w:rsidRDefault="00C130F7" w:rsidP="00761DE3">
            <w:pPr>
              <w:jc w:val="left"/>
              <w:rPr>
                <w:rFonts w:eastAsia="Times New Roman" w:cs="Calibri"/>
                <w:color w:val="000000"/>
                <w:sz w:val="16"/>
                <w:szCs w:val="16"/>
                <w:lang w:eastAsia="it-IT"/>
              </w:rPr>
            </w:pPr>
            <w:r w:rsidRPr="00624B2A">
              <w:rPr>
                <w:rFonts w:eastAsia="Times New Roman" w:cs="Calibri"/>
                <w:color w:val="000000"/>
                <w:sz w:val="16"/>
                <w:szCs w:val="16"/>
                <w:lang w:eastAsia="it-IT"/>
              </w:rPr>
              <w:t>Le altre persone svantaggiate</w:t>
            </w:r>
          </w:p>
        </w:tc>
        <w:tc>
          <w:tcPr>
            <w:tcW w:w="346" w:type="pct"/>
            <w:tcBorders>
              <w:top w:val="nil"/>
              <w:left w:val="nil"/>
              <w:bottom w:val="nil"/>
              <w:right w:val="nil"/>
            </w:tcBorders>
            <w:shd w:val="clear" w:color="auto" w:fill="auto"/>
            <w:noWrap/>
            <w:vAlign w:val="bottom"/>
            <w:hideMark/>
          </w:tcPr>
          <w:p w14:paraId="1939ED02"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3.300</w:t>
            </w:r>
          </w:p>
        </w:tc>
        <w:tc>
          <w:tcPr>
            <w:tcW w:w="347" w:type="pct"/>
            <w:tcBorders>
              <w:top w:val="nil"/>
              <w:left w:val="nil"/>
              <w:bottom w:val="nil"/>
              <w:right w:val="nil"/>
            </w:tcBorders>
            <w:shd w:val="clear" w:color="auto" w:fill="auto"/>
            <w:noWrap/>
            <w:vAlign w:val="bottom"/>
            <w:hideMark/>
          </w:tcPr>
          <w:p w14:paraId="5E461F92"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1.485</w:t>
            </w:r>
          </w:p>
        </w:tc>
        <w:tc>
          <w:tcPr>
            <w:tcW w:w="346" w:type="pct"/>
            <w:tcBorders>
              <w:top w:val="nil"/>
              <w:left w:val="nil"/>
              <w:bottom w:val="nil"/>
              <w:right w:val="nil"/>
            </w:tcBorders>
            <w:shd w:val="clear" w:color="auto" w:fill="auto"/>
            <w:noWrap/>
            <w:vAlign w:val="bottom"/>
            <w:hideMark/>
          </w:tcPr>
          <w:p w14:paraId="43360692"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1.815</w:t>
            </w:r>
          </w:p>
        </w:tc>
        <w:tc>
          <w:tcPr>
            <w:tcW w:w="347" w:type="pct"/>
            <w:tcBorders>
              <w:top w:val="nil"/>
              <w:left w:val="nil"/>
              <w:bottom w:val="nil"/>
              <w:right w:val="nil"/>
            </w:tcBorders>
            <w:shd w:val="clear" w:color="auto" w:fill="auto"/>
            <w:noWrap/>
            <w:vAlign w:val="bottom"/>
            <w:hideMark/>
          </w:tcPr>
          <w:p w14:paraId="0AA6E369"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3.528</w:t>
            </w:r>
          </w:p>
        </w:tc>
        <w:tc>
          <w:tcPr>
            <w:tcW w:w="346" w:type="pct"/>
            <w:tcBorders>
              <w:top w:val="nil"/>
              <w:left w:val="nil"/>
              <w:bottom w:val="nil"/>
              <w:right w:val="nil"/>
            </w:tcBorders>
            <w:shd w:val="clear" w:color="auto" w:fill="auto"/>
            <w:noWrap/>
            <w:vAlign w:val="bottom"/>
            <w:hideMark/>
          </w:tcPr>
          <w:p w14:paraId="3F6EFADA"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1.496</w:t>
            </w:r>
          </w:p>
        </w:tc>
        <w:tc>
          <w:tcPr>
            <w:tcW w:w="282" w:type="pct"/>
            <w:tcBorders>
              <w:top w:val="nil"/>
              <w:left w:val="nil"/>
              <w:bottom w:val="nil"/>
              <w:right w:val="nil"/>
            </w:tcBorders>
            <w:shd w:val="clear" w:color="auto" w:fill="auto"/>
            <w:noWrap/>
            <w:vAlign w:val="bottom"/>
            <w:hideMark/>
          </w:tcPr>
          <w:p w14:paraId="1F9A5085"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2.032</w:t>
            </w:r>
          </w:p>
        </w:tc>
        <w:tc>
          <w:tcPr>
            <w:tcW w:w="411" w:type="pct"/>
            <w:tcBorders>
              <w:top w:val="nil"/>
              <w:left w:val="nil"/>
              <w:bottom w:val="nil"/>
              <w:right w:val="nil"/>
            </w:tcBorders>
            <w:shd w:val="clear" w:color="auto" w:fill="auto"/>
            <w:noWrap/>
            <w:vAlign w:val="bottom"/>
            <w:hideMark/>
          </w:tcPr>
          <w:p w14:paraId="7E0FB130"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107%</w:t>
            </w:r>
          </w:p>
        </w:tc>
        <w:tc>
          <w:tcPr>
            <w:tcW w:w="347" w:type="pct"/>
            <w:tcBorders>
              <w:top w:val="nil"/>
              <w:left w:val="nil"/>
              <w:bottom w:val="nil"/>
              <w:right w:val="nil"/>
            </w:tcBorders>
            <w:shd w:val="clear" w:color="auto" w:fill="auto"/>
            <w:noWrap/>
            <w:vAlign w:val="bottom"/>
            <w:hideMark/>
          </w:tcPr>
          <w:p w14:paraId="3B0D8B74"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101%</w:t>
            </w:r>
          </w:p>
        </w:tc>
        <w:tc>
          <w:tcPr>
            <w:tcW w:w="345" w:type="pct"/>
            <w:tcBorders>
              <w:top w:val="nil"/>
              <w:left w:val="nil"/>
              <w:bottom w:val="nil"/>
              <w:right w:val="nil"/>
            </w:tcBorders>
            <w:shd w:val="clear" w:color="auto" w:fill="auto"/>
            <w:noWrap/>
            <w:vAlign w:val="bottom"/>
            <w:hideMark/>
          </w:tcPr>
          <w:p w14:paraId="11ABB54A"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112%</w:t>
            </w:r>
          </w:p>
        </w:tc>
      </w:tr>
      <w:tr w:rsidR="00C130F7" w:rsidRPr="00C130F7" w14:paraId="2B3AC944" w14:textId="77777777" w:rsidTr="001A51AA">
        <w:trPr>
          <w:trHeight w:val="300"/>
        </w:trPr>
        <w:tc>
          <w:tcPr>
            <w:tcW w:w="253" w:type="pct"/>
            <w:tcBorders>
              <w:top w:val="nil"/>
              <w:left w:val="nil"/>
              <w:bottom w:val="nil"/>
              <w:right w:val="nil"/>
            </w:tcBorders>
            <w:shd w:val="clear" w:color="auto" w:fill="auto"/>
            <w:noWrap/>
            <w:vAlign w:val="center"/>
            <w:hideMark/>
          </w:tcPr>
          <w:p w14:paraId="2A133B42"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9iv</w:t>
            </w:r>
          </w:p>
        </w:tc>
        <w:tc>
          <w:tcPr>
            <w:tcW w:w="380" w:type="pct"/>
            <w:tcBorders>
              <w:top w:val="nil"/>
              <w:left w:val="nil"/>
              <w:bottom w:val="nil"/>
              <w:right w:val="nil"/>
            </w:tcBorders>
            <w:shd w:val="clear" w:color="auto" w:fill="auto"/>
            <w:noWrap/>
            <w:vAlign w:val="center"/>
            <w:hideMark/>
          </w:tcPr>
          <w:p w14:paraId="3ED52B18"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b.4.1</w:t>
            </w:r>
          </w:p>
        </w:tc>
        <w:tc>
          <w:tcPr>
            <w:tcW w:w="1250" w:type="pct"/>
            <w:tcBorders>
              <w:top w:val="nil"/>
              <w:left w:val="nil"/>
              <w:bottom w:val="nil"/>
              <w:right w:val="nil"/>
            </w:tcBorders>
            <w:shd w:val="clear" w:color="auto" w:fill="auto"/>
            <w:vAlign w:val="center"/>
            <w:hideMark/>
          </w:tcPr>
          <w:p w14:paraId="12E30293" w14:textId="77777777" w:rsidR="00C130F7" w:rsidRPr="00624B2A" w:rsidRDefault="00C130F7" w:rsidP="00761DE3">
            <w:pPr>
              <w:jc w:val="left"/>
              <w:rPr>
                <w:rFonts w:eastAsia="Times New Roman" w:cs="Calibri"/>
                <w:color w:val="000000"/>
                <w:sz w:val="16"/>
                <w:szCs w:val="16"/>
                <w:lang w:eastAsia="it-IT"/>
              </w:rPr>
            </w:pPr>
            <w:r w:rsidRPr="00624B2A">
              <w:rPr>
                <w:rFonts w:eastAsia="Times New Roman" w:cs="Calibri"/>
                <w:color w:val="000000"/>
                <w:sz w:val="16"/>
                <w:szCs w:val="16"/>
                <w:lang w:eastAsia="it-IT"/>
              </w:rPr>
              <w:t>Nuclei famigliari con figli (coppie e monogenitori)</w:t>
            </w:r>
          </w:p>
        </w:tc>
        <w:tc>
          <w:tcPr>
            <w:tcW w:w="346" w:type="pct"/>
            <w:tcBorders>
              <w:top w:val="nil"/>
              <w:left w:val="nil"/>
              <w:bottom w:val="nil"/>
              <w:right w:val="nil"/>
            </w:tcBorders>
            <w:shd w:val="clear" w:color="auto" w:fill="auto"/>
            <w:noWrap/>
            <w:vAlign w:val="bottom"/>
            <w:hideMark/>
          </w:tcPr>
          <w:p w14:paraId="29E6867D"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51.050</w:t>
            </w:r>
          </w:p>
        </w:tc>
        <w:tc>
          <w:tcPr>
            <w:tcW w:w="347" w:type="pct"/>
            <w:tcBorders>
              <w:top w:val="nil"/>
              <w:left w:val="nil"/>
              <w:bottom w:val="nil"/>
              <w:right w:val="nil"/>
            </w:tcBorders>
            <w:shd w:val="clear" w:color="auto" w:fill="auto"/>
            <w:noWrap/>
            <w:vAlign w:val="bottom"/>
            <w:hideMark/>
          </w:tcPr>
          <w:p w14:paraId="0BC22F06" w14:textId="77777777" w:rsidR="00C130F7" w:rsidRPr="00624B2A" w:rsidRDefault="006873A2">
            <w:pPr>
              <w:jc w:val="right"/>
              <w:rPr>
                <w:rFonts w:eastAsia="Times New Roman" w:cs="Calibri"/>
                <w:color w:val="000000"/>
                <w:sz w:val="16"/>
                <w:szCs w:val="16"/>
                <w:lang w:eastAsia="it-IT"/>
              </w:rPr>
            </w:pPr>
            <w:r>
              <w:rPr>
                <w:rFonts w:eastAsia="Times New Roman" w:cs="Calibri"/>
                <w:color w:val="000000"/>
                <w:sz w:val="16"/>
                <w:szCs w:val="16"/>
                <w:lang w:eastAsia="it-IT"/>
              </w:rPr>
              <w:t>-</w:t>
            </w:r>
          </w:p>
        </w:tc>
        <w:tc>
          <w:tcPr>
            <w:tcW w:w="346" w:type="pct"/>
            <w:tcBorders>
              <w:top w:val="nil"/>
              <w:left w:val="nil"/>
              <w:bottom w:val="nil"/>
              <w:right w:val="nil"/>
            </w:tcBorders>
            <w:shd w:val="clear" w:color="auto" w:fill="auto"/>
            <w:noWrap/>
            <w:vAlign w:val="bottom"/>
            <w:hideMark/>
          </w:tcPr>
          <w:p w14:paraId="3392A2D7" w14:textId="77777777" w:rsidR="00C130F7" w:rsidRPr="00624B2A" w:rsidRDefault="006873A2">
            <w:pPr>
              <w:jc w:val="righ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w:t>
            </w:r>
          </w:p>
        </w:tc>
        <w:tc>
          <w:tcPr>
            <w:tcW w:w="347" w:type="pct"/>
            <w:tcBorders>
              <w:top w:val="nil"/>
              <w:left w:val="nil"/>
              <w:bottom w:val="nil"/>
              <w:right w:val="nil"/>
            </w:tcBorders>
            <w:shd w:val="clear" w:color="auto" w:fill="auto"/>
            <w:noWrap/>
            <w:vAlign w:val="bottom"/>
            <w:hideMark/>
          </w:tcPr>
          <w:p w14:paraId="1B7DEBA6"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57.503</w:t>
            </w:r>
          </w:p>
        </w:tc>
        <w:tc>
          <w:tcPr>
            <w:tcW w:w="346" w:type="pct"/>
            <w:tcBorders>
              <w:top w:val="nil"/>
              <w:left w:val="nil"/>
              <w:bottom w:val="nil"/>
              <w:right w:val="nil"/>
            </w:tcBorders>
            <w:shd w:val="clear" w:color="auto" w:fill="auto"/>
            <w:noWrap/>
            <w:vAlign w:val="bottom"/>
            <w:hideMark/>
          </w:tcPr>
          <w:p w14:paraId="48C5F51A" w14:textId="77777777" w:rsidR="00C130F7" w:rsidRPr="00624B2A" w:rsidRDefault="006873A2">
            <w:pPr>
              <w:jc w:val="right"/>
              <w:rPr>
                <w:rFonts w:eastAsia="Times New Roman" w:cs="Calibri"/>
                <w:color w:val="000000"/>
                <w:sz w:val="16"/>
                <w:szCs w:val="16"/>
                <w:lang w:eastAsia="it-IT"/>
              </w:rPr>
            </w:pPr>
            <w:r>
              <w:rPr>
                <w:rFonts w:eastAsia="Times New Roman" w:cs="Calibri"/>
                <w:color w:val="000000"/>
                <w:sz w:val="16"/>
                <w:szCs w:val="16"/>
                <w:lang w:eastAsia="it-IT"/>
              </w:rPr>
              <w:t>-</w:t>
            </w:r>
          </w:p>
        </w:tc>
        <w:tc>
          <w:tcPr>
            <w:tcW w:w="282" w:type="pct"/>
            <w:tcBorders>
              <w:top w:val="nil"/>
              <w:left w:val="nil"/>
              <w:bottom w:val="nil"/>
              <w:right w:val="nil"/>
            </w:tcBorders>
            <w:shd w:val="clear" w:color="auto" w:fill="auto"/>
            <w:noWrap/>
            <w:vAlign w:val="bottom"/>
            <w:hideMark/>
          </w:tcPr>
          <w:p w14:paraId="6D58D051" w14:textId="77777777" w:rsidR="00C130F7" w:rsidRPr="00624B2A" w:rsidRDefault="006873A2">
            <w:pPr>
              <w:jc w:val="righ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w:t>
            </w:r>
          </w:p>
        </w:tc>
        <w:tc>
          <w:tcPr>
            <w:tcW w:w="411" w:type="pct"/>
            <w:tcBorders>
              <w:top w:val="nil"/>
              <w:left w:val="nil"/>
              <w:bottom w:val="nil"/>
              <w:right w:val="nil"/>
            </w:tcBorders>
            <w:shd w:val="clear" w:color="auto" w:fill="auto"/>
            <w:noWrap/>
            <w:vAlign w:val="bottom"/>
            <w:hideMark/>
          </w:tcPr>
          <w:p w14:paraId="033CA685"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113%</w:t>
            </w:r>
          </w:p>
        </w:tc>
        <w:tc>
          <w:tcPr>
            <w:tcW w:w="347" w:type="pct"/>
            <w:tcBorders>
              <w:top w:val="nil"/>
              <w:left w:val="nil"/>
              <w:bottom w:val="nil"/>
              <w:right w:val="nil"/>
            </w:tcBorders>
            <w:shd w:val="clear" w:color="auto" w:fill="auto"/>
            <w:noWrap/>
            <w:vAlign w:val="bottom"/>
            <w:hideMark/>
          </w:tcPr>
          <w:p w14:paraId="48CCEFCB" w14:textId="77777777" w:rsidR="00C130F7" w:rsidRPr="00624B2A" w:rsidRDefault="006873A2">
            <w:pPr>
              <w:jc w:val="right"/>
              <w:rPr>
                <w:rFonts w:eastAsia="Times New Roman" w:cs="Calibri"/>
                <w:color w:val="000000"/>
                <w:sz w:val="16"/>
                <w:szCs w:val="16"/>
                <w:lang w:eastAsia="it-IT"/>
              </w:rPr>
            </w:pPr>
            <w:r>
              <w:rPr>
                <w:rFonts w:eastAsia="Times New Roman" w:cs="Calibri"/>
                <w:color w:val="000000"/>
                <w:sz w:val="16"/>
                <w:szCs w:val="16"/>
                <w:lang w:eastAsia="it-IT"/>
              </w:rPr>
              <w:t>-</w:t>
            </w:r>
          </w:p>
        </w:tc>
        <w:tc>
          <w:tcPr>
            <w:tcW w:w="345" w:type="pct"/>
            <w:tcBorders>
              <w:top w:val="nil"/>
              <w:left w:val="nil"/>
              <w:bottom w:val="nil"/>
              <w:right w:val="nil"/>
            </w:tcBorders>
            <w:shd w:val="clear" w:color="auto" w:fill="auto"/>
            <w:noWrap/>
            <w:vAlign w:val="bottom"/>
            <w:hideMark/>
          </w:tcPr>
          <w:p w14:paraId="7918106B" w14:textId="77777777" w:rsidR="00C130F7" w:rsidRPr="00624B2A" w:rsidRDefault="006873A2">
            <w:pPr>
              <w:jc w:val="righ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w:t>
            </w:r>
          </w:p>
        </w:tc>
      </w:tr>
      <w:tr w:rsidR="00C130F7" w:rsidRPr="00C130F7" w14:paraId="645C4105" w14:textId="77777777" w:rsidTr="001A51AA">
        <w:trPr>
          <w:trHeight w:val="300"/>
        </w:trPr>
        <w:tc>
          <w:tcPr>
            <w:tcW w:w="253" w:type="pct"/>
            <w:tcBorders>
              <w:top w:val="nil"/>
              <w:left w:val="nil"/>
              <w:bottom w:val="nil"/>
              <w:right w:val="nil"/>
            </w:tcBorders>
            <w:shd w:val="clear" w:color="auto" w:fill="auto"/>
            <w:noWrap/>
            <w:vAlign w:val="center"/>
            <w:hideMark/>
          </w:tcPr>
          <w:p w14:paraId="0947FADE"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9iv</w:t>
            </w:r>
          </w:p>
        </w:tc>
        <w:tc>
          <w:tcPr>
            <w:tcW w:w="380" w:type="pct"/>
            <w:tcBorders>
              <w:top w:val="nil"/>
              <w:left w:val="nil"/>
              <w:bottom w:val="nil"/>
              <w:right w:val="nil"/>
            </w:tcBorders>
            <w:shd w:val="clear" w:color="auto" w:fill="auto"/>
            <w:noWrap/>
            <w:vAlign w:val="center"/>
            <w:hideMark/>
          </w:tcPr>
          <w:p w14:paraId="296FBCDD"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b4.2</w:t>
            </w:r>
          </w:p>
        </w:tc>
        <w:tc>
          <w:tcPr>
            <w:tcW w:w="1250" w:type="pct"/>
            <w:tcBorders>
              <w:top w:val="nil"/>
              <w:left w:val="nil"/>
              <w:bottom w:val="nil"/>
              <w:right w:val="nil"/>
            </w:tcBorders>
            <w:shd w:val="clear" w:color="auto" w:fill="auto"/>
            <w:vAlign w:val="center"/>
            <w:hideMark/>
          </w:tcPr>
          <w:p w14:paraId="3EAD3630" w14:textId="77777777" w:rsidR="00C130F7" w:rsidRPr="00624B2A" w:rsidRDefault="00C130F7" w:rsidP="00761DE3">
            <w:pPr>
              <w:jc w:val="left"/>
              <w:rPr>
                <w:rFonts w:eastAsia="Times New Roman" w:cs="Calibri"/>
                <w:color w:val="000000"/>
                <w:sz w:val="16"/>
                <w:szCs w:val="16"/>
                <w:lang w:eastAsia="it-IT"/>
              </w:rPr>
            </w:pPr>
            <w:r w:rsidRPr="00624B2A">
              <w:rPr>
                <w:rFonts w:eastAsia="Times New Roman" w:cs="Calibri"/>
                <w:color w:val="000000"/>
                <w:sz w:val="16"/>
                <w:szCs w:val="16"/>
                <w:lang w:eastAsia="it-IT"/>
              </w:rPr>
              <w:t>Partecipanti adulti (18+) con ridotta autonomia</w:t>
            </w:r>
          </w:p>
        </w:tc>
        <w:tc>
          <w:tcPr>
            <w:tcW w:w="346" w:type="pct"/>
            <w:tcBorders>
              <w:top w:val="nil"/>
              <w:left w:val="nil"/>
              <w:bottom w:val="nil"/>
              <w:right w:val="nil"/>
            </w:tcBorders>
            <w:shd w:val="clear" w:color="auto" w:fill="auto"/>
            <w:noWrap/>
            <w:vAlign w:val="bottom"/>
            <w:hideMark/>
          </w:tcPr>
          <w:p w14:paraId="1604A95B"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359</w:t>
            </w:r>
          </w:p>
        </w:tc>
        <w:tc>
          <w:tcPr>
            <w:tcW w:w="347" w:type="pct"/>
            <w:tcBorders>
              <w:top w:val="nil"/>
              <w:left w:val="nil"/>
              <w:bottom w:val="nil"/>
              <w:right w:val="nil"/>
            </w:tcBorders>
            <w:shd w:val="clear" w:color="auto" w:fill="auto"/>
            <w:noWrap/>
            <w:vAlign w:val="bottom"/>
            <w:hideMark/>
          </w:tcPr>
          <w:p w14:paraId="4BE1BA56"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173</w:t>
            </w:r>
          </w:p>
        </w:tc>
        <w:tc>
          <w:tcPr>
            <w:tcW w:w="346" w:type="pct"/>
            <w:tcBorders>
              <w:top w:val="nil"/>
              <w:left w:val="nil"/>
              <w:bottom w:val="nil"/>
              <w:right w:val="nil"/>
            </w:tcBorders>
            <w:shd w:val="clear" w:color="auto" w:fill="auto"/>
            <w:noWrap/>
            <w:vAlign w:val="bottom"/>
            <w:hideMark/>
          </w:tcPr>
          <w:p w14:paraId="2DB64A83"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186</w:t>
            </w:r>
          </w:p>
        </w:tc>
        <w:tc>
          <w:tcPr>
            <w:tcW w:w="347" w:type="pct"/>
            <w:tcBorders>
              <w:top w:val="nil"/>
              <w:left w:val="nil"/>
              <w:bottom w:val="nil"/>
              <w:right w:val="nil"/>
            </w:tcBorders>
            <w:shd w:val="clear" w:color="auto" w:fill="auto"/>
            <w:noWrap/>
            <w:vAlign w:val="bottom"/>
            <w:hideMark/>
          </w:tcPr>
          <w:p w14:paraId="45555231"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492</w:t>
            </w:r>
          </w:p>
        </w:tc>
        <w:tc>
          <w:tcPr>
            <w:tcW w:w="346" w:type="pct"/>
            <w:tcBorders>
              <w:top w:val="nil"/>
              <w:left w:val="nil"/>
              <w:bottom w:val="nil"/>
              <w:right w:val="nil"/>
            </w:tcBorders>
            <w:shd w:val="clear" w:color="auto" w:fill="auto"/>
            <w:noWrap/>
            <w:vAlign w:val="bottom"/>
            <w:hideMark/>
          </w:tcPr>
          <w:p w14:paraId="753EEA07"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161</w:t>
            </w:r>
          </w:p>
        </w:tc>
        <w:tc>
          <w:tcPr>
            <w:tcW w:w="282" w:type="pct"/>
            <w:tcBorders>
              <w:top w:val="nil"/>
              <w:left w:val="nil"/>
              <w:bottom w:val="nil"/>
              <w:right w:val="nil"/>
            </w:tcBorders>
            <w:shd w:val="clear" w:color="auto" w:fill="auto"/>
            <w:noWrap/>
            <w:vAlign w:val="bottom"/>
            <w:hideMark/>
          </w:tcPr>
          <w:p w14:paraId="09A512A5"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331</w:t>
            </w:r>
          </w:p>
        </w:tc>
        <w:tc>
          <w:tcPr>
            <w:tcW w:w="411" w:type="pct"/>
            <w:tcBorders>
              <w:top w:val="nil"/>
              <w:left w:val="nil"/>
              <w:bottom w:val="nil"/>
              <w:right w:val="nil"/>
            </w:tcBorders>
            <w:shd w:val="clear" w:color="auto" w:fill="auto"/>
            <w:noWrap/>
            <w:vAlign w:val="bottom"/>
            <w:hideMark/>
          </w:tcPr>
          <w:p w14:paraId="1CC90069"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137%</w:t>
            </w:r>
          </w:p>
        </w:tc>
        <w:tc>
          <w:tcPr>
            <w:tcW w:w="347" w:type="pct"/>
            <w:tcBorders>
              <w:top w:val="nil"/>
              <w:left w:val="nil"/>
              <w:bottom w:val="nil"/>
              <w:right w:val="nil"/>
            </w:tcBorders>
            <w:shd w:val="clear" w:color="auto" w:fill="auto"/>
            <w:noWrap/>
            <w:vAlign w:val="bottom"/>
            <w:hideMark/>
          </w:tcPr>
          <w:p w14:paraId="66218606"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93%</w:t>
            </w:r>
          </w:p>
        </w:tc>
        <w:tc>
          <w:tcPr>
            <w:tcW w:w="345" w:type="pct"/>
            <w:tcBorders>
              <w:top w:val="nil"/>
              <w:left w:val="nil"/>
              <w:bottom w:val="nil"/>
              <w:right w:val="nil"/>
            </w:tcBorders>
            <w:shd w:val="clear" w:color="auto" w:fill="auto"/>
            <w:noWrap/>
            <w:vAlign w:val="bottom"/>
            <w:hideMark/>
          </w:tcPr>
          <w:p w14:paraId="2F1F71C4"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178%</w:t>
            </w:r>
          </w:p>
        </w:tc>
      </w:tr>
      <w:tr w:rsidR="00DF11B7" w:rsidRPr="00C130F7" w14:paraId="55099F65" w14:textId="77777777" w:rsidTr="001A51AA">
        <w:trPr>
          <w:trHeight w:val="300"/>
        </w:trPr>
        <w:tc>
          <w:tcPr>
            <w:tcW w:w="253" w:type="pct"/>
            <w:tcBorders>
              <w:top w:val="nil"/>
              <w:left w:val="nil"/>
              <w:bottom w:val="single" w:sz="4" w:space="0" w:color="305496"/>
              <w:right w:val="nil"/>
            </w:tcBorders>
            <w:shd w:val="clear" w:color="000000" w:fill="E7E6E6"/>
            <w:vAlign w:val="bottom"/>
            <w:hideMark/>
          </w:tcPr>
          <w:p w14:paraId="42374E55" w14:textId="77777777" w:rsidR="00C130F7" w:rsidRPr="00624B2A" w:rsidRDefault="00C130F7" w:rsidP="00C130F7">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Asse III</w:t>
            </w:r>
          </w:p>
        </w:tc>
        <w:tc>
          <w:tcPr>
            <w:tcW w:w="380" w:type="pct"/>
            <w:tcBorders>
              <w:top w:val="nil"/>
              <w:left w:val="nil"/>
              <w:bottom w:val="single" w:sz="4" w:space="0" w:color="305496"/>
              <w:right w:val="nil"/>
            </w:tcBorders>
            <w:shd w:val="clear" w:color="000000" w:fill="E7E6E6"/>
            <w:vAlign w:val="bottom"/>
            <w:hideMark/>
          </w:tcPr>
          <w:p w14:paraId="5EC4F3D6" w14:textId="77777777" w:rsidR="00C130F7" w:rsidRPr="00624B2A" w:rsidRDefault="00C130F7" w:rsidP="00C130F7">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1250" w:type="pct"/>
            <w:tcBorders>
              <w:top w:val="nil"/>
              <w:left w:val="nil"/>
              <w:bottom w:val="single" w:sz="4" w:space="0" w:color="305496"/>
              <w:right w:val="nil"/>
            </w:tcBorders>
            <w:shd w:val="clear" w:color="000000" w:fill="E7E6E6"/>
            <w:vAlign w:val="bottom"/>
            <w:hideMark/>
          </w:tcPr>
          <w:p w14:paraId="44CB343B" w14:textId="77777777" w:rsidR="00C130F7" w:rsidRPr="00624B2A" w:rsidRDefault="00C130F7" w:rsidP="00C130F7">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6" w:type="pct"/>
            <w:tcBorders>
              <w:top w:val="nil"/>
              <w:left w:val="nil"/>
              <w:bottom w:val="single" w:sz="4" w:space="0" w:color="305496"/>
              <w:right w:val="nil"/>
            </w:tcBorders>
            <w:shd w:val="clear" w:color="000000" w:fill="E7E6E6"/>
            <w:vAlign w:val="bottom"/>
            <w:hideMark/>
          </w:tcPr>
          <w:p w14:paraId="429F8CF5" w14:textId="77777777" w:rsidR="00C130F7" w:rsidRPr="00624B2A" w:rsidRDefault="00C130F7" w:rsidP="00761DE3">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7" w:type="pct"/>
            <w:tcBorders>
              <w:top w:val="nil"/>
              <w:left w:val="nil"/>
              <w:bottom w:val="single" w:sz="4" w:space="0" w:color="305496"/>
              <w:right w:val="nil"/>
            </w:tcBorders>
            <w:shd w:val="clear" w:color="000000" w:fill="E7E6E6"/>
            <w:vAlign w:val="bottom"/>
            <w:hideMark/>
          </w:tcPr>
          <w:p w14:paraId="7DEF5E74" w14:textId="77777777" w:rsidR="00C130F7" w:rsidRPr="00624B2A" w:rsidRDefault="00C130F7" w:rsidP="00761DE3">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6" w:type="pct"/>
            <w:tcBorders>
              <w:top w:val="nil"/>
              <w:left w:val="nil"/>
              <w:bottom w:val="single" w:sz="4" w:space="0" w:color="305496"/>
              <w:right w:val="nil"/>
            </w:tcBorders>
            <w:shd w:val="clear" w:color="000000" w:fill="E7E6E6"/>
            <w:vAlign w:val="bottom"/>
            <w:hideMark/>
          </w:tcPr>
          <w:p w14:paraId="630784F8" w14:textId="77777777" w:rsidR="00C130F7" w:rsidRPr="00624B2A" w:rsidRDefault="00C130F7" w:rsidP="00761DE3">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7" w:type="pct"/>
            <w:tcBorders>
              <w:top w:val="nil"/>
              <w:left w:val="nil"/>
              <w:bottom w:val="single" w:sz="4" w:space="0" w:color="305496"/>
              <w:right w:val="nil"/>
            </w:tcBorders>
            <w:shd w:val="clear" w:color="000000" w:fill="E7E6E6"/>
            <w:vAlign w:val="bottom"/>
            <w:hideMark/>
          </w:tcPr>
          <w:p w14:paraId="32850F9C" w14:textId="77777777" w:rsidR="00C130F7" w:rsidRPr="00624B2A" w:rsidRDefault="00C130F7" w:rsidP="00761DE3">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6" w:type="pct"/>
            <w:tcBorders>
              <w:top w:val="nil"/>
              <w:left w:val="nil"/>
              <w:bottom w:val="single" w:sz="4" w:space="0" w:color="305496"/>
              <w:right w:val="nil"/>
            </w:tcBorders>
            <w:shd w:val="clear" w:color="000000" w:fill="E7E6E6"/>
            <w:vAlign w:val="bottom"/>
            <w:hideMark/>
          </w:tcPr>
          <w:p w14:paraId="35B4B4A1" w14:textId="77777777" w:rsidR="00C130F7" w:rsidRPr="00624B2A" w:rsidRDefault="00C130F7" w:rsidP="00761DE3">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82" w:type="pct"/>
            <w:tcBorders>
              <w:top w:val="nil"/>
              <w:left w:val="nil"/>
              <w:bottom w:val="single" w:sz="4" w:space="0" w:color="305496"/>
              <w:right w:val="nil"/>
            </w:tcBorders>
            <w:shd w:val="clear" w:color="000000" w:fill="E7E6E6"/>
            <w:vAlign w:val="bottom"/>
            <w:hideMark/>
          </w:tcPr>
          <w:p w14:paraId="70825FF9" w14:textId="77777777" w:rsidR="00C130F7" w:rsidRPr="00624B2A" w:rsidRDefault="00C130F7" w:rsidP="00761DE3">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411" w:type="pct"/>
            <w:tcBorders>
              <w:top w:val="nil"/>
              <w:left w:val="nil"/>
              <w:bottom w:val="single" w:sz="4" w:space="0" w:color="305496"/>
              <w:right w:val="nil"/>
            </w:tcBorders>
            <w:shd w:val="clear" w:color="000000" w:fill="E7E6E6"/>
            <w:vAlign w:val="bottom"/>
            <w:hideMark/>
          </w:tcPr>
          <w:p w14:paraId="54A8CB57" w14:textId="77777777" w:rsidR="00C130F7" w:rsidRPr="00624B2A" w:rsidRDefault="00C130F7" w:rsidP="00761DE3">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7" w:type="pct"/>
            <w:tcBorders>
              <w:top w:val="nil"/>
              <w:left w:val="nil"/>
              <w:bottom w:val="single" w:sz="4" w:space="0" w:color="305496"/>
              <w:right w:val="nil"/>
            </w:tcBorders>
            <w:shd w:val="clear" w:color="000000" w:fill="E7E6E6"/>
            <w:vAlign w:val="bottom"/>
            <w:hideMark/>
          </w:tcPr>
          <w:p w14:paraId="6A8DBA6B" w14:textId="77777777" w:rsidR="00C130F7" w:rsidRPr="00624B2A" w:rsidRDefault="00C130F7" w:rsidP="00761DE3">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45" w:type="pct"/>
            <w:tcBorders>
              <w:top w:val="nil"/>
              <w:left w:val="nil"/>
              <w:bottom w:val="single" w:sz="4" w:space="0" w:color="305496"/>
              <w:right w:val="nil"/>
            </w:tcBorders>
            <w:shd w:val="clear" w:color="000000" w:fill="E7E6E6"/>
            <w:vAlign w:val="bottom"/>
            <w:hideMark/>
          </w:tcPr>
          <w:p w14:paraId="5A3597B3" w14:textId="77777777" w:rsidR="00C130F7" w:rsidRPr="00624B2A" w:rsidRDefault="00C130F7" w:rsidP="00761DE3">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r>
      <w:tr w:rsidR="00C130F7" w:rsidRPr="00C130F7" w14:paraId="4528CFA5" w14:textId="77777777" w:rsidTr="001A51AA">
        <w:trPr>
          <w:trHeight w:val="570"/>
        </w:trPr>
        <w:tc>
          <w:tcPr>
            <w:tcW w:w="253" w:type="pct"/>
            <w:tcBorders>
              <w:top w:val="nil"/>
              <w:left w:val="nil"/>
              <w:bottom w:val="nil"/>
              <w:right w:val="nil"/>
            </w:tcBorders>
            <w:shd w:val="clear" w:color="auto" w:fill="auto"/>
            <w:noWrap/>
            <w:vAlign w:val="center"/>
            <w:hideMark/>
          </w:tcPr>
          <w:p w14:paraId="6D34B8B6"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10i</w:t>
            </w:r>
          </w:p>
        </w:tc>
        <w:tc>
          <w:tcPr>
            <w:tcW w:w="380" w:type="pct"/>
            <w:tcBorders>
              <w:top w:val="nil"/>
              <w:left w:val="nil"/>
              <w:bottom w:val="nil"/>
              <w:right w:val="nil"/>
            </w:tcBorders>
            <w:shd w:val="clear" w:color="auto" w:fill="auto"/>
            <w:noWrap/>
            <w:vAlign w:val="center"/>
            <w:hideMark/>
          </w:tcPr>
          <w:p w14:paraId="1A9F01D9"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CO09</w:t>
            </w:r>
          </w:p>
        </w:tc>
        <w:tc>
          <w:tcPr>
            <w:tcW w:w="1250" w:type="pct"/>
            <w:tcBorders>
              <w:top w:val="nil"/>
              <w:left w:val="nil"/>
              <w:bottom w:val="nil"/>
              <w:right w:val="nil"/>
            </w:tcBorders>
            <w:shd w:val="clear" w:color="auto" w:fill="auto"/>
            <w:vAlign w:val="center"/>
            <w:hideMark/>
          </w:tcPr>
          <w:p w14:paraId="6116B2AE" w14:textId="77777777" w:rsidR="00C130F7" w:rsidRPr="00624B2A" w:rsidRDefault="00C130F7" w:rsidP="00761DE3">
            <w:pPr>
              <w:jc w:val="left"/>
              <w:rPr>
                <w:rFonts w:eastAsia="Times New Roman" w:cs="Calibri"/>
                <w:color w:val="000000"/>
                <w:sz w:val="16"/>
                <w:szCs w:val="16"/>
                <w:lang w:eastAsia="it-IT"/>
              </w:rPr>
            </w:pPr>
            <w:r w:rsidRPr="00624B2A">
              <w:rPr>
                <w:rFonts w:eastAsia="Times New Roman" w:cs="Calibri"/>
                <w:color w:val="000000"/>
                <w:sz w:val="16"/>
                <w:szCs w:val="16"/>
                <w:lang w:eastAsia="it-IT"/>
              </w:rPr>
              <w:t>I titolari di un diploma di istruzione primaria (ISCED 1) o di istruzione secondaria inferiore (ISCED 2)</w:t>
            </w:r>
          </w:p>
        </w:tc>
        <w:tc>
          <w:tcPr>
            <w:tcW w:w="346" w:type="pct"/>
            <w:tcBorders>
              <w:top w:val="nil"/>
              <w:left w:val="nil"/>
              <w:bottom w:val="nil"/>
              <w:right w:val="nil"/>
            </w:tcBorders>
            <w:shd w:val="clear" w:color="auto" w:fill="auto"/>
            <w:noWrap/>
            <w:vAlign w:val="bottom"/>
            <w:hideMark/>
          </w:tcPr>
          <w:p w14:paraId="3ED196AD"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56.645</w:t>
            </w:r>
          </w:p>
        </w:tc>
        <w:tc>
          <w:tcPr>
            <w:tcW w:w="347" w:type="pct"/>
            <w:tcBorders>
              <w:top w:val="nil"/>
              <w:left w:val="nil"/>
              <w:bottom w:val="nil"/>
              <w:right w:val="nil"/>
            </w:tcBorders>
            <w:shd w:val="clear" w:color="auto" w:fill="auto"/>
            <w:noWrap/>
            <w:vAlign w:val="bottom"/>
            <w:hideMark/>
          </w:tcPr>
          <w:p w14:paraId="098E400B"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30.588</w:t>
            </w:r>
          </w:p>
        </w:tc>
        <w:tc>
          <w:tcPr>
            <w:tcW w:w="346" w:type="pct"/>
            <w:tcBorders>
              <w:top w:val="nil"/>
              <w:left w:val="nil"/>
              <w:bottom w:val="nil"/>
              <w:right w:val="nil"/>
            </w:tcBorders>
            <w:shd w:val="clear" w:color="auto" w:fill="auto"/>
            <w:noWrap/>
            <w:vAlign w:val="bottom"/>
            <w:hideMark/>
          </w:tcPr>
          <w:p w14:paraId="313BADA1"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26.057</w:t>
            </w:r>
          </w:p>
        </w:tc>
        <w:tc>
          <w:tcPr>
            <w:tcW w:w="347" w:type="pct"/>
            <w:tcBorders>
              <w:top w:val="nil"/>
              <w:left w:val="nil"/>
              <w:bottom w:val="nil"/>
              <w:right w:val="nil"/>
            </w:tcBorders>
            <w:shd w:val="clear" w:color="auto" w:fill="auto"/>
            <w:noWrap/>
            <w:vAlign w:val="bottom"/>
            <w:hideMark/>
          </w:tcPr>
          <w:p w14:paraId="5980C5D7"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42.262</w:t>
            </w:r>
          </w:p>
        </w:tc>
        <w:tc>
          <w:tcPr>
            <w:tcW w:w="346" w:type="pct"/>
            <w:tcBorders>
              <w:top w:val="nil"/>
              <w:left w:val="nil"/>
              <w:bottom w:val="nil"/>
              <w:right w:val="nil"/>
            </w:tcBorders>
            <w:shd w:val="clear" w:color="auto" w:fill="auto"/>
            <w:noWrap/>
            <w:vAlign w:val="bottom"/>
            <w:hideMark/>
          </w:tcPr>
          <w:p w14:paraId="3C32A677"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22.904</w:t>
            </w:r>
          </w:p>
        </w:tc>
        <w:tc>
          <w:tcPr>
            <w:tcW w:w="282" w:type="pct"/>
            <w:tcBorders>
              <w:top w:val="nil"/>
              <w:left w:val="nil"/>
              <w:bottom w:val="nil"/>
              <w:right w:val="nil"/>
            </w:tcBorders>
            <w:shd w:val="clear" w:color="auto" w:fill="auto"/>
            <w:noWrap/>
            <w:vAlign w:val="bottom"/>
            <w:hideMark/>
          </w:tcPr>
          <w:p w14:paraId="7E290981"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19.358</w:t>
            </w:r>
          </w:p>
        </w:tc>
        <w:tc>
          <w:tcPr>
            <w:tcW w:w="411" w:type="pct"/>
            <w:tcBorders>
              <w:top w:val="nil"/>
              <w:left w:val="nil"/>
              <w:bottom w:val="nil"/>
              <w:right w:val="nil"/>
            </w:tcBorders>
            <w:shd w:val="clear" w:color="auto" w:fill="auto"/>
            <w:noWrap/>
            <w:vAlign w:val="bottom"/>
            <w:hideMark/>
          </w:tcPr>
          <w:p w14:paraId="075E97BF"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75%</w:t>
            </w:r>
          </w:p>
        </w:tc>
        <w:tc>
          <w:tcPr>
            <w:tcW w:w="347" w:type="pct"/>
            <w:tcBorders>
              <w:top w:val="nil"/>
              <w:left w:val="nil"/>
              <w:bottom w:val="nil"/>
              <w:right w:val="nil"/>
            </w:tcBorders>
            <w:shd w:val="clear" w:color="auto" w:fill="auto"/>
            <w:noWrap/>
            <w:vAlign w:val="bottom"/>
            <w:hideMark/>
          </w:tcPr>
          <w:p w14:paraId="52F033DB"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75%</w:t>
            </w:r>
          </w:p>
        </w:tc>
        <w:tc>
          <w:tcPr>
            <w:tcW w:w="345" w:type="pct"/>
            <w:tcBorders>
              <w:top w:val="nil"/>
              <w:left w:val="nil"/>
              <w:bottom w:val="nil"/>
              <w:right w:val="nil"/>
            </w:tcBorders>
            <w:shd w:val="clear" w:color="auto" w:fill="auto"/>
            <w:noWrap/>
            <w:vAlign w:val="bottom"/>
            <w:hideMark/>
          </w:tcPr>
          <w:p w14:paraId="64023E9C"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74%</w:t>
            </w:r>
          </w:p>
        </w:tc>
      </w:tr>
      <w:tr w:rsidR="00C130F7" w:rsidRPr="00C130F7" w14:paraId="25FA573A" w14:textId="77777777" w:rsidTr="001A51AA">
        <w:trPr>
          <w:trHeight w:val="300"/>
        </w:trPr>
        <w:tc>
          <w:tcPr>
            <w:tcW w:w="253" w:type="pct"/>
            <w:tcBorders>
              <w:top w:val="nil"/>
              <w:left w:val="nil"/>
              <w:bottom w:val="nil"/>
              <w:right w:val="nil"/>
            </w:tcBorders>
            <w:shd w:val="clear" w:color="auto" w:fill="auto"/>
            <w:noWrap/>
            <w:vAlign w:val="center"/>
            <w:hideMark/>
          </w:tcPr>
          <w:p w14:paraId="49B2D923"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10iv</w:t>
            </w:r>
          </w:p>
        </w:tc>
        <w:tc>
          <w:tcPr>
            <w:tcW w:w="380" w:type="pct"/>
            <w:tcBorders>
              <w:top w:val="nil"/>
              <w:left w:val="nil"/>
              <w:bottom w:val="nil"/>
              <w:right w:val="nil"/>
            </w:tcBorders>
            <w:shd w:val="clear" w:color="auto" w:fill="auto"/>
            <w:noWrap/>
            <w:vAlign w:val="center"/>
            <w:hideMark/>
          </w:tcPr>
          <w:p w14:paraId="6D40F8A4"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CO05</w:t>
            </w:r>
          </w:p>
        </w:tc>
        <w:tc>
          <w:tcPr>
            <w:tcW w:w="1250" w:type="pct"/>
            <w:tcBorders>
              <w:top w:val="nil"/>
              <w:left w:val="nil"/>
              <w:bottom w:val="nil"/>
              <w:right w:val="nil"/>
            </w:tcBorders>
            <w:shd w:val="clear" w:color="auto" w:fill="auto"/>
            <w:vAlign w:val="center"/>
            <w:hideMark/>
          </w:tcPr>
          <w:p w14:paraId="708F9F1D" w14:textId="77777777" w:rsidR="00C130F7" w:rsidRPr="00624B2A" w:rsidRDefault="00C130F7" w:rsidP="00761DE3">
            <w:pPr>
              <w:jc w:val="left"/>
              <w:rPr>
                <w:rFonts w:eastAsia="Times New Roman" w:cs="Calibri"/>
                <w:color w:val="000000"/>
                <w:sz w:val="16"/>
                <w:szCs w:val="16"/>
                <w:lang w:eastAsia="it-IT"/>
              </w:rPr>
            </w:pPr>
            <w:r w:rsidRPr="00624B2A">
              <w:rPr>
                <w:rFonts w:eastAsia="Times New Roman" w:cs="Calibri"/>
                <w:color w:val="000000"/>
                <w:sz w:val="16"/>
                <w:szCs w:val="16"/>
                <w:lang w:eastAsia="it-IT"/>
              </w:rPr>
              <w:t>I lavoratori, compresi i lavoratori autonomi</w:t>
            </w:r>
          </w:p>
        </w:tc>
        <w:tc>
          <w:tcPr>
            <w:tcW w:w="346" w:type="pct"/>
            <w:tcBorders>
              <w:top w:val="nil"/>
              <w:left w:val="nil"/>
              <w:bottom w:val="nil"/>
              <w:right w:val="nil"/>
            </w:tcBorders>
            <w:shd w:val="clear" w:color="auto" w:fill="auto"/>
            <w:noWrap/>
            <w:vAlign w:val="bottom"/>
            <w:hideMark/>
          </w:tcPr>
          <w:p w14:paraId="50D81F55"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192</w:t>
            </w:r>
          </w:p>
        </w:tc>
        <w:tc>
          <w:tcPr>
            <w:tcW w:w="347" w:type="pct"/>
            <w:tcBorders>
              <w:top w:val="nil"/>
              <w:left w:val="nil"/>
              <w:bottom w:val="nil"/>
              <w:right w:val="nil"/>
            </w:tcBorders>
            <w:shd w:val="clear" w:color="auto" w:fill="auto"/>
            <w:noWrap/>
            <w:vAlign w:val="bottom"/>
            <w:hideMark/>
          </w:tcPr>
          <w:p w14:paraId="0E36ED34"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106</w:t>
            </w:r>
          </w:p>
        </w:tc>
        <w:tc>
          <w:tcPr>
            <w:tcW w:w="346" w:type="pct"/>
            <w:tcBorders>
              <w:top w:val="nil"/>
              <w:left w:val="nil"/>
              <w:bottom w:val="nil"/>
              <w:right w:val="nil"/>
            </w:tcBorders>
            <w:shd w:val="clear" w:color="auto" w:fill="auto"/>
            <w:noWrap/>
            <w:vAlign w:val="bottom"/>
            <w:hideMark/>
          </w:tcPr>
          <w:p w14:paraId="6C3697E3"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86</w:t>
            </w:r>
          </w:p>
        </w:tc>
        <w:tc>
          <w:tcPr>
            <w:tcW w:w="347" w:type="pct"/>
            <w:tcBorders>
              <w:top w:val="nil"/>
              <w:left w:val="nil"/>
              <w:bottom w:val="nil"/>
              <w:right w:val="nil"/>
            </w:tcBorders>
            <w:shd w:val="clear" w:color="auto" w:fill="auto"/>
            <w:noWrap/>
            <w:vAlign w:val="bottom"/>
            <w:hideMark/>
          </w:tcPr>
          <w:p w14:paraId="056DE1EB"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455</w:t>
            </w:r>
          </w:p>
        </w:tc>
        <w:tc>
          <w:tcPr>
            <w:tcW w:w="346" w:type="pct"/>
            <w:tcBorders>
              <w:top w:val="nil"/>
              <w:left w:val="nil"/>
              <w:bottom w:val="nil"/>
              <w:right w:val="nil"/>
            </w:tcBorders>
            <w:shd w:val="clear" w:color="auto" w:fill="auto"/>
            <w:noWrap/>
            <w:vAlign w:val="bottom"/>
            <w:hideMark/>
          </w:tcPr>
          <w:p w14:paraId="6380B0FC"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293</w:t>
            </w:r>
          </w:p>
        </w:tc>
        <w:tc>
          <w:tcPr>
            <w:tcW w:w="282" w:type="pct"/>
            <w:tcBorders>
              <w:top w:val="nil"/>
              <w:left w:val="nil"/>
              <w:bottom w:val="nil"/>
              <w:right w:val="nil"/>
            </w:tcBorders>
            <w:shd w:val="clear" w:color="auto" w:fill="auto"/>
            <w:noWrap/>
            <w:vAlign w:val="bottom"/>
            <w:hideMark/>
          </w:tcPr>
          <w:p w14:paraId="5B12B1BA"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162</w:t>
            </w:r>
          </w:p>
        </w:tc>
        <w:tc>
          <w:tcPr>
            <w:tcW w:w="411" w:type="pct"/>
            <w:tcBorders>
              <w:top w:val="nil"/>
              <w:left w:val="nil"/>
              <w:bottom w:val="nil"/>
              <w:right w:val="nil"/>
            </w:tcBorders>
            <w:shd w:val="clear" w:color="auto" w:fill="auto"/>
            <w:noWrap/>
            <w:vAlign w:val="bottom"/>
            <w:hideMark/>
          </w:tcPr>
          <w:p w14:paraId="773901E9"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237%</w:t>
            </w:r>
          </w:p>
        </w:tc>
        <w:tc>
          <w:tcPr>
            <w:tcW w:w="347" w:type="pct"/>
            <w:tcBorders>
              <w:top w:val="nil"/>
              <w:left w:val="nil"/>
              <w:bottom w:val="nil"/>
              <w:right w:val="nil"/>
            </w:tcBorders>
            <w:shd w:val="clear" w:color="auto" w:fill="auto"/>
            <w:noWrap/>
            <w:vAlign w:val="bottom"/>
            <w:hideMark/>
          </w:tcPr>
          <w:p w14:paraId="610B4393"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276%</w:t>
            </w:r>
          </w:p>
        </w:tc>
        <w:tc>
          <w:tcPr>
            <w:tcW w:w="345" w:type="pct"/>
            <w:tcBorders>
              <w:top w:val="nil"/>
              <w:left w:val="nil"/>
              <w:bottom w:val="nil"/>
              <w:right w:val="nil"/>
            </w:tcBorders>
            <w:shd w:val="clear" w:color="auto" w:fill="auto"/>
            <w:noWrap/>
            <w:vAlign w:val="bottom"/>
            <w:hideMark/>
          </w:tcPr>
          <w:p w14:paraId="082C4907"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188%</w:t>
            </w:r>
          </w:p>
        </w:tc>
      </w:tr>
      <w:tr w:rsidR="00C130F7" w:rsidRPr="00C130F7" w14:paraId="4311F0C5" w14:textId="77777777" w:rsidTr="001A51AA">
        <w:trPr>
          <w:trHeight w:val="600"/>
        </w:trPr>
        <w:tc>
          <w:tcPr>
            <w:tcW w:w="253" w:type="pct"/>
            <w:tcBorders>
              <w:top w:val="nil"/>
              <w:left w:val="nil"/>
              <w:bottom w:val="nil"/>
              <w:right w:val="nil"/>
            </w:tcBorders>
            <w:shd w:val="clear" w:color="auto" w:fill="auto"/>
            <w:noWrap/>
            <w:vAlign w:val="center"/>
            <w:hideMark/>
          </w:tcPr>
          <w:p w14:paraId="0FF12311"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10iv</w:t>
            </w:r>
          </w:p>
        </w:tc>
        <w:tc>
          <w:tcPr>
            <w:tcW w:w="380" w:type="pct"/>
            <w:tcBorders>
              <w:top w:val="nil"/>
              <w:left w:val="nil"/>
              <w:bottom w:val="nil"/>
              <w:right w:val="nil"/>
            </w:tcBorders>
            <w:shd w:val="clear" w:color="auto" w:fill="auto"/>
            <w:noWrap/>
            <w:vAlign w:val="center"/>
            <w:hideMark/>
          </w:tcPr>
          <w:p w14:paraId="30DAF23B"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CO10</w:t>
            </w:r>
          </w:p>
        </w:tc>
        <w:tc>
          <w:tcPr>
            <w:tcW w:w="1250" w:type="pct"/>
            <w:tcBorders>
              <w:top w:val="nil"/>
              <w:left w:val="nil"/>
              <w:bottom w:val="nil"/>
              <w:right w:val="nil"/>
            </w:tcBorders>
            <w:shd w:val="clear" w:color="auto" w:fill="auto"/>
            <w:vAlign w:val="center"/>
            <w:hideMark/>
          </w:tcPr>
          <w:p w14:paraId="5A8B9DF8" w14:textId="77777777" w:rsidR="00C130F7" w:rsidRPr="00624B2A" w:rsidRDefault="00C130F7" w:rsidP="00761DE3">
            <w:pPr>
              <w:jc w:val="left"/>
              <w:rPr>
                <w:rFonts w:eastAsia="Times New Roman" w:cs="Calibri"/>
                <w:color w:val="000000"/>
                <w:sz w:val="16"/>
                <w:szCs w:val="16"/>
                <w:lang w:eastAsia="it-IT"/>
              </w:rPr>
            </w:pPr>
            <w:r w:rsidRPr="00624B2A">
              <w:rPr>
                <w:rFonts w:eastAsia="Times New Roman" w:cs="Calibri"/>
                <w:color w:val="000000"/>
                <w:sz w:val="16"/>
                <w:szCs w:val="16"/>
                <w:lang w:eastAsia="it-IT"/>
              </w:rPr>
              <w:t>I titolari di un diploma di insegnamento secondario superiore (ISCED 3) o di un diploma di istruzione post secondaria (ISCED 4)</w:t>
            </w:r>
          </w:p>
        </w:tc>
        <w:tc>
          <w:tcPr>
            <w:tcW w:w="346" w:type="pct"/>
            <w:tcBorders>
              <w:top w:val="nil"/>
              <w:left w:val="nil"/>
              <w:bottom w:val="nil"/>
              <w:right w:val="nil"/>
            </w:tcBorders>
            <w:shd w:val="clear" w:color="auto" w:fill="auto"/>
            <w:noWrap/>
            <w:vAlign w:val="bottom"/>
            <w:hideMark/>
          </w:tcPr>
          <w:p w14:paraId="39381972"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6.077</w:t>
            </w:r>
          </w:p>
        </w:tc>
        <w:tc>
          <w:tcPr>
            <w:tcW w:w="347" w:type="pct"/>
            <w:tcBorders>
              <w:top w:val="nil"/>
              <w:left w:val="nil"/>
              <w:bottom w:val="nil"/>
              <w:right w:val="nil"/>
            </w:tcBorders>
            <w:shd w:val="clear" w:color="auto" w:fill="auto"/>
            <w:noWrap/>
            <w:vAlign w:val="bottom"/>
            <w:hideMark/>
          </w:tcPr>
          <w:p w14:paraId="383508E6"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4.245</w:t>
            </w:r>
          </w:p>
        </w:tc>
        <w:tc>
          <w:tcPr>
            <w:tcW w:w="346" w:type="pct"/>
            <w:tcBorders>
              <w:top w:val="nil"/>
              <w:left w:val="nil"/>
              <w:bottom w:val="nil"/>
              <w:right w:val="nil"/>
            </w:tcBorders>
            <w:shd w:val="clear" w:color="auto" w:fill="auto"/>
            <w:noWrap/>
            <w:vAlign w:val="bottom"/>
            <w:hideMark/>
          </w:tcPr>
          <w:p w14:paraId="65A33B44"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1.832</w:t>
            </w:r>
          </w:p>
        </w:tc>
        <w:tc>
          <w:tcPr>
            <w:tcW w:w="347" w:type="pct"/>
            <w:tcBorders>
              <w:top w:val="nil"/>
              <w:left w:val="nil"/>
              <w:bottom w:val="nil"/>
              <w:right w:val="nil"/>
            </w:tcBorders>
            <w:shd w:val="clear" w:color="auto" w:fill="auto"/>
            <w:noWrap/>
            <w:vAlign w:val="bottom"/>
            <w:hideMark/>
          </w:tcPr>
          <w:p w14:paraId="42258621"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13.696</w:t>
            </w:r>
          </w:p>
        </w:tc>
        <w:tc>
          <w:tcPr>
            <w:tcW w:w="346" w:type="pct"/>
            <w:tcBorders>
              <w:top w:val="nil"/>
              <w:left w:val="nil"/>
              <w:bottom w:val="nil"/>
              <w:right w:val="nil"/>
            </w:tcBorders>
            <w:shd w:val="clear" w:color="auto" w:fill="auto"/>
            <w:noWrap/>
            <w:vAlign w:val="bottom"/>
            <w:hideMark/>
          </w:tcPr>
          <w:p w14:paraId="34978571"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8.881</w:t>
            </w:r>
          </w:p>
        </w:tc>
        <w:tc>
          <w:tcPr>
            <w:tcW w:w="282" w:type="pct"/>
            <w:tcBorders>
              <w:top w:val="nil"/>
              <w:left w:val="nil"/>
              <w:bottom w:val="nil"/>
              <w:right w:val="nil"/>
            </w:tcBorders>
            <w:shd w:val="clear" w:color="auto" w:fill="auto"/>
            <w:noWrap/>
            <w:vAlign w:val="bottom"/>
            <w:hideMark/>
          </w:tcPr>
          <w:p w14:paraId="33E717A5"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4.815</w:t>
            </w:r>
          </w:p>
        </w:tc>
        <w:tc>
          <w:tcPr>
            <w:tcW w:w="411" w:type="pct"/>
            <w:tcBorders>
              <w:top w:val="nil"/>
              <w:left w:val="nil"/>
              <w:bottom w:val="nil"/>
              <w:right w:val="nil"/>
            </w:tcBorders>
            <w:shd w:val="clear" w:color="auto" w:fill="auto"/>
            <w:noWrap/>
            <w:vAlign w:val="bottom"/>
            <w:hideMark/>
          </w:tcPr>
          <w:p w14:paraId="4382D561"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225%</w:t>
            </w:r>
          </w:p>
        </w:tc>
        <w:tc>
          <w:tcPr>
            <w:tcW w:w="347" w:type="pct"/>
            <w:tcBorders>
              <w:top w:val="nil"/>
              <w:left w:val="nil"/>
              <w:bottom w:val="nil"/>
              <w:right w:val="nil"/>
            </w:tcBorders>
            <w:shd w:val="clear" w:color="auto" w:fill="auto"/>
            <w:noWrap/>
            <w:vAlign w:val="bottom"/>
            <w:hideMark/>
          </w:tcPr>
          <w:p w14:paraId="0D40CC2C"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209%</w:t>
            </w:r>
          </w:p>
        </w:tc>
        <w:tc>
          <w:tcPr>
            <w:tcW w:w="345" w:type="pct"/>
            <w:tcBorders>
              <w:top w:val="nil"/>
              <w:left w:val="nil"/>
              <w:bottom w:val="nil"/>
              <w:right w:val="nil"/>
            </w:tcBorders>
            <w:shd w:val="clear" w:color="auto" w:fill="auto"/>
            <w:noWrap/>
            <w:vAlign w:val="bottom"/>
            <w:hideMark/>
          </w:tcPr>
          <w:p w14:paraId="09E576F9"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263%</w:t>
            </w:r>
          </w:p>
        </w:tc>
      </w:tr>
      <w:tr w:rsidR="00C130F7" w:rsidRPr="00C130F7" w14:paraId="1D6B7862" w14:textId="77777777" w:rsidTr="001A51AA">
        <w:trPr>
          <w:trHeight w:val="300"/>
        </w:trPr>
        <w:tc>
          <w:tcPr>
            <w:tcW w:w="253" w:type="pct"/>
            <w:tcBorders>
              <w:top w:val="nil"/>
              <w:left w:val="nil"/>
              <w:bottom w:val="single" w:sz="4" w:space="0" w:color="305496"/>
              <w:right w:val="nil"/>
            </w:tcBorders>
            <w:shd w:val="clear" w:color="auto" w:fill="auto"/>
            <w:noWrap/>
            <w:vAlign w:val="center"/>
            <w:hideMark/>
          </w:tcPr>
          <w:p w14:paraId="224E85E4" w14:textId="77777777" w:rsidR="00C130F7" w:rsidRPr="00624B2A" w:rsidRDefault="00C130F7" w:rsidP="00C130F7">
            <w:pPr>
              <w:ind w:firstLineChars="100" w:firstLine="160"/>
              <w:jc w:val="left"/>
              <w:rPr>
                <w:rFonts w:eastAsia="Times New Roman" w:cs="Calibri"/>
                <w:color w:val="000000"/>
                <w:sz w:val="16"/>
                <w:szCs w:val="16"/>
                <w:lang w:eastAsia="it-IT"/>
              </w:rPr>
            </w:pPr>
            <w:r w:rsidRPr="00624B2A">
              <w:rPr>
                <w:rFonts w:eastAsia="Times New Roman" w:cs="Calibri"/>
                <w:color w:val="000000"/>
                <w:sz w:val="16"/>
                <w:szCs w:val="16"/>
                <w:lang w:eastAsia="it-IT"/>
              </w:rPr>
              <w:t>10iv</w:t>
            </w:r>
          </w:p>
        </w:tc>
        <w:tc>
          <w:tcPr>
            <w:tcW w:w="380" w:type="pct"/>
            <w:tcBorders>
              <w:top w:val="nil"/>
              <w:left w:val="nil"/>
              <w:bottom w:val="single" w:sz="4" w:space="0" w:color="305496"/>
              <w:right w:val="nil"/>
            </w:tcBorders>
            <w:shd w:val="clear" w:color="auto" w:fill="auto"/>
            <w:noWrap/>
            <w:vAlign w:val="center"/>
            <w:hideMark/>
          </w:tcPr>
          <w:p w14:paraId="39734AE1" w14:textId="77777777" w:rsidR="00C130F7" w:rsidRPr="00624B2A" w:rsidRDefault="007A1E42" w:rsidP="00C130F7">
            <w:pPr>
              <w:ind w:firstLineChars="100" w:firstLine="160"/>
              <w:jc w:val="left"/>
              <w:rPr>
                <w:rFonts w:eastAsia="Times New Roman" w:cs="Calibri"/>
                <w:color w:val="000000"/>
                <w:sz w:val="16"/>
                <w:szCs w:val="16"/>
                <w:lang w:eastAsia="it-IT"/>
              </w:rPr>
            </w:pPr>
            <w:r>
              <w:rPr>
                <w:rFonts w:eastAsia="Times New Roman" w:cs="Calibri"/>
                <w:color w:val="000000"/>
                <w:sz w:val="16"/>
                <w:szCs w:val="16"/>
                <w:lang w:eastAsia="it-IT"/>
              </w:rPr>
              <w:t>c</w:t>
            </w:r>
            <w:r w:rsidR="00C130F7" w:rsidRPr="00624B2A">
              <w:rPr>
                <w:rFonts w:eastAsia="Times New Roman" w:cs="Calibri"/>
                <w:color w:val="000000"/>
                <w:sz w:val="16"/>
                <w:szCs w:val="16"/>
                <w:lang w:eastAsia="it-IT"/>
              </w:rPr>
              <w:t>4.1</w:t>
            </w:r>
          </w:p>
        </w:tc>
        <w:tc>
          <w:tcPr>
            <w:tcW w:w="1250" w:type="pct"/>
            <w:tcBorders>
              <w:top w:val="nil"/>
              <w:left w:val="nil"/>
              <w:bottom w:val="single" w:sz="4" w:space="0" w:color="305496"/>
              <w:right w:val="nil"/>
            </w:tcBorders>
            <w:shd w:val="clear" w:color="auto" w:fill="auto"/>
            <w:vAlign w:val="center"/>
            <w:hideMark/>
          </w:tcPr>
          <w:p w14:paraId="170C656B" w14:textId="77777777" w:rsidR="00C130F7" w:rsidRPr="00624B2A" w:rsidRDefault="00C130F7" w:rsidP="00761DE3">
            <w:pPr>
              <w:jc w:val="left"/>
              <w:rPr>
                <w:rFonts w:eastAsia="Times New Roman" w:cs="Calibri"/>
                <w:color w:val="000000"/>
                <w:sz w:val="16"/>
                <w:szCs w:val="16"/>
                <w:lang w:eastAsia="it-IT"/>
              </w:rPr>
            </w:pPr>
            <w:r w:rsidRPr="00624B2A">
              <w:rPr>
                <w:rFonts w:eastAsia="Times New Roman" w:cs="Calibri"/>
                <w:color w:val="000000"/>
                <w:sz w:val="16"/>
                <w:szCs w:val="16"/>
                <w:lang w:eastAsia="it-IT"/>
              </w:rPr>
              <w:t>Partecipanti disoccupati e lavoratori compresi quelli autonomi</w:t>
            </w:r>
          </w:p>
        </w:tc>
        <w:tc>
          <w:tcPr>
            <w:tcW w:w="346" w:type="pct"/>
            <w:tcBorders>
              <w:top w:val="nil"/>
              <w:left w:val="nil"/>
              <w:bottom w:val="single" w:sz="4" w:space="0" w:color="305496"/>
              <w:right w:val="nil"/>
            </w:tcBorders>
            <w:shd w:val="clear" w:color="auto" w:fill="auto"/>
            <w:noWrap/>
            <w:vAlign w:val="bottom"/>
            <w:hideMark/>
          </w:tcPr>
          <w:p w14:paraId="519B7EE1"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2.200</w:t>
            </w:r>
          </w:p>
        </w:tc>
        <w:tc>
          <w:tcPr>
            <w:tcW w:w="347" w:type="pct"/>
            <w:tcBorders>
              <w:top w:val="nil"/>
              <w:left w:val="nil"/>
              <w:bottom w:val="single" w:sz="4" w:space="0" w:color="305496"/>
              <w:right w:val="nil"/>
            </w:tcBorders>
            <w:shd w:val="clear" w:color="auto" w:fill="auto"/>
            <w:noWrap/>
            <w:vAlign w:val="bottom"/>
            <w:hideMark/>
          </w:tcPr>
          <w:p w14:paraId="555F62BE"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1.210</w:t>
            </w:r>
          </w:p>
        </w:tc>
        <w:tc>
          <w:tcPr>
            <w:tcW w:w="346" w:type="pct"/>
            <w:tcBorders>
              <w:top w:val="nil"/>
              <w:left w:val="nil"/>
              <w:bottom w:val="single" w:sz="4" w:space="0" w:color="305496"/>
              <w:right w:val="nil"/>
            </w:tcBorders>
            <w:shd w:val="clear" w:color="auto" w:fill="auto"/>
            <w:noWrap/>
            <w:vAlign w:val="bottom"/>
            <w:hideMark/>
          </w:tcPr>
          <w:p w14:paraId="475BE72B"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990</w:t>
            </w:r>
          </w:p>
        </w:tc>
        <w:tc>
          <w:tcPr>
            <w:tcW w:w="347" w:type="pct"/>
            <w:tcBorders>
              <w:top w:val="nil"/>
              <w:left w:val="nil"/>
              <w:bottom w:val="single" w:sz="4" w:space="0" w:color="305496"/>
              <w:right w:val="nil"/>
            </w:tcBorders>
            <w:shd w:val="clear" w:color="auto" w:fill="auto"/>
            <w:noWrap/>
            <w:vAlign w:val="bottom"/>
            <w:hideMark/>
          </w:tcPr>
          <w:p w14:paraId="2BC035CA"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6.056</w:t>
            </w:r>
          </w:p>
        </w:tc>
        <w:tc>
          <w:tcPr>
            <w:tcW w:w="346" w:type="pct"/>
            <w:tcBorders>
              <w:top w:val="nil"/>
              <w:left w:val="nil"/>
              <w:bottom w:val="single" w:sz="4" w:space="0" w:color="305496"/>
              <w:right w:val="nil"/>
            </w:tcBorders>
            <w:shd w:val="clear" w:color="auto" w:fill="auto"/>
            <w:noWrap/>
            <w:vAlign w:val="bottom"/>
            <w:hideMark/>
          </w:tcPr>
          <w:p w14:paraId="07DC3FB5"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3.581</w:t>
            </w:r>
          </w:p>
        </w:tc>
        <w:tc>
          <w:tcPr>
            <w:tcW w:w="282" w:type="pct"/>
            <w:tcBorders>
              <w:top w:val="nil"/>
              <w:left w:val="nil"/>
              <w:bottom w:val="single" w:sz="4" w:space="0" w:color="305496"/>
              <w:right w:val="nil"/>
            </w:tcBorders>
            <w:shd w:val="clear" w:color="auto" w:fill="auto"/>
            <w:noWrap/>
            <w:vAlign w:val="bottom"/>
            <w:hideMark/>
          </w:tcPr>
          <w:p w14:paraId="2784B482"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2.475</w:t>
            </w:r>
          </w:p>
        </w:tc>
        <w:tc>
          <w:tcPr>
            <w:tcW w:w="411" w:type="pct"/>
            <w:tcBorders>
              <w:top w:val="nil"/>
              <w:left w:val="nil"/>
              <w:bottom w:val="single" w:sz="4" w:space="0" w:color="305496"/>
              <w:right w:val="nil"/>
            </w:tcBorders>
            <w:shd w:val="clear" w:color="auto" w:fill="auto"/>
            <w:noWrap/>
            <w:vAlign w:val="bottom"/>
            <w:hideMark/>
          </w:tcPr>
          <w:p w14:paraId="290DAA15"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275%</w:t>
            </w:r>
          </w:p>
        </w:tc>
        <w:tc>
          <w:tcPr>
            <w:tcW w:w="347" w:type="pct"/>
            <w:tcBorders>
              <w:top w:val="nil"/>
              <w:left w:val="nil"/>
              <w:bottom w:val="single" w:sz="4" w:space="0" w:color="305496"/>
              <w:right w:val="nil"/>
            </w:tcBorders>
            <w:shd w:val="clear" w:color="auto" w:fill="auto"/>
            <w:noWrap/>
            <w:vAlign w:val="bottom"/>
            <w:hideMark/>
          </w:tcPr>
          <w:p w14:paraId="0C42ACB7"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296%</w:t>
            </w:r>
          </w:p>
        </w:tc>
        <w:tc>
          <w:tcPr>
            <w:tcW w:w="345" w:type="pct"/>
            <w:tcBorders>
              <w:top w:val="nil"/>
              <w:left w:val="nil"/>
              <w:bottom w:val="single" w:sz="4" w:space="0" w:color="305496"/>
              <w:right w:val="nil"/>
            </w:tcBorders>
            <w:shd w:val="clear" w:color="auto" w:fill="auto"/>
            <w:noWrap/>
            <w:vAlign w:val="bottom"/>
            <w:hideMark/>
          </w:tcPr>
          <w:p w14:paraId="74E8AE16" w14:textId="77777777" w:rsidR="00C130F7" w:rsidRPr="00624B2A" w:rsidRDefault="00C130F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250%</w:t>
            </w:r>
          </w:p>
        </w:tc>
      </w:tr>
    </w:tbl>
    <w:p w14:paraId="3EF5FAC7" w14:textId="77777777" w:rsidR="00DE23D8" w:rsidRDefault="00DE23D8" w:rsidP="00DE23D8">
      <w:pPr>
        <w:rPr>
          <w:sz w:val="18"/>
          <w:szCs w:val="18"/>
        </w:rPr>
      </w:pPr>
      <w:r>
        <w:rPr>
          <w:sz w:val="18"/>
          <w:szCs w:val="18"/>
        </w:rPr>
        <w:t>Fonte: Rapporto Annuale di Attuazione 2020, dati aggiornati al 31.12.2020.</w:t>
      </w:r>
    </w:p>
    <w:p w14:paraId="7DA28074" w14:textId="77777777" w:rsidR="00DE23D8" w:rsidRPr="00736D99" w:rsidRDefault="00DE23D8" w:rsidP="00DE23D8">
      <w:pPr>
        <w:rPr>
          <w:sz w:val="18"/>
          <w:szCs w:val="18"/>
        </w:rPr>
      </w:pPr>
      <w:r w:rsidRPr="00736D99">
        <w:rPr>
          <w:sz w:val="18"/>
          <w:szCs w:val="18"/>
        </w:rPr>
        <w:t xml:space="preserve">Nota: </w:t>
      </w:r>
      <w:r>
        <w:rPr>
          <w:sz w:val="18"/>
          <w:szCs w:val="18"/>
        </w:rPr>
        <w:t>Nella tabella vengono riportati solamente gli indicatori che riportano un target e che al 2020 presentano un valore realizzato maggiore di zero.</w:t>
      </w:r>
    </w:p>
    <w:p w14:paraId="5E26CC03" w14:textId="77777777" w:rsidR="00350A27" w:rsidRDefault="00350A27" w:rsidP="001D7F71">
      <w:pPr>
        <w:rPr>
          <w:sz w:val="18"/>
          <w:szCs w:val="18"/>
        </w:rPr>
      </w:pPr>
    </w:p>
    <w:p w14:paraId="116D8242" w14:textId="77777777" w:rsidR="00597920" w:rsidRPr="00736D99" w:rsidRDefault="00597920" w:rsidP="001D7F71">
      <w:pPr>
        <w:rPr>
          <w:sz w:val="18"/>
          <w:szCs w:val="18"/>
        </w:rPr>
      </w:pPr>
    </w:p>
    <w:p w14:paraId="312AD86C" w14:textId="77777777" w:rsidR="00DE23D8" w:rsidRDefault="00DE23D8" w:rsidP="00DE23D8">
      <w:pPr>
        <w:pStyle w:val="Didascalia"/>
      </w:pPr>
      <w:r w:rsidRPr="002515F0">
        <w:t xml:space="preserve">Tabella 6. Indicatori di </w:t>
      </w:r>
      <w:r>
        <w:t>risultato</w:t>
      </w:r>
      <w:r w:rsidRPr="002515F0">
        <w:t xml:space="preserve"> selezionati F</w:t>
      </w:r>
      <w:r>
        <w:t>SE</w:t>
      </w:r>
      <w:r w:rsidRPr="002515F0">
        <w:t xml:space="preserve"> – Area </w:t>
      </w:r>
      <w:r>
        <w:t>socio-economica</w:t>
      </w:r>
    </w:p>
    <w:tbl>
      <w:tblPr>
        <w:tblW w:w="5000" w:type="pct"/>
        <w:tblCellMar>
          <w:left w:w="28" w:type="dxa"/>
          <w:right w:w="28" w:type="dxa"/>
        </w:tblCellMar>
        <w:tblLook w:val="04A0" w:firstRow="1" w:lastRow="0" w:firstColumn="1" w:lastColumn="0" w:noHBand="0" w:noVBand="1"/>
      </w:tblPr>
      <w:tblGrid>
        <w:gridCol w:w="532"/>
        <w:gridCol w:w="885"/>
        <w:gridCol w:w="3325"/>
        <w:gridCol w:w="574"/>
        <w:gridCol w:w="574"/>
        <w:gridCol w:w="596"/>
        <w:gridCol w:w="599"/>
        <w:gridCol w:w="542"/>
        <w:gridCol w:w="497"/>
        <w:gridCol w:w="476"/>
        <w:gridCol w:w="542"/>
        <w:gridCol w:w="496"/>
      </w:tblGrid>
      <w:tr w:rsidR="00DE23D8" w:rsidRPr="00DE23D8" w14:paraId="2BC7F9EC" w14:textId="77777777" w:rsidTr="00B962B4">
        <w:trPr>
          <w:trHeight w:val="284"/>
        </w:trPr>
        <w:tc>
          <w:tcPr>
            <w:tcW w:w="276" w:type="pct"/>
            <w:tcBorders>
              <w:top w:val="nil"/>
              <w:left w:val="nil"/>
              <w:bottom w:val="nil"/>
              <w:right w:val="nil"/>
            </w:tcBorders>
            <w:shd w:val="clear" w:color="auto" w:fill="669748" w:themeFill="accent2" w:themeFillShade="BF"/>
            <w:vAlign w:val="center"/>
            <w:hideMark/>
          </w:tcPr>
          <w:p w14:paraId="53BD74C9" w14:textId="77777777" w:rsidR="00DE23D8" w:rsidRPr="00624B2A" w:rsidRDefault="00DE23D8" w:rsidP="00DE23D8">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PI</w:t>
            </w:r>
          </w:p>
        </w:tc>
        <w:tc>
          <w:tcPr>
            <w:tcW w:w="459" w:type="pct"/>
            <w:tcBorders>
              <w:top w:val="nil"/>
              <w:left w:val="nil"/>
              <w:bottom w:val="nil"/>
              <w:right w:val="nil"/>
            </w:tcBorders>
            <w:shd w:val="clear" w:color="auto" w:fill="669748" w:themeFill="accent2" w:themeFillShade="BF"/>
            <w:vAlign w:val="center"/>
            <w:hideMark/>
          </w:tcPr>
          <w:p w14:paraId="26361CC9" w14:textId="77777777" w:rsidR="00DE23D8" w:rsidRPr="00624B2A" w:rsidRDefault="00DE23D8" w:rsidP="00DE23D8">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Codice indicatore</w:t>
            </w:r>
          </w:p>
        </w:tc>
        <w:tc>
          <w:tcPr>
            <w:tcW w:w="1725" w:type="pct"/>
            <w:tcBorders>
              <w:top w:val="nil"/>
              <w:left w:val="nil"/>
              <w:bottom w:val="nil"/>
              <w:right w:val="nil"/>
            </w:tcBorders>
            <w:shd w:val="clear" w:color="auto" w:fill="669748" w:themeFill="accent2" w:themeFillShade="BF"/>
            <w:vAlign w:val="center"/>
            <w:hideMark/>
          </w:tcPr>
          <w:p w14:paraId="04FB15BA" w14:textId="77777777" w:rsidR="00DE23D8" w:rsidRPr="00624B2A" w:rsidRDefault="00DE23D8" w:rsidP="00DE23D8">
            <w:pPr>
              <w:jc w:val="left"/>
              <w:rPr>
                <w:rFonts w:eastAsia="Times New Roman" w:cs="Calibri"/>
                <w:b/>
                <w:bCs/>
                <w:color w:val="FFFFFF"/>
                <w:sz w:val="16"/>
                <w:szCs w:val="16"/>
                <w:lang w:eastAsia="it-IT"/>
              </w:rPr>
            </w:pPr>
            <w:r w:rsidRPr="00624B2A">
              <w:rPr>
                <w:rFonts w:eastAsia="Times New Roman" w:cs="Calibri"/>
                <w:b/>
                <w:bCs/>
                <w:color w:val="FFFFFF"/>
                <w:sz w:val="16"/>
                <w:szCs w:val="16"/>
                <w:lang w:eastAsia="it-IT"/>
              </w:rPr>
              <w:t>Indicatore di risultato</w:t>
            </w:r>
          </w:p>
        </w:tc>
        <w:tc>
          <w:tcPr>
            <w:tcW w:w="905" w:type="pct"/>
            <w:gridSpan w:val="3"/>
            <w:tcBorders>
              <w:top w:val="nil"/>
              <w:left w:val="nil"/>
              <w:bottom w:val="nil"/>
              <w:right w:val="nil"/>
            </w:tcBorders>
            <w:shd w:val="clear" w:color="auto" w:fill="669748" w:themeFill="accent2" w:themeFillShade="BF"/>
            <w:vAlign w:val="center"/>
            <w:hideMark/>
          </w:tcPr>
          <w:p w14:paraId="2F7D37B8" w14:textId="77777777" w:rsidR="00DE23D8" w:rsidRPr="00624B2A" w:rsidRDefault="00DE23D8" w:rsidP="00DE23D8">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A - Valore obiettivo (2023)</w:t>
            </w:r>
          </w:p>
        </w:tc>
        <w:tc>
          <w:tcPr>
            <w:tcW w:w="850" w:type="pct"/>
            <w:gridSpan w:val="3"/>
            <w:tcBorders>
              <w:top w:val="nil"/>
              <w:left w:val="nil"/>
              <w:bottom w:val="nil"/>
              <w:right w:val="nil"/>
            </w:tcBorders>
            <w:shd w:val="clear" w:color="auto" w:fill="669748" w:themeFill="accent2" w:themeFillShade="BF"/>
            <w:vAlign w:val="center"/>
            <w:hideMark/>
          </w:tcPr>
          <w:p w14:paraId="71CF5BB1" w14:textId="77777777" w:rsidR="00DE23D8" w:rsidRPr="00624B2A" w:rsidRDefault="00DE23D8" w:rsidP="00DE23D8">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B - Valore 2020</w:t>
            </w:r>
          </w:p>
        </w:tc>
        <w:tc>
          <w:tcPr>
            <w:tcW w:w="785" w:type="pct"/>
            <w:gridSpan w:val="3"/>
            <w:tcBorders>
              <w:top w:val="nil"/>
              <w:left w:val="nil"/>
              <w:bottom w:val="nil"/>
              <w:right w:val="nil"/>
            </w:tcBorders>
            <w:shd w:val="clear" w:color="auto" w:fill="669748" w:themeFill="accent2" w:themeFillShade="BF"/>
            <w:vAlign w:val="center"/>
            <w:hideMark/>
          </w:tcPr>
          <w:p w14:paraId="3AFD8AF0" w14:textId="77777777" w:rsidR="00DE23D8" w:rsidRPr="00624B2A" w:rsidRDefault="00AC35DF" w:rsidP="00DE23D8">
            <w:pPr>
              <w:jc w:val="center"/>
              <w:rPr>
                <w:rFonts w:eastAsia="Times New Roman" w:cs="Calibri"/>
                <w:b/>
                <w:bCs/>
                <w:color w:val="FFFFFF"/>
                <w:sz w:val="16"/>
                <w:szCs w:val="16"/>
                <w:lang w:eastAsia="it-IT"/>
              </w:rPr>
            </w:pPr>
            <w:r>
              <w:rPr>
                <w:rFonts w:eastAsia="Times New Roman" w:cs="Calibri"/>
                <w:b/>
                <w:bCs/>
                <w:color w:val="FFFFFF"/>
                <w:sz w:val="16"/>
                <w:szCs w:val="16"/>
                <w:lang w:eastAsia="it-IT"/>
              </w:rPr>
              <w:t xml:space="preserve">B/A - </w:t>
            </w:r>
            <w:r w:rsidR="00DE23D8" w:rsidRPr="00624B2A">
              <w:rPr>
                <w:rFonts w:eastAsia="Times New Roman" w:cs="Calibri"/>
                <w:b/>
                <w:bCs/>
                <w:color w:val="FFFFFF"/>
                <w:sz w:val="16"/>
                <w:szCs w:val="16"/>
                <w:lang w:eastAsia="it-IT"/>
              </w:rPr>
              <w:t xml:space="preserve">Indice di </w:t>
            </w:r>
            <w:r w:rsidR="00DE23D8" w:rsidRPr="00DE23D8">
              <w:rPr>
                <w:rFonts w:eastAsia="Times New Roman" w:cs="Calibri"/>
                <w:b/>
                <w:bCs/>
                <w:color w:val="FFFFFF"/>
                <w:sz w:val="16"/>
                <w:szCs w:val="16"/>
                <w:lang w:eastAsia="it-IT"/>
              </w:rPr>
              <w:t>realizzazione</w:t>
            </w:r>
            <w:r w:rsidR="00DE23D8" w:rsidRPr="00624B2A">
              <w:rPr>
                <w:rFonts w:eastAsia="Times New Roman" w:cs="Calibri"/>
                <w:b/>
                <w:bCs/>
                <w:color w:val="FFFFFF"/>
                <w:sz w:val="16"/>
                <w:szCs w:val="16"/>
                <w:lang w:eastAsia="it-IT"/>
              </w:rPr>
              <w:t xml:space="preserve"> </w:t>
            </w:r>
          </w:p>
        </w:tc>
      </w:tr>
      <w:tr w:rsidR="00DD1A99" w:rsidRPr="00DE23D8" w14:paraId="0F0ADFAB" w14:textId="77777777" w:rsidTr="00B962B4">
        <w:trPr>
          <w:trHeight w:val="318"/>
        </w:trPr>
        <w:tc>
          <w:tcPr>
            <w:tcW w:w="276" w:type="pct"/>
            <w:tcBorders>
              <w:top w:val="nil"/>
              <w:left w:val="nil"/>
              <w:bottom w:val="nil"/>
              <w:right w:val="nil"/>
            </w:tcBorders>
            <w:shd w:val="clear" w:color="auto" w:fill="669748" w:themeFill="accent2" w:themeFillShade="BF"/>
            <w:vAlign w:val="center"/>
            <w:hideMark/>
          </w:tcPr>
          <w:p w14:paraId="31CB9951" w14:textId="77777777" w:rsidR="00DE23D8" w:rsidRPr="00624B2A" w:rsidRDefault="00DE23D8" w:rsidP="00DE23D8">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 </w:t>
            </w:r>
          </w:p>
        </w:tc>
        <w:tc>
          <w:tcPr>
            <w:tcW w:w="459" w:type="pct"/>
            <w:tcBorders>
              <w:top w:val="nil"/>
              <w:left w:val="nil"/>
              <w:bottom w:val="nil"/>
              <w:right w:val="nil"/>
            </w:tcBorders>
            <w:shd w:val="clear" w:color="auto" w:fill="669748" w:themeFill="accent2" w:themeFillShade="BF"/>
            <w:vAlign w:val="center"/>
            <w:hideMark/>
          </w:tcPr>
          <w:p w14:paraId="6AC5964F" w14:textId="77777777" w:rsidR="00DE23D8" w:rsidRPr="00624B2A" w:rsidRDefault="00DE23D8" w:rsidP="00DE23D8">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 </w:t>
            </w:r>
          </w:p>
        </w:tc>
        <w:tc>
          <w:tcPr>
            <w:tcW w:w="1725" w:type="pct"/>
            <w:tcBorders>
              <w:top w:val="nil"/>
              <w:left w:val="nil"/>
              <w:bottom w:val="nil"/>
              <w:right w:val="nil"/>
            </w:tcBorders>
            <w:shd w:val="clear" w:color="auto" w:fill="669748" w:themeFill="accent2" w:themeFillShade="BF"/>
            <w:vAlign w:val="center"/>
            <w:hideMark/>
          </w:tcPr>
          <w:p w14:paraId="39244564" w14:textId="77777777" w:rsidR="00DE23D8" w:rsidRPr="00624B2A" w:rsidRDefault="00DE23D8" w:rsidP="00DE23D8">
            <w:pPr>
              <w:jc w:val="left"/>
              <w:rPr>
                <w:rFonts w:eastAsia="Times New Roman" w:cs="Calibri"/>
                <w:b/>
                <w:bCs/>
                <w:color w:val="FFFFFF"/>
                <w:sz w:val="16"/>
                <w:szCs w:val="16"/>
                <w:lang w:eastAsia="it-IT"/>
              </w:rPr>
            </w:pPr>
            <w:r w:rsidRPr="00624B2A">
              <w:rPr>
                <w:rFonts w:eastAsia="Times New Roman" w:cs="Calibri"/>
                <w:b/>
                <w:bCs/>
                <w:color w:val="FFFFFF"/>
                <w:sz w:val="16"/>
                <w:szCs w:val="16"/>
                <w:lang w:eastAsia="it-IT"/>
              </w:rPr>
              <w:t> </w:t>
            </w:r>
          </w:p>
        </w:tc>
        <w:tc>
          <w:tcPr>
            <w:tcW w:w="298" w:type="pct"/>
            <w:tcBorders>
              <w:top w:val="nil"/>
              <w:left w:val="nil"/>
              <w:bottom w:val="nil"/>
              <w:right w:val="nil"/>
            </w:tcBorders>
            <w:shd w:val="clear" w:color="auto" w:fill="669748" w:themeFill="accent2" w:themeFillShade="BF"/>
            <w:vAlign w:val="center"/>
            <w:hideMark/>
          </w:tcPr>
          <w:p w14:paraId="3F86EE5C" w14:textId="77777777" w:rsidR="00DE23D8" w:rsidRPr="00624B2A" w:rsidRDefault="00DE23D8" w:rsidP="00DE23D8">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Totale</w:t>
            </w:r>
          </w:p>
        </w:tc>
        <w:tc>
          <w:tcPr>
            <w:tcW w:w="298" w:type="pct"/>
            <w:tcBorders>
              <w:top w:val="nil"/>
              <w:left w:val="nil"/>
              <w:bottom w:val="nil"/>
              <w:right w:val="nil"/>
            </w:tcBorders>
            <w:shd w:val="clear" w:color="auto" w:fill="669748" w:themeFill="accent2" w:themeFillShade="BF"/>
            <w:vAlign w:val="center"/>
            <w:hideMark/>
          </w:tcPr>
          <w:p w14:paraId="367321E1" w14:textId="77777777" w:rsidR="00DE23D8" w:rsidRPr="00624B2A" w:rsidRDefault="00DE23D8" w:rsidP="00DE23D8">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Uomini</w:t>
            </w:r>
          </w:p>
        </w:tc>
        <w:tc>
          <w:tcPr>
            <w:tcW w:w="309" w:type="pct"/>
            <w:tcBorders>
              <w:top w:val="nil"/>
              <w:left w:val="nil"/>
              <w:bottom w:val="nil"/>
              <w:right w:val="nil"/>
            </w:tcBorders>
            <w:shd w:val="clear" w:color="auto" w:fill="669748" w:themeFill="accent2" w:themeFillShade="BF"/>
            <w:vAlign w:val="center"/>
            <w:hideMark/>
          </w:tcPr>
          <w:p w14:paraId="79E78223" w14:textId="77777777" w:rsidR="00DE23D8" w:rsidRPr="00624B2A" w:rsidRDefault="00DE23D8" w:rsidP="00DE23D8">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Donne</w:t>
            </w:r>
          </w:p>
        </w:tc>
        <w:tc>
          <w:tcPr>
            <w:tcW w:w="311" w:type="pct"/>
            <w:tcBorders>
              <w:top w:val="nil"/>
              <w:left w:val="nil"/>
              <w:bottom w:val="nil"/>
              <w:right w:val="nil"/>
            </w:tcBorders>
            <w:shd w:val="clear" w:color="auto" w:fill="669748" w:themeFill="accent2" w:themeFillShade="BF"/>
            <w:vAlign w:val="center"/>
            <w:hideMark/>
          </w:tcPr>
          <w:p w14:paraId="41786AE8" w14:textId="77777777" w:rsidR="00DE23D8" w:rsidRPr="00624B2A" w:rsidRDefault="00DE23D8" w:rsidP="00DE23D8">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Totale</w:t>
            </w:r>
          </w:p>
        </w:tc>
        <w:tc>
          <w:tcPr>
            <w:tcW w:w="281" w:type="pct"/>
            <w:tcBorders>
              <w:top w:val="nil"/>
              <w:left w:val="nil"/>
              <w:bottom w:val="nil"/>
              <w:right w:val="nil"/>
            </w:tcBorders>
            <w:shd w:val="clear" w:color="auto" w:fill="669748" w:themeFill="accent2" w:themeFillShade="BF"/>
            <w:vAlign w:val="center"/>
            <w:hideMark/>
          </w:tcPr>
          <w:p w14:paraId="43AA193A" w14:textId="77777777" w:rsidR="00DE23D8" w:rsidRPr="00624B2A" w:rsidRDefault="00DE23D8" w:rsidP="00DE23D8">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Uomini</w:t>
            </w:r>
          </w:p>
        </w:tc>
        <w:tc>
          <w:tcPr>
            <w:tcW w:w="257" w:type="pct"/>
            <w:tcBorders>
              <w:top w:val="nil"/>
              <w:left w:val="nil"/>
              <w:bottom w:val="nil"/>
              <w:right w:val="nil"/>
            </w:tcBorders>
            <w:shd w:val="clear" w:color="auto" w:fill="669748" w:themeFill="accent2" w:themeFillShade="BF"/>
            <w:vAlign w:val="center"/>
            <w:hideMark/>
          </w:tcPr>
          <w:p w14:paraId="6F96A2D4" w14:textId="77777777" w:rsidR="00DE23D8" w:rsidRPr="00624B2A" w:rsidRDefault="00DE23D8" w:rsidP="00DE23D8">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Donne</w:t>
            </w:r>
          </w:p>
        </w:tc>
        <w:tc>
          <w:tcPr>
            <w:tcW w:w="247" w:type="pct"/>
            <w:tcBorders>
              <w:top w:val="nil"/>
              <w:left w:val="nil"/>
              <w:bottom w:val="nil"/>
              <w:right w:val="nil"/>
            </w:tcBorders>
            <w:shd w:val="clear" w:color="auto" w:fill="669748" w:themeFill="accent2" w:themeFillShade="BF"/>
            <w:vAlign w:val="center"/>
            <w:hideMark/>
          </w:tcPr>
          <w:p w14:paraId="00F19A47" w14:textId="77777777" w:rsidR="00DE23D8" w:rsidRPr="00624B2A" w:rsidRDefault="00DE23D8" w:rsidP="00DE23D8">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Totale</w:t>
            </w:r>
          </w:p>
        </w:tc>
        <w:tc>
          <w:tcPr>
            <w:tcW w:w="281" w:type="pct"/>
            <w:tcBorders>
              <w:top w:val="nil"/>
              <w:left w:val="nil"/>
              <w:bottom w:val="nil"/>
              <w:right w:val="nil"/>
            </w:tcBorders>
            <w:shd w:val="clear" w:color="auto" w:fill="669748" w:themeFill="accent2" w:themeFillShade="BF"/>
            <w:vAlign w:val="center"/>
            <w:hideMark/>
          </w:tcPr>
          <w:p w14:paraId="4FB841A0" w14:textId="77777777" w:rsidR="00DE23D8" w:rsidRPr="00624B2A" w:rsidRDefault="00DE23D8" w:rsidP="00DE23D8">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Uomini</w:t>
            </w:r>
          </w:p>
        </w:tc>
        <w:tc>
          <w:tcPr>
            <w:tcW w:w="257" w:type="pct"/>
            <w:tcBorders>
              <w:top w:val="nil"/>
              <w:left w:val="nil"/>
              <w:bottom w:val="nil"/>
              <w:right w:val="nil"/>
            </w:tcBorders>
            <w:shd w:val="clear" w:color="auto" w:fill="669748" w:themeFill="accent2" w:themeFillShade="BF"/>
            <w:vAlign w:val="center"/>
            <w:hideMark/>
          </w:tcPr>
          <w:p w14:paraId="6ABA7AEE" w14:textId="77777777" w:rsidR="00DE23D8" w:rsidRPr="00624B2A" w:rsidRDefault="00DE23D8" w:rsidP="00DE23D8">
            <w:pPr>
              <w:jc w:val="right"/>
              <w:rPr>
                <w:rFonts w:eastAsia="Times New Roman" w:cs="Calibri"/>
                <w:b/>
                <w:bCs/>
                <w:color w:val="FFFFFF"/>
                <w:sz w:val="16"/>
                <w:szCs w:val="16"/>
                <w:lang w:eastAsia="it-IT"/>
              </w:rPr>
            </w:pPr>
            <w:r w:rsidRPr="00624B2A">
              <w:rPr>
                <w:rFonts w:eastAsia="Times New Roman" w:cs="Calibri"/>
                <w:b/>
                <w:bCs/>
                <w:color w:val="FFFFFF"/>
                <w:sz w:val="16"/>
                <w:szCs w:val="16"/>
                <w:lang w:eastAsia="it-IT"/>
              </w:rPr>
              <w:t>Donne</w:t>
            </w:r>
          </w:p>
        </w:tc>
      </w:tr>
      <w:tr w:rsidR="00DD1A99" w:rsidRPr="00DE23D8" w14:paraId="4B6C8155" w14:textId="77777777" w:rsidTr="00865457">
        <w:trPr>
          <w:trHeight w:val="210"/>
        </w:trPr>
        <w:tc>
          <w:tcPr>
            <w:tcW w:w="276" w:type="pct"/>
            <w:tcBorders>
              <w:top w:val="nil"/>
              <w:left w:val="nil"/>
              <w:bottom w:val="single" w:sz="4" w:space="0" w:color="305496"/>
              <w:right w:val="nil"/>
            </w:tcBorders>
            <w:shd w:val="clear" w:color="000000" w:fill="E7E6E6"/>
            <w:vAlign w:val="bottom"/>
            <w:hideMark/>
          </w:tcPr>
          <w:p w14:paraId="2F33697B" w14:textId="77777777" w:rsidR="00DE23D8" w:rsidRPr="00624B2A" w:rsidRDefault="00DE23D8" w:rsidP="00DE23D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Asse I</w:t>
            </w:r>
          </w:p>
        </w:tc>
        <w:tc>
          <w:tcPr>
            <w:tcW w:w="459" w:type="pct"/>
            <w:tcBorders>
              <w:top w:val="nil"/>
              <w:left w:val="nil"/>
              <w:bottom w:val="single" w:sz="4" w:space="0" w:color="305496"/>
              <w:right w:val="nil"/>
            </w:tcBorders>
            <w:shd w:val="clear" w:color="000000" w:fill="E7E6E6"/>
            <w:vAlign w:val="bottom"/>
            <w:hideMark/>
          </w:tcPr>
          <w:p w14:paraId="62625CA9" w14:textId="77777777" w:rsidR="00DE23D8" w:rsidRPr="00624B2A" w:rsidRDefault="00DE23D8" w:rsidP="00DE23D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1725" w:type="pct"/>
            <w:tcBorders>
              <w:top w:val="nil"/>
              <w:left w:val="nil"/>
              <w:bottom w:val="single" w:sz="4" w:space="0" w:color="305496"/>
              <w:right w:val="nil"/>
            </w:tcBorders>
            <w:shd w:val="clear" w:color="000000" w:fill="E7E6E6"/>
            <w:vAlign w:val="bottom"/>
            <w:hideMark/>
          </w:tcPr>
          <w:p w14:paraId="7289BC72" w14:textId="77777777" w:rsidR="00DE23D8" w:rsidRPr="00624B2A" w:rsidRDefault="00DE23D8" w:rsidP="00DE23D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98" w:type="pct"/>
            <w:tcBorders>
              <w:top w:val="nil"/>
              <w:left w:val="nil"/>
              <w:bottom w:val="single" w:sz="4" w:space="0" w:color="305496"/>
              <w:right w:val="nil"/>
            </w:tcBorders>
            <w:shd w:val="clear" w:color="000000" w:fill="E7E6E6"/>
            <w:vAlign w:val="bottom"/>
            <w:hideMark/>
          </w:tcPr>
          <w:p w14:paraId="290F67B0"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98" w:type="pct"/>
            <w:tcBorders>
              <w:top w:val="nil"/>
              <w:left w:val="nil"/>
              <w:bottom w:val="single" w:sz="4" w:space="0" w:color="305496"/>
              <w:right w:val="nil"/>
            </w:tcBorders>
            <w:shd w:val="clear" w:color="000000" w:fill="E7E6E6"/>
            <w:vAlign w:val="bottom"/>
            <w:hideMark/>
          </w:tcPr>
          <w:p w14:paraId="4F099198"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09" w:type="pct"/>
            <w:tcBorders>
              <w:top w:val="nil"/>
              <w:left w:val="nil"/>
              <w:bottom w:val="single" w:sz="4" w:space="0" w:color="305496"/>
              <w:right w:val="nil"/>
            </w:tcBorders>
            <w:shd w:val="clear" w:color="000000" w:fill="E7E6E6"/>
            <w:vAlign w:val="bottom"/>
            <w:hideMark/>
          </w:tcPr>
          <w:p w14:paraId="3D235913"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11" w:type="pct"/>
            <w:tcBorders>
              <w:top w:val="nil"/>
              <w:left w:val="nil"/>
              <w:bottom w:val="single" w:sz="4" w:space="0" w:color="305496"/>
              <w:right w:val="nil"/>
            </w:tcBorders>
            <w:shd w:val="clear" w:color="000000" w:fill="E7E6E6"/>
            <w:vAlign w:val="bottom"/>
            <w:hideMark/>
          </w:tcPr>
          <w:p w14:paraId="101CF41D"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81" w:type="pct"/>
            <w:tcBorders>
              <w:top w:val="nil"/>
              <w:left w:val="nil"/>
              <w:bottom w:val="single" w:sz="4" w:space="0" w:color="305496"/>
              <w:right w:val="nil"/>
            </w:tcBorders>
            <w:shd w:val="clear" w:color="000000" w:fill="E7E6E6"/>
            <w:vAlign w:val="bottom"/>
            <w:hideMark/>
          </w:tcPr>
          <w:p w14:paraId="41CDB794"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57" w:type="pct"/>
            <w:tcBorders>
              <w:top w:val="nil"/>
              <w:left w:val="nil"/>
              <w:bottom w:val="single" w:sz="4" w:space="0" w:color="305496"/>
              <w:right w:val="nil"/>
            </w:tcBorders>
            <w:shd w:val="clear" w:color="000000" w:fill="E7E6E6"/>
            <w:vAlign w:val="bottom"/>
            <w:hideMark/>
          </w:tcPr>
          <w:p w14:paraId="0C0887B4"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47" w:type="pct"/>
            <w:tcBorders>
              <w:top w:val="nil"/>
              <w:left w:val="nil"/>
              <w:bottom w:val="single" w:sz="4" w:space="0" w:color="305496"/>
              <w:right w:val="nil"/>
            </w:tcBorders>
            <w:shd w:val="clear" w:color="000000" w:fill="E7E6E6"/>
            <w:vAlign w:val="bottom"/>
            <w:hideMark/>
          </w:tcPr>
          <w:p w14:paraId="3E4ABD30"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81" w:type="pct"/>
            <w:tcBorders>
              <w:top w:val="nil"/>
              <w:left w:val="nil"/>
              <w:bottom w:val="single" w:sz="4" w:space="0" w:color="305496"/>
              <w:right w:val="nil"/>
            </w:tcBorders>
            <w:shd w:val="clear" w:color="000000" w:fill="E7E6E6"/>
            <w:vAlign w:val="bottom"/>
            <w:hideMark/>
          </w:tcPr>
          <w:p w14:paraId="5448A823"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57" w:type="pct"/>
            <w:tcBorders>
              <w:top w:val="nil"/>
              <w:left w:val="nil"/>
              <w:bottom w:val="single" w:sz="4" w:space="0" w:color="305496"/>
              <w:right w:val="nil"/>
            </w:tcBorders>
            <w:shd w:val="clear" w:color="000000" w:fill="E7E6E6"/>
            <w:vAlign w:val="bottom"/>
            <w:hideMark/>
          </w:tcPr>
          <w:p w14:paraId="02672E6B"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r>
      <w:tr w:rsidR="00DE23D8" w:rsidRPr="00DE23D8" w14:paraId="324EBA22" w14:textId="77777777" w:rsidTr="00B962B4">
        <w:trPr>
          <w:trHeight w:val="600"/>
        </w:trPr>
        <w:tc>
          <w:tcPr>
            <w:tcW w:w="276" w:type="pct"/>
            <w:tcBorders>
              <w:top w:val="nil"/>
              <w:left w:val="nil"/>
              <w:bottom w:val="nil"/>
              <w:right w:val="nil"/>
            </w:tcBorders>
            <w:shd w:val="clear" w:color="auto" w:fill="auto"/>
            <w:vAlign w:val="bottom"/>
            <w:hideMark/>
          </w:tcPr>
          <w:p w14:paraId="1CAA7825"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8i</w:t>
            </w:r>
          </w:p>
        </w:tc>
        <w:tc>
          <w:tcPr>
            <w:tcW w:w="459" w:type="pct"/>
            <w:tcBorders>
              <w:top w:val="nil"/>
              <w:left w:val="nil"/>
              <w:bottom w:val="nil"/>
              <w:right w:val="nil"/>
            </w:tcBorders>
            <w:shd w:val="clear" w:color="auto" w:fill="auto"/>
            <w:vAlign w:val="bottom"/>
            <w:hideMark/>
          </w:tcPr>
          <w:p w14:paraId="52CFDAE3"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CR06</w:t>
            </w:r>
          </w:p>
        </w:tc>
        <w:tc>
          <w:tcPr>
            <w:tcW w:w="1725" w:type="pct"/>
            <w:tcBorders>
              <w:top w:val="nil"/>
              <w:left w:val="nil"/>
              <w:bottom w:val="nil"/>
              <w:right w:val="nil"/>
            </w:tcBorders>
            <w:shd w:val="clear" w:color="auto" w:fill="auto"/>
            <w:vAlign w:val="bottom"/>
            <w:hideMark/>
          </w:tcPr>
          <w:p w14:paraId="0B0D2031"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Partecipanti che hanno un lavoro, anche autonomo, entro i sei mesi successivi alla fine della loro partecipazione all'intervento (%)</w:t>
            </w:r>
          </w:p>
        </w:tc>
        <w:tc>
          <w:tcPr>
            <w:tcW w:w="298" w:type="pct"/>
            <w:tcBorders>
              <w:top w:val="nil"/>
              <w:left w:val="nil"/>
              <w:bottom w:val="nil"/>
              <w:right w:val="nil"/>
            </w:tcBorders>
            <w:shd w:val="clear" w:color="auto" w:fill="auto"/>
            <w:noWrap/>
            <w:vAlign w:val="bottom"/>
            <w:hideMark/>
          </w:tcPr>
          <w:p w14:paraId="1198B698"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30%</w:t>
            </w:r>
          </w:p>
        </w:tc>
        <w:tc>
          <w:tcPr>
            <w:tcW w:w="298" w:type="pct"/>
            <w:tcBorders>
              <w:top w:val="nil"/>
              <w:left w:val="nil"/>
              <w:bottom w:val="nil"/>
              <w:right w:val="nil"/>
            </w:tcBorders>
            <w:shd w:val="clear" w:color="auto" w:fill="auto"/>
            <w:noWrap/>
            <w:vAlign w:val="bottom"/>
            <w:hideMark/>
          </w:tcPr>
          <w:p w14:paraId="2AA1A0F0"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32%</w:t>
            </w:r>
          </w:p>
        </w:tc>
        <w:tc>
          <w:tcPr>
            <w:tcW w:w="309" w:type="pct"/>
            <w:tcBorders>
              <w:top w:val="nil"/>
              <w:left w:val="nil"/>
              <w:bottom w:val="nil"/>
              <w:right w:val="nil"/>
            </w:tcBorders>
            <w:shd w:val="clear" w:color="auto" w:fill="auto"/>
            <w:noWrap/>
            <w:vAlign w:val="bottom"/>
            <w:hideMark/>
          </w:tcPr>
          <w:p w14:paraId="15A7E81D"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29%</w:t>
            </w:r>
          </w:p>
        </w:tc>
        <w:tc>
          <w:tcPr>
            <w:tcW w:w="311" w:type="pct"/>
            <w:tcBorders>
              <w:top w:val="nil"/>
              <w:left w:val="nil"/>
              <w:bottom w:val="nil"/>
              <w:right w:val="nil"/>
            </w:tcBorders>
            <w:shd w:val="clear" w:color="auto" w:fill="auto"/>
            <w:vAlign w:val="bottom"/>
            <w:hideMark/>
          </w:tcPr>
          <w:p w14:paraId="65805A9A"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60%</w:t>
            </w:r>
          </w:p>
        </w:tc>
        <w:tc>
          <w:tcPr>
            <w:tcW w:w="281" w:type="pct"/>
            <w:tcBorders>
              <w:top w:val="nil"/>
              <w:left w:val="nil"/>
              <w:bottom w:val="nil"/>
              <w:right w:val="nil"/>
            </w:tcBorders>
            <w:shd w:val="clear" w:color="auto" w:fill="auto"/>
            <w:vAlign w:val="bottom"/>
            <w:hideMark/>
          </w:tcPr>
          <w:p w14:paraId="0820BD62"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64%</w:t>
            </w:r>
          </w:p>
        </w:tc>
        <w:tc>
          <w:tcPr>
            <w:tcW w:w="257" w:type="pct"/>
            <w:tcBorders>
              <w:top w:val="nil"/>
              <w:left w:val="nil"/>
              <w:bottom w:val="nil"/>
              <w:right w:val="nil"/>
            </w:tcBorders>
            <w:shd w:val="clear" w:color="auto" w:fill="auto"/>
            <w:noWrap/>
            <w:vAlign w:val="bottom"/>
            <w:hideMark/>
          </w:tcPr>
          <w:p w14:paraId="6B0E209B"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55%</w:t>
            </w:r>
          </w:p>
        </w:tc>
        <w:tc>
          <w:tcPr>
            <w:tcW w:w="247" w:type="pct"/>
            <w:tcBorders>
              <w:top w:val="nil"/>
              <w:left w:val="nil"/>
              <w:bottom w:val="nil"/>
              <w:right w:val="nil"/>
            </w:tcBorders>
            <w:shd w:val="clear" w:color="auto" w:fill="auto"/>
            <w:noWrap/>
            <w:vAlign w:val="bottom"/>
            <w:hideMark/>
          </w:tcPr>
          <w:p w14:paraId="1805C981"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200%</w:t>
            </w:r>
          </w:p>
        </w:tc>
        <w:tc>
          <w:tcPr>
            <w:tcW w:w="281" w:type="pct"/>
            <w:tcBorders>
              <w:top w:val="nil"/>
              <w:left w:val="nil"/>
              <w:bottom w:val="nil"/>
              <w:right w:val="nil"/>
            </w:tcBorders>
            <w:shd w:val="clear" w:color="auto" w:fill="auto"/>
            <w:noWrap/>
            <w:vAlign w:val="bottom"/>
            <w:hideMark/>
          </w:tcPr>
          <w:p w14:paraId="3110229F"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205%</w:t>
            </w:r>
          </w:p>
        </w:tc>
        <w:tc>
          <w:tcPr>
            <w:tcW w:w="257" w:type="pct"/>
            <w:tcBorders>
              <w:top w:val="nil"/>
              <w:left w:val="nil"/>
              <w:bottom w:val="nil"/>
              <w:right w:val="nil"/>
            </w:tcBorders>
            <w:shd w:val="clear" w:color="auto" w:fill="auto"/>
            <w:noWrap/>
            <w:vAlign w:val="bottom"/>
            <w:hideMark/>
          </w:tcPr>
          <w:p w14:paraId="530CEF8C"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193%</w:t>
            </w:r>
          </w:p>
        </w:tc>
      </w:tr>
      <w:tr w:rsidR="00DE23D8" w:rsidRPr="00DE23D8" w14:paraId="3F5726E0" w14:textId="77777777" w:rsidTr="00B962B4">
        <w:trPr>
          <w:trHeight w:val="589"/>
        </w:trPr>
        <w:tc>
          <w:tcPr>
            <w:tcW w:w="276" w:type="pct"/>
            <w:tcBorders>
              <w:top w:val="nil"/>
              <w:left w:val="nil"/>
              <w:bottom w:val="nil"/>
              <w:right w:val="nil"/>
            </w:tcBorders>
            <w:shd w:val="clear" w:color="auto" w:fill="auto"/>
            <w:vAlign w:val="bottom"/>
            <w:hideMark/>
          </w:tcPr>
          <w:p w14:paraId="11476FE3"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8ii</w:t>
            </w:r>
          </w:p>
        </w:tc>
        <w:tc>
          <w:tcPr>
            <w:tcW w:w="459" w:type="pct"/>
            <w:tcBorders>
              <w:top w:val="nil"/>
              <w:left w:val="nil"/>
              <w:bottom w:val="nil"/>
              <w:right w:val="nil"/>
            </w:tcBorders>
            <w:shd w:val="clear" w:color="auto" w:fill="auto"/>
            <w:vAlign w:val="bottom"/>
            <w:hideMark/>
          </w:tcPr>
          <w:p w14:paraId="7C9C2084"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CR06</w:t>
            </w:r>
          </w:p>
        </w:tc>
        <w:tc>
          <w:tcPr>
            <w:tcW w:w="1725" w:type="pct"/>
            <w:tcBorders>
              <w:top w:val="nil"/>
              <w:left w:val="nil"/>
              <w:bottom w:val="nil"/>
              <w:right w:val="nil"/>
            </w:tcBorders>
            <w:shd w:val="clear" w:color="auto" w:fill="auto"/>
            <w:vAlign w:val="bottom"/>
            <w:hideMark/>
          </w:tcPr>
          <w:p w14:paraId="0C986BFB"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Partecipanti che hanno un lavoro, anche autonomo, entro i sei mesi successivi alla fine della loro partecipazione all'intervento (%)</w:t>
            </w:r>
          </w:p>
        </w:tc>
        <w:tc>
          <w:tcPr>
            <w:tcW w:w="298" w:type="pct"/>
            <w:tcBorders>
              <w:top w:val="nil"/>
              <w:left w:val="nil"/>
              <w:bottom w:val="nil"/>
              <w:right w:val="nil"/>
            </w:tcBorders>
            <w:shd w:val="clear" w:color="auto" w:fill="auto"/>
            <w:noWrap/>
            <w:vAlign w:val="bottom"/>
            <w:hideMark/>
          </w:tcPr>
          <w:p w14:paraId="4E7331C2"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35%</w:t>
            </w:r>
          </w:p>
        </w:tc>
        <w:tc>
          <w:tcPr>
            <w:tcW w:w="298" w:type="pct"/>
            <w:tcBorders>
              <w:top w:val="nil"/>
              <w:left w:val="nil"/>
              <w:bottom w:val="nil"/>
              <w:right w:val="nil"/>
            </w:tcBorders>
            <w:shd w:val="clear" w:color="auto" w:fill="auto"/>
            <w:noWrap/>
            <w:vAlign w:val="bottom"/>
            <w:hideMark/>
          </w:tcPr>
          <w:p w14:paraId="3448B472"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36%</w:t>
            </w:r>
          </w:p>
        </w:tc>
        <w:tc>
          <w:tcPr>
            <w:tcW w:w="309" w:type="pct"/>
            <w:tcBorders>
              <w:top w:val="nil"/>
              <w:left w:val="nil"/>
              <w:bottom w:val="nil"/>
              <w:right w:val="nil"/>
            </w:tcBorders>
            <w:shd w:val="clear" w:color="auto" w:fill="auto"/>
            <w:noWrap/>
            <w:vAlign w:val="bottom"/>
            <w:hideMark/>
          </w:tcPr>
          <w:p w14:paraId="643F5280"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34%</w:t>
            </w:r>
          </w:p>
        </w:tc>
        <w:tc>
          <w:tcPr>
            <w:tcW w:w="311" w:type="pct"/>
            <w:tcBorders>
              <w:top w:val="nil"/>
              <w:left w:val="nil"/>
              <w:bottom w:val="nil"/>
              <w:right w:val="nil"/>
            </w:tcBorders>
            <w:shd w:val="clear" w:color="auto" w:fill="auto"/>
            <w:vAlign w:val="bottom"/>
            <w:hideMark/>
          </w:tcPr>
          <w:p w14:paraId="6C4CF793"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4%</w:t>
            </w:r>
          </w:p>
        </w:tc>
        <w:tc>
          <w:tcPr>
            <w:tcW w:w="281" w:type="pct"/>
            <w:tcBorders>
              <w:top w:val="nil"/>
              <w:left w:val="nil"/>
              <w:bottom w:val="nil"/>
              <w:right w:val="nil"/>
            </w:tcBorders>
            <w:shd w:val="clear" w:color="auto" w:fill="auto"/>
            <w:vAlign w:val="bottom"/>
            <w:hideMark/>
          </w:tcPr>
          <w:p w14:paraId="5FC2C500"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w:t>
            </w:r>
          </w:p>
        </w:tc>
        <w:tc>
          <w:tcPr>
            <w:tcW w:w="257" w:type="pct"/>
            <w:tcBorders>
              <w:top w:val="nil"/>
              <w:left w:val="nil"/>
              <w:bottom w:val="nil"/>
              <w:right w:val="nil"/>
            </w:tcBorders>
            <w:shd w:val="clear" w:color="auto" w:fill="auto"/>
            <w:noWrap/>
            <w:vAlign w:val="bottom"/>
            <w:hideMark/>
          </w:tcPr>
          <w:p w14:paraId="4E0C81EB"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7%</w:t>
            </w:r>
          </w:p>
        </w:tc>
        <w:tc>
          <w:tcPr>
            <w:tcW w:w="247" w:type="pct"/>
            <w:tcBorders>
              <w:top w:val="nil"/>
              <w:left w:val="nil"/>
              <w:bottom w:val="nil"/>
              <w:right w:val="nil"/>
            </w:tcBorders>
            <w:shd w:val="clear" w:color="auto" w:fill="auto"/>
            <w:noWrap/>
            <w:vAlign w:val="bottom"/>
            <w:hideMark/>
          </w:tcPr>
          <w:p w14:paraId="50E0E3F2"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12%</w:t>
            </w:r>
          </w:p>
        </w:tc>
        <w:tc>
          <w:tcPr>
            <w:tcW w:w="281" w:type="pct"/>
            <w:tcBorders>
              <w:top w:val="nil"/>
              <w:left w:val="nil"/>
              <w:bottom w:val="nil"/>
              <w:right w:val="nil"/>
            </w:tcBorders>
            <w:shd w:val="clear" w:color="auto" w:fill="auto"/>
            <w:noWrap/>
            <w:vAlign w:val="bottom"/>
            <w:hideMark/>
          </w:tcPr>
          <w:p w14:paraId="5E959101"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8%</w:t>
            </w:r>
          </w:p>
        </w:tc>
        <w:tc>
          <w:tcPr>
            <w:tcW w:w="257" w:type="pct"/>
            <w:tcBorders>
              <w:top w:val="nil"/>
              <w:left w:val="nil"/>
              <w:bottom w:val="nil"/>
              <w:right w:val="nil"/>
            </w:tcBorders>
            <w:shd w:val="clear" w:color="auto" w:fill="auto"/>
            <w:noWrap/>
            <w:vAlign w:val="bottom"/>
            <w:hideMark/>
          </w:tcPr>
          <w:p w14:paraId="2AE8C841"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21%</w:t>
            </w:r>
          </w:p>
        </w:tc>
      </w:tr>
      <w:tr w:rsidR="00DE23D8" w:rsidRPr="00DE23D8" w14:paraId="677D8B4B" w14:textId="77777777" w:rsidTr="00B962B4">
        <w:trPr>
          <w:trHeight w:val="589"/>
        </w:trPr>
        <w:tc>
          <w:tcPr>
            <w:tcW w:w="276" w:type="pct"/>
            <w:tcBorders>
              <w:top w:val="nil"/>
              <w:left w:val="nil"/>
              <w:bottom w:val="nil"/>
              <w:right w:val="nil"/>
            </w:tcBorders>
            <w:shd w:val="clear" w:color="auto" w:fill="auto"/>
            <w:vAlign w:val="bottom"/>
            <w:hideMark/>
          </w:tcPr>
          <w:p w14:paraId="0D7B413C"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8v</w:t>
            </w:r>
          </w:p>
        </w:tc>
        <w:tc>
          <w:tcPr>
            <w:tcW w:w="459" w:type="pct"/>
            <w:tcBorders>
              <w:top w:val="nil"/>
              <w:left w:val="nil"/>
              <w:bottom w:val="nil"/>
              <w:right w:val="nil"/>
            </w:tcBorders>
            <w:shd w:val="clear" w:color="auto" w:fill="auto"/>
            <w:vAlign w:val="bottom"/>
            <w:hideMark/>
          </w:tcPr>
          <w:p w14:paraId="4C8256D0"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CR06</w:t>
            </w:r>
          </w:p>
        </w:tc>
        <w:tc>
          <w:tcPr>
            <w:tcW w:w="1725" w:type="pct"/>
            <w:tcBorders>
              <w:top w:val="nil"/>
              <w:left w:val="nil"/>
              <w:bottom w:val="nil"/>
              <w:right w:val="nil"/>
            </w:tcBorders>
            <w:shd w:val="clear" w:color="auto" w:fill="auto"/>
            <w:vAlign w:val="bottom"/>
            <w:hideMark/>
          </w:tcPr>
          <w:p w14:paraId="3F49565C"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Partecipanti che hanno un lavoro, anche autonomo, entro i sei mesi successivi alla fine della loro partecipazione all'intervento (%)</w:t>
            </w:r>
          </w:p>
        </w:tc>
        <w:tc>
          <w:tcPr>
            <w:tcW w:w="298" w:type="pct"/>
            <w:tcBorders>
              <w:top w:val="nil"/>
              <w:left w:val="nil"/>
              <w:bottom w:val="nil"/>
              <w:right w:val="nil"/>
            </w:tcBorders>
            <w:shd w:val="clear" w:color="auto" w:fill="auto"/>
            <w:noWrap/>
            <w:vAlign w:val="bottom"/>
            <w:hideMark/>
          </w:tcPr>
          <w:p w14:paraId="7B82D75E"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20%</w:t>
            </w:r>
          </w:p>
        </w:tc>
        <w:tc>
          <w:tcPr>
            <w:tcW w:w="298" w:type="pct"/>
            <w:tcBorders>
              <w:top w:val="nil"/>
              <w:left w:val="nil"/>
              <w:bottom w:val="nil"/>
              <w:right w:val="nil"/>
            </w:tcBorders>
            <w:shd w:val="clear" w:color="auto" w:fill="auto"/>
            <w:noWrap/>
            <w:vAlign w:val="bottom"/>
            <w:hideMark/>
          </w:tcPr>
          <w:p w14:paraId="658D2A15"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21%</w:t>
            </w:r>
          </w:p>
        </w:tc>
        <w:tc>
          <w:tcPr>
            <w:tcW w:w="309" w:type="pct"/>
            <w:tcBorders>
              <w:top w:val="nil"/>
              <w:left w:val="nil"/>
              <w:bottom w:val="nil"/>
              <w:right w:val="nil"/>
            </w:tcBorders>
            <w:shd w:val="clear" w:color="auto" w:fill="auto"/>
            <w:noWrap/>
            <w:vAlign w:val="bottom"/>
            <w:hideMark/>
          </w:tcPr>
          <w:p w14:paraId="7394480F"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19%</w:t>
            </w:r>
          </w:p>
        </w:tc>
        <w:tc>
          <w:tcPr>
            <w:tcW w:w="311" w:type="pct"/>
            <w:tcBorders>
              <w:top w:val="nil"/>
              <w:left w:val="nil"/>
              <w:bottom w:val="nil"/>
              <w:right w:val="nil"/>
            </w:tcBorders>
            <w:shd w:val="clear" w:color="auto" w:fill="auto"/>
            <w:vAlign w:val="bottom"/>
            <w:hideMark/>
          </w:tcPr>
          <w:p w14:paraId="1A9D5EE3"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27%</w:t>
            </w:r>
          </w:p>
        </w:tc>
        <w:tc>
          <w:tcPr>
            <w:tcW w:w="281" w:type="pct"/>
            <w:tcBorders>
              <w:top w:val="nil"/>
              <w:left w:val="nil"/>
              <w:bottom w:val="nil"/>
              <w:right w:val="nil"/>
            </w:tcBorders>
            <w:shd w:val="clear" w:color="auto" w:fill="auto"/>
            <w:vAlign w:val="bottom"/>
            <w:hideMark/>
          </w:tcPr>
          <w:p w14:paraId="224DF29F"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36%</w:t>
            </w:r>
          </w:p>
        </w:tc>
        <w:tc>
          <w:tcPr>
            <w:tcW w:w="257" w:type="pct"/>
            <w:tcBorders>
              <w:top w:val="nil"/>
              <w:left w:val="nil"/>
              <w:bottom w:val="nil"/>
              <w:right w:val="nil"/>
            </w:tcBorders>
            <w:shd w:val="clear" w:color="auto" w:fill="auto"/>
            <w:noWrap/>
            <w:vAlign w:val="bottom"/>
            <w:hideMark/>
          </w:tcPr>
          <w:p w14:paraId="23619488"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20%</w:t>
            </w:r>
          </w:p>
        </w:tc>
        <w:tc>
          <w:tcPr>
            <w:tcW w:w="247" w:type="pct"/>
            <w:tcBorders>
              <w:top w:val="nil"/>
              <w:left w:val="nil"/>
              <w:bottom w:val="nil"/>
              <w:right w:val="nil"/>
            </w:tcBorders>
            <w:shd w:val="clear" w:color="auto" w:fill="auto"/>
            <w:noWrap/>
            <w:vAlign w:val="bottom"/>
            <w:hideMark/>
          </w:tcPr>
          <w:p w14:paraId="718BE5EB"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135%</w:t>
            </w:r>
          </w:p>
        </w:tc>
        <w:tc>
          <w:tcPr>
            <w:tcW w:w="281" w:type="pct"/>
            <w:tcBorders>
              <w:top w:val="nil"/>
              <w:left w:val="nil"/>
              <w:bottom w:val="nil"/>
              <w:right w:val="nil"/>
            </w:tcBorders>
            <w:shd w:val="clear" w:color="auto" w:fill="auto"/>
            <w:noWrap/>
            <w:vAlign w:val="bottom"/>
            <w:hideMark/>
          </w:tcPr>
          <w:p w14:paraId="1F005146"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171%</w:t>
            </w:r>
          </w:p>
        </w:tc>
        <w:tc>
          <w:tcPr>
            <w:tcW w:w="257" w:type="pct"/>
            <w:tcBorders>
              <w:top w:val="nil"/>
              <w:left w:val="nil"/>
              <w:bottom w:val="nil"/>
              <w:right w:val="nil"/>
            </w:tcBorders>
            <w:shd w:val="clear" w:color="auto" w:fill="auto"/>
            <w:noWrap/>
            <w:vAlign w:val="bottom"/>
            <w:hideMark/>
          </w:tcPr>
          <w:p w14:paraId="6A3AA94B"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107%</w:t>
            </w:r>
          </w:p>
        </w:tc>
      </w:tr>
      <w:tr w:rsidR="00DD1A99" w:rsidRPr="00DE23D8" w14:paraId="0096155F" w14:textId="77777777" w:rsidTr="00865457">
        <w:trPr>
          <w:trHeight w:val="196"/>
        </w:trPr>
        <w:tc>
          <w:tcPr>
            <w:tcW w:w="276" w:type="pct"/>
            <w:tcBorders>
              <w:top w:val="nil"/>
              <w:left w:val="nil"/>
              <w:bottom w:val="single" w:sz="4" w:space="0" w:color="305496"/>
              <w:right w:val="nil"/>
            </w:tcBorders>
            <w:shd w:val="clear" w:color="000000" w:fill="E7E6E6"/>
            <w:vAlign w:val="bottom"/>
            <w:hideMark/>
          </w:tcPr>
          <w:p w14:paraId="5655AF69" w14:textId="77777777" w:rsidR="00DE23D8" w:rsidRPr="00624B2A" w:rsidRDefault="00DE23D8" w:rsidP="00DE23D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Asse III</w:t>
            </w:r>
          </w:p>
        </w:tc>
        <w:tc>
          <w:tcPr>
            <w:tcW w:w="459" w:type="pct"/>
            <w:tcBorders>
              <w:top w:val="nil"/>
              <w:left w:val="nil"/>
              <w:bottom w:val="single" w:sz="4" w:space="0" w:color="305496"/>
              <w:right w:val="nil"/>
            </w:tcBorders>
            <w:shd w:val="clear" w:color="000000" w:fill="E7E6E6"/>
            <w:vAlign w:val="bottom"/>
            <w:hideMark/>
          </w:tcPr>
          <w:p w14:paraId="30372FF4" w14:textId="77777777" w:rsidR="00DE23D8" w:rsidRPr="00624B2A" w:rsidRDefault="00DE23D8" w:rsidP="00DE23D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1725" w:type="pct"/>
            <w:tcBorders>
              <w:top w:val="nil"/>
              <w:left w:val="nil"/>
              <w:bottom w:val="single" w:sz="4" w:space="0" w:color="305496"/>
              <w:right w:val="nil"/>
            </w:tcBorders>
            <w:shd w:val="clear" w:color="000000" w:fill="E7E6E6"/>
            <w:vAlign w:val="bottom"/>
            <w:hideMark/>
          </w:tcPr>
          <w:p w14:paraId="50377131" w14:textId="77777777" w:rsidR="00DE23D8" w:rsidRPr="00624B2A" w:rsidRDefault="00DE23D8" w:rsidP="00DE23D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98" w:type="pct"/>
            <w:tcBorders>
              <w:top w:val="nil"/>
              <w:left w:val="nil"/>
              <w:bottom w:val="single" w:sz="4" w:space="0" w:color="305496"/>
              <w:right w:val="nil"/>
            </w:tcBorders>
            <w:shd w:val="clear" w:color="000000" w:fill="E7E6E6"/>
            <w:vAlign w:val="bottom"/>
            <w:hideMark/>
          </w:tcPr>
          <w:p w14:paraId="79FE3E90"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98" w:type="pct"/>
            <w:tcBorders>
              <w:top w:val="nil"/>
              <w:left w:val="nil"/>
              <w:bottom w:val="single" w:sz="4" w:space="0" w:color="305496"/>
              <w:right w:val="nil"/>
            </w:tcBorders>
            <w:shd w:val="clear" w:color="000000" w:fill="E7E6E6"/>
            <w:vAlign w:val="bottom"/>
            <w:hideMark/>
          </w:tcPr>
          <w:p w14:paraId="29B30B62"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09" w:type="pct"/>
            <w:tcBorders>
              <w:top w:val="nil"/>
              <w:left w:val="nil"/>
              <w:bottom w:val="single" w:sz="4" w:space="0" w:color="305496"/>
              <w:right w:val="nil"/>
            </w:tcBorders>
            <w:shd w:val="clear" w:color="000000" w:fill="E7E6E6"/>
            <w:vAlign w:val="bottom"/>
            <w:hideMark/>
          </w:tcPr>
          <w:p w14:paraId="54C865D3"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311" w:type="pct"/>
            <w:tcBorders>
              <w:top w:val="nil"/>
              <w:left w:val="nil"/>
              <w:bottom w:val="single" w:sz="4" w:space="0" w:color="305496"/>
              <w:right w:val="nil"/>
            </w:tcBorders>
            <w:shd w:val="clear" w:color="000000" w:fill="E7E6E6"/>
            <w:vAlign w:val="bottom"/>
            <w:hideMark/>
          </w:tcPr>
          <w:p w14:paraId="26F72479"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81" w:type="pct"/>
            <w:tcBorders>
              <w:top w:val="nil"/>
              <w:left w:val="nil"/>
              <w:bottom w:val="single" w:sz="4" w:space="0" w:color="305496"/>
              <w:right w:val="nil"/>
            </w:tcBorders>
            <w:shd w:val="clear" w:color="000000" w:fill="E7E6E6"/>
            <w:vAlign w:val="bottom"/>
            <w:hideMark/>
          </w:tcPr>
          <w:p w14:paraId="723F011B"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57" w:type="pct"/>
            <w:tcBorders>
              <w:top w:val="nil"/>
              <w:left w:val="nil"/>
              <w:bottom w:val="single" w:sz="4" w:space="0" w:color="305496"/>
              <w:right w:val="nil"/>
            </w:tcBorders>
            <w:shd w:val="clear" w:color="000000" w:fill="E7E6E6"/>
            <w:vAlign w:val="bottom"/>
            <w:hideMark/>
          </w:tcPr>
          <w:p w14:paraId="761A7020"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47" w:type="pct"/>
            <w:tcBorders>
              <w:top w:val="nil"/>
              <w:left w:val="nil"/>
              <w:bottom w:val="single" w:sz="4" w:space="0" w:color="305496"/>
              <w:right w:val="nil"/>
            </w:tcBorders>
            <w:shd w:val="clear" w:color="000000" w:fill="E7E6E6"/>
            <w:vAlign w:val="bottom"/>
            <w:hideMark/>
          </w:tcPr>
          <w:p w14:paraId="6F4C7D9F"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81" w:type="pct"/>
            <w:tcBorders>
              <w:top w:val="nil"/>
              <w:left w:val="nil"/>
              <w:bottom w:val="single" w:sz="4" w:space="0" w:color="305496"/>
              <w:right w:val="nil"/>
            </w:tcBorders>
            <w:shd w:val="clear" w:color="000000" w:fill="E7E6E6"/>
            <w:vAlign w:val="bottom"/>
            <w:hideMark/>
          </w:tcPr>
          <w:p w14:paraId="647C42A8"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57" w:type="pct"/>
            <w:tcBorders>
              <w:top w:val="nil"/>
              <w:left w:val="nil"/>
              <w:bottom w:val="single" w:sz="4" w:space="0" w:color="305496"/>
              <w:right w:val="nil"/>
            </w:tcBorders>
            <w:shd w:val="clear" w:color="000000" w:fill="E7E6E6"/>
            <w:vAlign w:val="bottom"/>
            <w:hideMark/>
          </w:tcPr>
          <w:p w14:paraId="0E1617A7" w14:textId="77777777" w:rsidR="00DE23D8" w:rsidRPr="00624B2A" w:rsidRDefault="00DE23D8" w:rsidP="00DE23D8">
            <w:pPr>
              <w:jc w:val="righ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r>
      <w:tr w:rsidR="00DE23D8" w:rsidRPr="00DE23D8" w14:paraId="49D3950C" w14:textId="77777777" w:rsidTr="00B962B4">
        <w:trPr>
          <w:trHeight w:val="477"/>
        </w:trPr>
        <w:tc>
          <w:tcPr>
            <w:tcW w:w="276" w:type="pct"/>
            <w:tcBorders>
              <w:top w:val="nil"/>
              <w:left w:val="nil"/>
              <w:bottom w:val="nil"/>
              <w:right w:val="nil"/>
            </w:tcBorders>
            <w:shd w:val="clear" w:color="auto" w:fill="auto"/>
            <w:vAlign w:val="bottom"/>
            <w:hideMark/>
          </w:tcPr>
          <w:p w14:paraId="18BE9DBA"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10i</w:t>
            </w:r>
          </w:p>
        </w:tc>
        <w:tc>
          <w:tcPr>
            <w:tcW w:w="459" w:type="pct"/>
            <w:tcBorders>
              <w:top w:val="nil"/>
              <w:left w:val="nil"/>
              <w:bottom w:val="nil"/>
              <w:right w:val="nil"/>
            </w:tcBorders>
            <w:shd w:val="clear" w:color="auto" w:fill="auto"/>
            <w:vAlign w:val="bottom"/>
            <w:hideMark/>
          </w:tcPr>
          <w:p w14:paraId="63B5B599"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CR03</w:t>
            </w:r>
          </w:p>
        </w:tc>
        <w:tc>
          <w:tcPr>
            <w:tcW w:w="1725" w:type="pct"/>
            <w:tcBorders>
              <w:top w:val="nil"/>
              <w:left w:val="nil"/>
              <w:bottom w:val="nil"/>
              <w:right w:val="nil"/>
            </w:tcBorders>
            <w:shd w:val="clear" w:color="auto" w:fill="auto"/>
            <w:vAlign w:val="bottom"/>
            <w:hideMark/>
          </w:tcPr>
          <w:p w14:paraId="4D04896F"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Partecipanti che ottengono una qualifica alla fine della loro partecipazione all'intervento (%)</w:t>
            </w:r>
          </w:p>
        </w:tc>
        <w:tc>
          <w:tcPr>
            <w:tcW w:w="298" w:type="pct"/>
            <w:tcBorders>
              <w:top w:val="nil"/>
              <w:left w:val="nil"/>
              <w:bottom w:val="nil"/>
              <w:right w:val="nil"/>
            </w:tcBorders>
            <w:shd w:val="clear" w:color="auto" w:fill="auto"/>
            <w:noWrap/>
            <w:vAlign w:val="bottom"/>
            <w:hideMark/>
          </w:tcPr>
          <w:p w14:paraId="42193733"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85%</w:t>
            </w:r>
          </w:p>
        </w:tc>
        <w:tc>
          <w:tcPr>
            <w:tcW w:w="298" w:type="pct"/>
            <w:tcBorders>
              <w:top w:val="nil"/>
              <w:left w:val="nil"/>
              <w:bottom w:val="nil"/>
              <w:right w:val="nil"/>
            </w:tcBorders>
            <w:shd w:val="clear" w:color="auto" w:fill="auto"/>
            <w:noWrap/>
            <w:vAlign w:val="bottom"/>
            <w:hideMark/>
          </w:tcPr>
          <w:p w14:paraId="5C676B21"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82%</w:t>
            </w:r>
          </w:p>
        </w:tc>
        <w:tc>
          <w:tcPr>
            <w:tcW w:w="309" w:type="pct"/>
            <w:tcBorders>
              <w:top w:val="nil"/>
              <w:left w:val="nil"/>
              <w:bottom w:val="nil"/>
              <w:right w:val="nil"/>
            </w:tcBorders>
            <w:shd w:val="clear" w:color="auto" w:fill="auto"/>
            <w:noWrap/>
            <w:vAlign w:val="bottom"/>
            <w:hideMark/>
          </w:tcPr>
          <w:p w14:paraId="0685B565"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88%</w:t>
            </w:r>
          </w:p>
        </w:tc>
        <w:tc>
          <w:tcPr>
            <w:tcW w:w="311" w:type="pct"/>
            <w:tcBorders>
              <w:top w:val="nil"/>
              <w:left w:val="nil"/>
              <w:bottom w:val="nil"/>
              <w:right w:val="nil"/>
            </w:tcBorders>
            <w:shd w:val="clear" w:color="auto" w:fill="auto"/>
            <w:vAlign w:val="bottom"/>
            <w:hideMark/>
          </w:tcPr>
          <w:p w14:paraId="528CA674"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85%</w:t>
            </w:r>
          </w:p>
        </w:tc>
        <w:tc>
          <w:tcPr>
            <w:tcW w:w="281" w:type="pct"/>
            <w:tcBorders>
              <w:top w:val="nil"/>
              <w:left w:val="nil"/>
              <w:bottom w:val="nil"/>
              <w:right w:val="nil"/>
            </w:tcBorders>
            <w:shd w:val="clear" w:color="auto" w:fill="auto"/>
            <w:vAlign w:val="bottom"/>
            <w:hideMark/>
          </w:tcPr>
          <w:p w14:paraId="78DA83E8"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83%</w:t>
            </w:r>
          </w:p>
        </w:tc>
        <w:tc>
          <w:tcPr>
            <w:tcW w:w="257" w:type="pct"/>
            <w:tcBorders>
              <w:top w:val="nil"/>
              <w:left w:val="nil"/>
              <w:bottom w:val="nil"/>
              <w:right w:val="nil"/>
            </w:tcBorders>
            <w:shd w:val="clear" w:color="auto" w:fill="auto"/>
            <w:vAlign w:val="bottom"/>
            <w:hideMark/>
          </w:tcPr>
          <w:p w14:paraId="72035E54"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87%</w:t>
            </w:r>
          </w:p>
        </w:tc>
        <w:tc>
          <w:tcPr>
            <w:tcW w:w="247" w:type="pct"/>
            <w:tcBorders>
              <w:top w:val="nil"/>
              <w:left w:val="nil"/>
              <w:bottom w:val="nil"/>
              <w:right w:val="nil"/>
            </w:tcBorders>
            <w:shd w:val="clear" w:color="auto" w:fill="auto"/>
            <w:noWrap/>
            <w:vAlign w:val="bottom"/>
            <w:hideMark/>
          </w:tcPr>
          <w:p w14:paraId="0646B0E2"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100%</w:t>
            </w:r>
          </w:p>
        </w:tc>
        <w:tc>
          <w:tcPr>
            <w:tcW w:w="281" w:type="pct"/>
            <w:tcBorders>
              <w:top w:val="nil"/>
              <w:left w:val="nil"/>
              <w:bottom w:val="nil"/>
              <w:right w:val="nil"/>
            </w:tcBorders>
            <w:shd w:val="clear" w:color="auto" w:fill="auto"/>
            <w:noWrap/>
            <w:vAlign w:val="bottom"/>
            <w:hideMark/>
          </w:tcPr>
          <w:p w14:paraId="60FC8506"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101%</w:t>
            </w:r>
          </w:p>
        </w:tc>
        <w:tc>
          <w:tcPr>
            <w:tcW w:w="257" w:type="pct"/>
            <w:tcBorders>
              <w:top w:val="nil"/>
              <w:left w:val="nil"/>
              <w:bottom w:val="nil"/>
              <w:right w:val="nil"/>
            </w:tcBorders>
            <w:shd w:val="clear" w:color="auto" w:fill="auto"/>
            <w:noWrap/>
            <w:vAlign w:val="bottom"/>
            <w:hideMark/>
          </w:tcPr>
          <w:p w14:paraId="5288167D"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98%</w:t>
            </w:r>
          </w:p>
        </w:tc>
      </w:tr>
      <w:tr w:rsidR="00DE23D8" w:rsidRPr="00DE23D8" w14:paraId="79D4B34D" w14:textId="77777777" w:rsidTr="00B962B4">
        <w:trPr>
          <w:trHeight w:val="582"/>
        </w:trPr>
        <w:tc>
          <w:tcPr>
            <w:tcW w:w="276" w:type="pct"/>
            <w:tcBorders>
              <w:top w:val="nil"/>
              <w:left w:val="nil"/>
              <w:bottom w:val="nil"/>
              <w:right w:val="nil"/>
            </w:tcBorders>
            <w:shd w:val="clear" w:color="auto" w:fill="auto"/>
            <w:vAlign w:val="bottom"/>
            <w:hideMark/>
          </w:tcPr>
          <w:p w14:paraId="5509CCD1"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10iv</w:t>
            </w:r>
          </w:p>
        </w:tc>
        <w:tc>
          <w:tcPr>
            <w:tcW w:w="459" w:type="pct"/>
            <w:tcBorders>
              <w:top w:val="nil"/>
              <w:left w:val="nil"/>
              <w:bottom w:val="nil"/>
              <w:right w:val="nil"/>
            </w:tcBorders>
            <w:shd w:val="clear" w:color="auto" w:fill="auto"/>
            <w:vAlign w:val="bottom"/>
            <w:hideMark/>
          </w:tcPr>
          <w:p w14:paraId="7403577F"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CR03</w:t>
            </w:r>
          </w:p>
        </w:tc>
        <w:tc>
          <w:tcPr>
            <w:tcW w:w="1725" w:type="pct"/>
            <w:tcBorders>
              <w:top w:val="nil"/>
              <w:left w:val="nil"/>
              <w:bottom w:val="nil"/>
              <w:right w:val="nil"/>
            </w:tcBorders>
            <w:shd w:val="clear" w:color="auto" w:fill="auto"/>
            <w:vAlign w:val="bottom"/>
            <w:hideMark/>
          </w:tcPr>
          <w:p w14:paraId="3F40A0B8"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Partecipanti che ottengono una qualifica alla fine della loro partecipazione all'intervento (%)</w:t>
            </w:r>
          </w:p>
        </w:tc>
        <w:tc>
          <w:tcPr>
            <w:tcW w:w="298" w:type="pct"/>
            <w:tcBorders>
              <w:top w:val="nil"/>
              <w:left w:val="nil"/>
              <w:bottom w:val="nil"/>
              <w:right w:val="nil"/>
            </w:tcBorders>
            <w:shd w:val="clear" w:color="auto" w:fill="auto"/>
            <w:noWrap/>
            <w:vAlign w:val="bottom"/>
            <w:hideMark/>
          </w:tcPr>
          <w:p w14:paraId="2D6276CE"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80%</w:t>
            </w:r>
          </w:p>
        </w:tc>
        <w:tc>
          <w:tcPr>
            <w:tcW w:w="298" w:type="pct"/>
            <w:tcBorders>
              <w:top w:val="nil"/>
              <w:left w:val="nil"/>
              <w:bottom w:val="nil"/>
              <w:right w:val="nil"/>
            </w:tcBorders>
            <w:shd w:val="clear" w:color="auto" w:fill="auto"/>
            <w:noWrap/>
            <w:vAlign w:val="bottom"/>
            <w:hideMark/>
          </w:tcPr>
          <w:p w14:paraId="35748D03"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82%</w:t>
            </w:r>
          </w:p>
        </w:tc>
        <w:tc>
          <w:tcPr>
            <w:tcW w:w="309" w:type="pct"/>
            <w:tcBorders>
              <w:top w:val="nil"/>
              <w:left w:val="nil"/>
              <w:bottom w:val="nil"/>
              <w:right w:val="nil"/>
            </w:tcBorders>
            <w:shd w:val="clear" w:color="auto" w:fill="auto"/>
            <w:noWrap/>
            <w:vAlign w:val="bottom"/>
            <w:hideMark/>
          </w:tcPr>
          <w:p w14:paraId="53526D34"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77%</w:t>
            </w:r>
          </w:p>
        </w:tc>
        <w:tc>
          <w:tcPr>
            <w:tcW w:w="311" w:type="pct"/>
            <w:tcBorders>
              <w:top w:val="nil"/>
              <w:left w:val="nil"/>
              <w:bottom w:val="nil"/>
              <w:right w:val="nil"/>
            </w:tcBorders>
            <w:shd w:val="clear" w:color="auto" w:fill="auto"/>
            <w:vAlign w:val="bottom"/>
            <w:hideMark/>
          </w:tcPr>
          <w:p w14:paraId="1C3437D0"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48%</w:t>
            </w:r>
          </w:p>
        </w:tc>
        <w:tc>
          <w:tcPr>
            <w:tcW w:w="281" w:type="pct"/>
            <w:tcBorders>
              <w:top w:val="nil"/>
              <w:left w:val="nil"/>
              <w:bottom w:val="nil"/>
              <w:right w:val="nil"/>
            </w:tcBorders>
            <w:shd w:val="clear" w:color="auto" w:fill="auto"/>
            <w:vAlign w:val="bottom"/>
            <w:hideMark/>
          </w:tcPr>
          <w:p w14:paraId="1A4DEAD3"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47%</w:t>
            </w:r>
          </w:p>
        </w:tc>
        <w:tc>
          <w:tcPr>
            <w:tcW w:w="257" w:type="pct"/>
            <w:tcBorders>
              <w:top w:val="nil"/>
              <w:left w:val="nil"/>
              <w:bottom w:val="nil"/>
              <w:right w:val="nil"/>
            </w:tcBorders>
            <w:shd w:val="clear" w:color="auto" w:fill="auto"/>
            <w:vAlign w:val="bottom"/>
            <w:hideMark/>
          </w:tcPr>
          <w:p w14:paraId="3A366656"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49%</w:t>
            </w:r>
          </w:p>
        </w:tc>
        <w:tc>
          <w:tcPr>
            <w:tcW w:w="247" w:type="pct"/>
            <w:tcBorders>
              <w:top w:val="nil"/>
              <w:left w:val="nil"/>
              <w:bottom w:val="nil"/>
              <w:right w:val="nil"/>
            </w:tcBorders>
            <w:shd w:val="clear" w:color="auto" w:fill="auto"/>
            <w:noWrap/>
            <w:vAlign w:val="bottom"/>
            <w:hideMark/>
          </w:tcPr>
          <w:p w14:paraId="5400C83C"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60%</w:t>
            </w:r>
          </w:p>
        </w:tc>
        <w:tc>
          <w:tcPr>
            <w:tcW w:w="281" w:type="pct"/>
            <w:tcBorders>
              <w:top w:val="nil"/>
              <w:left w:val="nil"/>
              <w:bottom w:val="nil"/>
              <w:right w:val="nil"/>
            </w:tcBorders>
            <w:shd w:val="clear" w:color="auto" w:fill="auto"/>
            <w:noWrap/>
            <w:vAlign w:val="bottom"/>
            <w:hideMark/>
          </w:tcPr>
          <w:p w14:paraId="3D0E7B37"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57%</w:t>
            </w:r>
          </w:p>
        </w:tc>
        <w:tc>
          <w:tcPr>
            <w:tcW w:w="257" w:type="pct"/>
            <w:tcBorders>
              <w:top w:val="nil"/>
              <w:left w:val="nil"/>
              <w:bottom w:val="nil"/>
              <w:right w:val="nil"/>
            </w:tcBorders>
            <w:shd w:val="clear" w:color="auto" w:fill="auto"/>
            <w:noWrap/>
            <w:vAlign w:val="bottom"/>
            <w:hideMark/>
          </w:tcPr>
          <w:p w14:paraId="6F99C984"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63%</w:t>
            </w:r>
          </w:p>
        </w:tc>
      </w:tr>
      <w:tr w:rsidR="00DE23D8" w:rsidRPr="00DE23D8" w14:paraId="57A9A729" w14:textId="77777777" w:rsidTr="00B962B4">
        <w:trPr>
          <w:trHeight w:val="582"/>
        </w:trPr>
        <w:tc>
          <w:tcPr>
            <w:tcW w:w="276" w:type="pct"/>
            <w:tcBorders>
              <w:top w:val="nil"/>
              <w:left w:val="nil"/>
              <w:bottom w:val="single" w:sz="4" w:space="0" w:color="305496"/>
              <w:right w:val="nil"/>
            </w:tcBorders>
            <w:shd w:val="clear" w:color="auto" w:fill="auto"/>
            <w:vAlign w:val="bottom"/>
            <w:hideMark/>
          </w:tcPr>
          <w:p w14:paraId="6FEF95F8"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10iv</w:t>
            </w:r>
          </w:p>
        </w:tc>
        <w:tc>
          <w:tcPr>
            <w:tcW w:w="459" w:type="pct"/>
            <w:tcBorders>
              <w:top w:val="nil"/>
              <w:left w:val="nil"/>
              <w:bottom w:val="single" w:sz="4" w:space="0" w:color="305496"/>
              <w:right w:val="nil"/>
            </w:tcBorders>
            <w:shd w:val="clear" w:color="auto" w:fill="auto"/>
            <w:vAlign w:val="bottom"/>
            <w:hideMark/>
          </w:tcPr>
          <w:p w14:paraId="555934D1"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c4.2</w:t>
            </w:r>
          </w:p>
        </w:tc>
        <w:tc>
          <w:tcPr>
            <w:tcW w:w="1725" w:type="pct"/>
            <w:tcBorders>
              <w:top w:val="nil"/>
              <w:left w:val="nil"/>
              <w:bottom w:val="single" w:sz="4" w:space="0" w:color="305496"/>
              <w:right w:val="nil"/>
            </w:tcBorders>
            <w:shd w:val="clear" w:color="auto" w:fill="auto"/>
            <w:vAlign w:val="bottom"/>
            <w:hideMark/>
          </w:tcPr>
          <w:p w14:paraId="5A4C1B27" w14:textId="77777777" w:rsidR="00DE23D8" w:rsidRPr="00624B2A" w:rsidRDefault="00DE23D8" w:rsidP="00DE23D8">
            <w:pPr>
              <w:jc w:val="left"/>
              <w:rPr>
                <w:rFonts w:eastAsia="Times New Roman" w:cs="Calibri"/>
                <w:color w:val="000000"/>
                <w:sz w:val="16"/>
                <w:szCs w:val="16"/>
                <w:lang w:eastAsia="it-IT"/>
              </w:rPr>
            </w:pPr>
            <w:r w:rsidRPr="00624B2A">
              <w:rPr>
                <w:rFonts w:eastAsia="Times New Roman" w:cs="Calibri"/>
                <w:color w:val="000000"/>
                <w:sz w:val="16"/>
                <w:szCs w:val="16"/>
                <w:lang w:eastAsia="it-IT"/>
              </w:rPr>
              <w:t>Partecipanti   che   completano   il   percorso   di formazione (%)</w:t>
            </w:r>
          </w:p>
        </w:tc>
        <w:tc>
          <w:tcPr>
            <w:tcW w:w="298" w:type="pct"/>
            <w:tcBorders>
              <w:top w:val="nil"/>
              <w:left w:val="nil"/>
              <w:bottom w:val="single" w:sz="4" w:space="0" w:color="305496"/>
              <w:right w:val="nil"/>
            </w:tcBorders>
            <w:shd w:val="clear" w:color="auto" w:fill="auto"/>
            <w:noWrap/>
            <w:vAlign w:val="bottom"/>
            <w:hideMark/>
          </w:tcPr>
          <w:p w14:paraId="34BA9038"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90%</w:t>
            </w:r>
          </w:p>
        </w:tc>
        <w:tc>
          <w:tcPr>
            <w:tcW w:w="298" w:type="pct"/>
            <w:tcBorders>
              <w:top w:val="nil"/>
              <w:left w:val="nil"/>
              <w:bottom w:val="single" w:sz="4" w:space="0" w:color="305496"/>
              <w:right w:val="nil"/>
            </w:tcBorders>
            <w:shd w:val="clear" w:color="auto" w:fill="auto"/>
            <w:noWrap/>
            <w:vAlign w:val="bottom"/>
            <w:hideMark/>
          </w:tcPr>
          <w:p w14:paraId="743B8124"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90%</w:t>
            </w:r>
          </w:p>
        </w:tc>
        <w:tc>
          <w:tcPr>
            <w:tcW w:w="309" w:type="pct"/>
            <w:tcBorders>
              <w:top w:val="nil"/>
              <w:left w:val="nil"/>
              <w:bottom w:val="single" w:sz="4" w:space="0" w:color="305496"/>
              <w:right w:val="nil"/>
            </w:tcBorders>
            <w:shd w:val="clear" w:color="auto" w:fill="auto"/>
            <w:noWrap/>
            <w:vAlign w:val="bottom"/>
            <w:hideMark/>
          </w:tcPr>
          <w:p w14:paraId="29D64940"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90%</w:t>
            </w:r>
          </w:p>
        </w:tc>
        <w:tc>
          <w:tcPr>
            <w:tcW w:w="311" w:type="pct"/>
            <w:tcBorders>
              <w:top w:val="nil"/>
              <w:left w:val="nil"/>
              <w:bottom w:val="single" w:sz="4" w:space="0" w:color="305496"/>
              <w:right w:val="nil"/>
            </w:tcBorders>
            <w:shd w:val="clear" w:color="auto" w:fill="auto"/>
            <w:vAlign w:val="bottom"/>
            <w:hideMark/>
          </w:tcPr>
          <w:p w14:paraId="1CC4E9CE"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98%</w:t>
            </w:r>
          </w:p>
        </w:tc>
        <w:tc>
          <w:tcPr>
            <w:tcW w:w="281" w:type="pct"/>
            <w:tcBorders>
              <w:top w:val="nil"/>
              <w:left w:val="nil"/>
              <w:bottom w:val="single" w:sz="4" w:space="0" w:color="305496"/>
              <w:right w:val="nil"/>
            </w:tcBorders>
            <w:shd w:val="clear" w:color="auto" w:fill="auto"/>
            <w:vAlign w:val="bottom"/>
            <w:hideMark/>
          </w:tcPr>
          <w:p w14:paraId="494A373D"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98%</w:t>
            </w:r>
          </w:p>
        </w:tc>
        <w:tc>
          <w:tcPr>
            <w:tcW w:w="257" w:type="pct"/>
            <w:tcBorders>
              <w:top w:val="nil"/>
              <w:left w:val="nil"/>
              <w:bottom w:val="single" w:sz="4" w:space="0" w:color="305496"/>
              <w:right w:val="nil"/>
            </w:tcBorders>
            <w:shd w:val="clear" w:color="auto" w:fill="auto"/>
            <w:vAlign w:val="bottom"/>
            <w:hideMark/>
          </w:tcPr>
          <w:p w14:paraId="3F35E9DD"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98%</w:t>
            </w:r>
          </w:p>
        </w:tc>
        <w:tc>
          <w:tcPr>
            <w:tcW w:w="247" w:type="pct"/>
            <w:tcBorders>
              <w:top w:val="nil"/>
              <w:left w:val="nil"/>
              <w:bottom w:val="single" w:sz="4" w:space="0" w:color="305496"/>
              <w:right w:val="nil"/>
            </w:tcBorders>
            <w:shd w:val="clear" w:color="auto" w:fill="auto"/>
            <w:noWrap/>
            <w:vAlign w:val="bottom"/>
            <w:hideMark/>
          </w:tcPr>
          <w:p w14:paraId="1259A0CC"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109%</w:t>
            </w:r>
          </w:p>
        </w:tc>
        <w:tc>
          <w:tcPr>
            <w:tcW w:w="281" w:type="pct"/>
            <w:tcBorders>
              <w:top w:val="nil"/>
              <w:left w:val="nil"/>
              <w:bottom w:val="single" w:sz="4" w:space="0" w:color="305496"/>
              <w:right w:val="nil"/>
            </w:tcBorders>
            <w:shd w:val="clear" w:color="auto" w:fill="auto"/>
            <w:noWrap/>
            <w:vAlign w:val="bottom"/>
            <w:hideMark/>
          </w:tcPr>
          <w:p w14:paraId="137A7FF7"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109%</w:t>
            </w:r>
          </w:p>
        </w:tc>
        <w:tc>
          <w:tcPr>
            <w:tcW w:w="257" w:type="pct"/>
            <w:tcBorders>
              <w:top w:val="nil"/>
              <w:left w:val="nil"/>
              <w:bottom w:val="single" w:sz="4" w:space="0" w:color="305496"/>
              <w:right w:val="nil"/>
            </w:tcBorders>
            <w:shd w:val="clear" w:color="auto" w:fill="auto"/>
            <w:noWrap/>
            <w:vAlign w:val="bottom"/>
            <w:hideMark/>
          </w:tcPr>
          <w:p w14:paraId="5D8BCFA4" w14:textId="77777777" w:rsidR="00DE23D8" w:rsidRPr="00624B2A" w:rsidRDefault="00DE23D8" w:rsidP="00DE23D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109%</w:t>
            </w:r>
          </w:p>
        </w:tc>
      </w:tr>
    </w:tbl>
    <w:p w14:paraId="227EAEE8" w14:textId="77777777" w:rsidR="00813093" w:rsidRDefault="00813093" w:rsidP="00813093">
      <w:pPr>
        <w:rPr>
          <w:sz w:val="18"/>
          <w:szCs w:val="18"/>
        </w:rPr>
      </w:pPr>
      <w:r>
        <w:rPr>
          <w:sz w:val="18"/>
          <w:szCs w:val="18"/>
        </w:rPr>
        <w:t>Fonte: Rapporto Annuale di Attuazione 2020, dati aggiornati al 31.12.2020.</w:t>
      </w:r>
    </w:p>
    <w:p w14:paraId="7108BA0B" w14:textId="77777777" w:rsidR="005B0FBE" w:rsidRPr="00735C60" w:rsidRDefault="00813093" w:rsidP="00735C60">
      <w:pPr>
        <w:rPr>
          <w:sz w:val="18"/>
          <w:szCs w:val="18"/>
        </w:rPr>
      </w:pPr>
      <w:r w:rsidRPr="00736D99">
        <w:rPr>
          <w:sz w:val="18"/>
          <w:szCs w:val="18"/>
        </w:rPr>
        <w:t xml:space="preserve">Nota: </w:t>
      </w:r>
      <w:r>
        <w:rPr>
          <w:sz w:val="18"/>
          <w:szCs w:val="18"/>
        </w:rPr>
        <w:t>Nella tabella vengono riportati solamente gli indicatori che riportano un target e che al 2020 presentano un valore realizzato maggiore di zero. Gli indicatori di risultato relativi all’Asse II non vengono riportati in quanto non è stato possibile ricostruirli a partire dalle informazioni contenute nel RAA.</w:t>
      </w:r>
    </w:p>
    <w:p w14:paraId="76D627F0" w14:textId="77777777" w:rsidR="00735C60" w:rsidRDefault="00735C60" w:rsidP="005B0FBE"/>
    <w:p w14:paraId="0179C15A" w14:textId="77777777" w:rsidR="00825203" w:rsidRDefault="00825203" w:rsidP="005B0FBE"/>
    <w:p w14:paraId="10C70A6A" w14:textId="4DC45EE8" w:rsidR="005B0FBE" w:rsidRDefault="005B0FBE" w:rsidP="005B0FBE">
      <w:r>
        <w:t xml:space="preserve">La tabella seguente riporta l’indice di realizzazione degli indicatori di output degli </w:t>
      </w:r>
      <w:r w:rsidR="00813CC6">
        <w:t>A</w:t>
      </w:r>
      <w:r>
        <w:t xml:space="preserve">ssi del </w:t>
      </w:r>
      <w:r w:rsidRPr="00735C60">
        <w:rPr>
          <w:b/>
          <w:bCs/>
        </w:rPr>
        <w:t>POR FESR</w:t>
      </w:r>
      <w:r>
        <w:t xml:space="preserve"> afferenti all’area socio-economica</w:t>
      </w:r>
      <w:r w:rsidRPr="006E61C1">
        <w:t xml:space="preserve">. </w:t>
      </w:r>
      <w:r>
        <w:t>A fine 2020, gli interventi relativi all’</w:t>
      </w:r>
      <w:r w:rsidR="00735C60">
        <w:t>A</w:t>
      </w:r>
      <w:r>
        <w:t>sse V riportano un indice di realizzazione del target (173,25%)</w:t>
      </w:r>
      <w:r w:rsidR="00735C60">
        <w:t xml:space="preserve"> che va molto oltre l’obiettivo fissato al 2023</w:t>
      </w:r>
      <w:r>
        <w:t>, mentre la superficie oggetto di intervento dell’</w:t>
      </w:r>
      <w:r w:rsidR="00735C60">
        <w:t>A</w:t>
      </w:r>
      <w:r>
        <w:t>sse VI risulta ancora troppo modesta: 2.400 mq a fronte di un target di 11.200 mq.</w:t>
      </w:r>
    </w:p>
    <w:p w14:paraId="3EE75176" w14:textId="77777777" w:rsidR="00865457" w:rsidRDefault="00865457" w:rsidP="005B0FBE"/>
    <w:p w14:paraId="4B2CE43F" w14:textId="77777777" w:rsidR="005B0FBE" w:rsidRDefault="005B0FBE" w:rsidP="005B0FBE">
      <w:pPr>
        <w:pStyle w:val="Didascalia"/>
      </w:pPr>
      <w:r w:rsidRPr="002515F0">
        <w:t xml:space="preserve">Tabella 6. Indicatori di output selezionati FESR – Area </w:t>
      </w:r>
      <w:r>
        <w:t>socio-economica</w:t>
      </w:r>
    </w:p>
    <w:tbl>
      <w:tblPr>
        <w:tblW w:w="9779" w:type="dxa"/>
        <w:tblLayout w:type="fixed"/>
        <w:tblLook w:val="04A0" w:firstRow="1" w:lastRow="0" w:firstColumn="1" w:lastColumn="0" w:noHBand="0" w:noVBand="1"/>
      </w:tblPr>
      <w:tblGrid>
        <w:gridCol w:w="1314"/>
        <w:gridCol w:w="960"/>
        <w:gridCol w:w="4082"/>
        <w:gridCol w:w="1134"/>
        <w:gridCol w:w="1134"/>
        <w:gridCol w:w="1155"/>
      </w:tblGrid>
      <w:tr w:rsidR="005B0FBE" w:rsidRPr="00813CC6" w14:paraId="473BA0F4" w14:textId="77777777" w:rsidTr="00813CC6">
        <w:trPr>
          <w:trHeight w:val="568"/>
        </w:trPr>
        <w:tc>
          <w:tcPr>
            <w:tcW w:w="1314" w:type="dxa"/>
            <w:tcBorders>
              <w:top w:val="nil"/>
              <w:left w:val="nil"/>
              <w:bottom w:val="nil"/>
              <w:right w:val="nil"/>
            </w:tcBorders>
            <w:shd w:val="clear" w:color="auto" w:fill="669748" w:themeFill="accent2" w:themeFillShade="BF"/>
            <w:vAlign w:val="center"/>
            <w:hideMark/>
          </w:tcPr>
          <w:p w14:paraId="143D3090" w14:textId="77777777" w:rsidR="005B0FBE" w:rsidRPr="00813CC6" w:rsidRDefault="005B0FBE" w:rsidP="00AF58DF">
            <w:pPr>
              <w:jc w:val="left"/>
              <w:rPr>
                <w:rFonts w:eastAsia="Times New Roman" w:cs="Calibri"/>
                <w:b/>
                <w:bCs/>
                <w:color w:val="FFFFFF"/>
                <w:sz w:val="16"/>
                <w:szCs w:val="16"/>
                <w:lang w:eastAsia="en-US"/>
              </w:rPr>
            </w:pPr>
            <w:r w:rsidRPr="00813CC6">
              <w:rPr>
                <w:rFonts w:eastAsia="Times New Roman" w:cs="Calibri"/>
                <w:b/>
                <w:bCs/>
                <w:color w:val="FFFFFF"/>
                <w:sz w:val="16"/>
                <w:szCs w:val="16"/>
                <w:lang w:eastAsia="en-US"/>
              </w:rPr>
              <w:t>Priorità d'investimento</w:t>
            </w:r>
          </w:p>
        </w:tc>
        <w:tc>
          <w:tcPr>
            <w:tcW w:w="960" w:type="dxa"/>
            <w:tcBorders>
              <w:top w:val="nil"/>
              <w:left w:val="nil"/>
              <w:bottom w:val="nil"/>
              <w:right w:val="nil"/>
            </w:tcBorders>
            <w:shd w:val="clear" w:color="auto" w:fill="669748" w:themeFill="accent2" w:themeFillShade="BF"/>
            <w:vAlign w:val="center"/>
            <w:hideMark/>
          </w:tcPr>
          <w:p w14:paraId="0A7CB877" w14:textId="77777777" w:rsidR="005B0FBE" w:rsidRPr="00813CC6" w:rsidRDefault="005B0FBE" w:rsidP="00AF58DF">
            <w:pPr>
              <w:jc w:val="left"/>
              <w:rPr>
                <w:rFonts w:eastAsia="Times New Roman" w:cs="Calibri"/>
                <w:b/>
                <w:bCs/>
                <w:color w:val="FFFFFF"/>
                <w:sz w:val="16"/>
                <w:szCs w:val="16"/>
                <w:lang w:eastAsia="en-US"/>
              </w:rPr>
            </w:pPr>
            <w:r w:rsidRPr="00813CC6">
              <w:rPr>
                <w:rFonts w:eastAsia="Times New Roman" w:cs="Calibri"/>
                <w:b/>
                <w:bCs/>
                <w:color w:val="FFFFFF"/>
                <w:sz w:val="16"/>
                <w:szCs w:val="16"/>
                <w:lang w:eastAsia="en-US"/>
              </w:rPr>
              <w:t>Codice Indicatore</w:t>
            </w:r>
          </w:p>
        </w:tc>
        <w:tc>
          <w:tcPr>
            <w:tcW w:w="4082" w:type="dxa"/>
            <w:tcBorders>
              <w:top w:val="nil"/>
              <w:left w:val="nil"/>
              <w:bottom w:val="nil"/>
              <w:right w:val="nil"/>
            </w:tcBorders>
            <w:shd w:val="clear" w:color="auto" w:fill="669748" w:themeFill="accent2" w:themeFillShade="BF"/>
            <w:vAlign w:val="center"/>
            <w:hideMark/>
          </w:tcPr>
          <w:p w14:paraId="6DBD70E3" w14:textId="77777777" w:rsidR="005B0FBE" w:rsidRPr="00813CC6" w:rsidRDefault="005B0FBE" w:rsidP="00AF58DF">
            <w:pPr>
              <w:jc w:val="left"/>
              <w:rPr>
                <w:rFonts w:eastAsia="Times New Roman" w:cs="Calibri"/>
                <w:b/>
                <w:bCs/>
                <w:color w:val="FFFFFF"/>
                <w:sz w:val="16"/>
                <w:szCs w:val="16"/>
                <w:lang w:eastAsia="en-US"/>
              </w:rPr>
            </w:pPr>
            <w:r w:rsidRPr="00813CC6">
              <w:rPr>
                <w:rFonts w:eastAsia="Times New Roman" w:cs="Calibri"/>
                <w:b/>
                <w:bCs/>
                <w:color w:val="FFFFFF"/>
                <w:sz w:val="16"/>
                <w:szCs w:val="16"/>
                <w:lang w:eastAsia="en-US"/>
              </w:rPr>
              <w:t>Descrizione indicatore</w:t>
            </w:r>
          </w:p>
        </w:tc>
        <w:tc>
          <w:tcPr>
            <w:tcW w:w="1134" w:type="dxa"/>
            <w:tcBorders>
              <w:top w:val="nil"/>
              <w:left w:val="nil"/>
              <w:bottom w:val="nil"/>
              <w:right w:val="nil"/>
            </w:tcBorders>
            <w:shd w:val="clear" w:color="auto" w:fill="669748" w:themeFill="accent2" w:themeFillShade="BF"/>
            <w:vAlign w:val="center"/>
            <w:hideMark/>
          </w:tcPr>
          <w:p w14:paraId="17A0B57F" w14:textId="77777777" w:rsidR="005B0FBE" w:rsidRPr="00813CC6" w:rsidRDefault="005B0FBE" w:rsidP="00AF58DF">
            <w:pPr>
              <w:jc w:val="right"/>
              <w:rPr>
                <w:rFonts w:eastAsia="Times New Roman" w:cs="Calibri"/>
                <w:b/>
                <w:bCs/>
                <w:color w:val="FFFFFF"/>
                <w:sz w:val="16"/>
                <w:szCs w:val="16"/>
                <w:lang w:eastAsia="en-US"/>
              </w:rPr>
            </w:pPr>
            <w:r w:rsidRPr="00813CC6">
              <w:rPr>
                <w:rFonts w:eastAsia="Times New Roman" w:cs="Calibri"/>
                <w:b/>
                <w:bCs/>
                <w:color w:val="FFFFFF"/>
                <w:sz w:val="16"/>
                <w:szCs w:val="16"/>
                <w:lang w:eastAsia="en-US"/>
              </w:rPr>
              <w:t>A - Valore obiettivo 2023 (a)</w:t>
            </w:r>
          </w:p>
        </w:tc>
        <w:tc>
          <w:tcPr>
            <w:tcW w:w="1134" w:type="dxa"/>
            <w:tcBorders>
              <w:top w:val="nil"/>
              <w:left w:val="nil"/>
              <w:bottom w:val="nil"/>
              <w:right w:val="nil"/>
            </w:tcBorders>
            <w:shd w:val="clear" w:color="auto" w:fill="669748" w:themeFill="accent2" w:themeFillShade="BF"/>
            <w:vAlign w:val="center"/>
            <w:hideMark/>
          </w:tcPr>
          <w:p w14:paraId="0B5F7486" w14:textId="77777777" w:rsidR="005B0FBE" w:rsidRPr="00813CC6" w:rsidRDefault="005B0FBE" w:rsidP="00AF58DF">
            <w:pPr>
              <w:jc w:val="right"/>
              <w:rPr>
                <w:rFonts w:eastAsia="Times New Roman" w:cs="Calibri"/>
                <w:b/>
                <w:bCs/>
                <w:color w:val="FFFFFF"/>
                <w:sz w:val="16"/>
                <w:szCs w:val="16"/>
                <w:lang w:eastAsia="en-US"/>
              </w:rPr>
            </w:pPr>
            <w:r w:rsidRPr="00813CC6">
              <w:rPr>
                <w:rFonts w:eastAsia="Times New Roman" w:cs="Calibri"/>
                <w:b/>
                <w:bCs/>
                <w:color w:val="FFFFFF"/>
                <w:sz w:val="16"/>
                <w:szCs w:val="16"/>
                <w:lang w:eastAsia="en-US"/>
              </w:rPr>
              <w:t>B - Valore realizzato 2020 (b)</w:t>
            </w:r>
          </w:p>
        </w:tc>
        <w:tc>
          <w:tcPr>
            <w:tcW w:w="1155" w:type="dxa"/>
            <w:tcBorders>
              <w:top w:val="nil"/>
              <w:left w:val="nil"/>
              <w:bottom w:val="nil"/>
              <w:right w:val="nil"/>
            </w:tcBorders>
            <w:shd w:val="clear" w:color="auto" w:fill="669748" w:themeFill="accent2" w:themeFillShade="BF"/>
            <w:vAlign w:val="center"/>
            <w:hideMark/>
          </w:tcPr>
          <w:p w14:paraId="6805F2AC" w14:textId="77777777" w:rsidR="005B0FBE" w:rsidRPr="00813CC6" w:rsidRDefault="005B0FBE" w:rsidP="00AF58DF">
            <w:pPr>
              <w:jc w:val="right"/>
              <w:rPr>
                <w:rFonts w:eastAsia="Times New Roman" w:cs="Calibri"/>
                <w:b/>
                <w:bCs/>
                <w:color w:val="FFFFFF"/>
                <w:sz w:val="16"/>
                <w:szCs w:val="16"/>
                <w:lang w:eastAsia="en-US"/>
              </w:rPr>
            </w:pPr>
            <w:r w:rsidRPr="00813CC6">
              <w:rPr>
                <w:rFonts w:eastAsia="Times New Roman" w:cs="Calibri"/>
                <w:b/>
                <w:bCs/>
                <w:color w:val="FFFFFF"/>
                <w:sz w:val="16"/>
                <w:szCs w:val="16"/>
                <w:lang w:eastAsia="en-US"/>
              </w:rPr>
              <w:t>B/A - Indice di realizzazione</w:t>
            </w:r>
          </w:p>
        </w:tc>
      </w:tr>
      <w:tr w:rsidR="005B0FBE" w:rsidRPr="00813CC6" w14:paraId="128021FF" w14:textId="77777777" w:rsidTr="00AF58DF">
        <w:trPr>
          <w:trHeight w:val="290"/>
        </w:trPr>
        <w:tc>
          <w:tcPr>
            <w:tcW w:w="1314" w:type="dxa"/>
            <w:tcBorders>
              <w:top w:val="nil"/>
              <w:left w:val="nil"/>
              <w:bottom w:val="single" w:sz="4" w:space="0" w:color="305496"/>
              <w:right w:val="nil"/>
            </w:tcBorders>
            <w:shd w:val="clear" w:color="000000" w:fill="E7E6E6"/>
            <w:vAlign w:val="bottom"/>
            <w:hideMark/>
          </w:tcPr>
          <w:p w14:paraId="559A7CC4" w14:textId="77777777" w:rsidR="005B0FBE" w:rsidRPr="00813CC6" w:rsidRDefault="005B0FBE" w:rsidP="00AF58DF">
            <w:pPr>
              <w:jc w:val="left"/>
              <w:rPr>
                <w:rFonts w:eastAsia="Times New Roman" w:cs="Calibri"/>
                <w:b/>
                <w:bCs/>
                <w:color w:val="000000"/>
                <w:sz w:val="16"/>
                <w:szCs w:val="16"/>
                <w:lang w:eastAsia="en-US"/>
              </w:rPr>
            </w:pPr>
            <w:r w:rsidRPr="00813CC6">
              <w:rPr>
                <w:rFonts w:eastAsia="Times New Roman" w:cs="Calibri"/>
                <w:b/>
                <w:bCs/>
                <w:color w:val="000000"/>
                <w:sz w:val="16"/>
                <w:szCs w:val="16"/>
                <w:lang w:eastAsia="en-US"/>
              </w:rPr>
              <w:t>Asse V</w:t>
            </w:r>
          </w:p>
        </w:tc>
        <w:tc>
          <w:tcPr>
            <w:tcW w:w="960" w:type="dxa"/>
            <w:tcBorders>
              <w:top w:val="nil"/>
              <w:left w:val="nil"/>
              <w:bottom w:val="single" w:sz="4" w:space="0" w:color="305496"/>
              <w:right w:val="nil"/>
            </w:tcBorders>
            <w:shd w:val="clear" w:color="000000" w:fill="E7E6E6"/>
            <w:vAlign w:val="bottom"/>
            <w:hideMark/>
          </w:tcPr>
          <w:p w14:paraId="22B15A06" w14:textId="77777777" w:rsidR="005B0FBE" w:rsidRPr="00813CC6" w:rsidRDefault="005B0FBE" w:rsidP="00AF58DF">
            <w:pPr>
              <w:jc w:val="left"/>
              <w:rPr>
                <w:rFonts w:eastAsia="Times New Roman" w:cs="Calibri"/>
                <w:b/>
                <w:bCs/>
                <w:color w:val="000000"/>
                <w:sz w:val="16"/>
                <w:szCs w:val="16"/>
                <w:lang w:eastAsia="en-US"/>
              </w:rPr>
            </w:pPr>
            <w:r w:rsidRPr="00813CC6">
              <w:rPr>
                <w:rFonts w:eastAsia="Times New Roman" w:cs="Calibri"/>
                <w:b/>
                <w:bCs/>
                <w:color w:val="000000"/>
                <w:sz w:val="16"/>
                <w:szCs w:val="16"/>
                <w:lang w:eastAsia="en-US"/>
              </w:rPr>
              <w:t> </w:t>
            </w:r>
          </w:p>
        </w:tc>
        <w:tc>
          <w:tcPr>
            <w:tcW w:w="4082" w:type="dxa"/>
            <w:tcBorders>
              <w:top w:val="nil"/>
              <w:left w:val="nil"/>
              <w:bottom w:val="single" w:sz="4" w:space="0" w:color="305496"/>
              <w:right w:val="nil"/>
            </w:tcBorders>
            <w:shd w:val="clear" w:color="000000" w:fill="E7E6E6"/>
            <w:vAlign w:val="bottom"/>
            <w:hideMark/>
          </w:tcPr>
          <w:p w14:paraId="08D76476" w14:textId="77777777" w:rsidR="005B0FBE" w:rsidRPr="00813CC6" w:rsidRDefault="005B0FBE" w:rsidP="00AF58DF">
            <w:pPr>
              <w:jc w:val="left"/>
              <w:rPr>
                <w:rFonts w:eastAsia="Times New Roman" w:cs="Calibri"/>
                <w:b/>
                <w:bCs/>
                <w:color w:val="000000"/>
                <w:sz w:val="16"/>
                <w:szCs w:val="16"/>
                <w:lang w:eastAsia="en-US"/>
              </w:rPr>
            </w:pPr>
            <w:r w:rsidRPr="00813CC6">
              <w:rPr>
                <w:rFonts w:eastAsia="Times New Roman" w:cs="Calibri"/>
                <w:b/>
                <w:bCs/>
                <w:color w:val="000000"/>
                <w:sz w:val="16"/>
                <w:szCs w:val="16"/>
                <w:lang w:eastAsia="en-US"/>
              </w:rPr>
              <w:t> </w:t>
            </w:r>
          </w:p>
        </w:tc>
        <w:tc>
          <w:tcPr>
            <w:tcW w:w="1134" w:type="dxa"/>
            <w:tcBorders>
              <w:top w:val="nil"/>
              <w:left w:val="nil"/>
              <w:bottom w:val="single" w:sz="4" w:space="0" w:color="305496"/>
              <w:right w:val="nil"/>
            </w:tcBorders>
            <w:shd w:val="clear" w:color="000000" w:fill="E7E6E6"/>
            <w:vAlign w:val="bottom"/>
            <w:hideMark/>
          </w:tcPr>
          <w:p w14:paraId="4A35B2E5" w14:textId="77777777" w:rsidR="005B0FBE" w:rsidRPr="00813CC6" w:rsidRDefault="005B0FBE" w:rsidP="00AF58DF">
            <w:pPr>
              <w:jc w:val="right"/>
              <w:rPr>
                <w:rFonts w:eastAsia="Times New Roman" w:cs="Calibri"/>
                <w:b/>
                <w:bCs/>
                <w:color w:val="000000"/>
                <w:sz w:val="16"/>
                <w:szCs w:val="16"/>
                <w:lang w:eastAsia="en-US"/>
              </w:rPr>
            </w:pPr>
            <w:r w:rsidRPr="00813CC6">
              <w:rPr>
                <w:rFonts w:eastAsia="Times New Roman" w:cs="Calibri"/>
                <w:b/>
                <w:bCs/>
                <w:color w:val="000000"/>
                <w:sz w:val="16"/>
                <w:szCs w:val="16"/>
                <w:lang w:eastAsia="en-US"/>
              </w:rPr>
              <w:t> </w:t>
            </w:r>
          </w:p>
        </w:tc>
        <w:tc>
          <w:tcPr>
            <w:tcW w:w="1134" w:type="dxa"/>
            <w:tcBorders>
              <w:top w:val="nil"/>
              <w:left w:val="nil"/>
              <w:bottom w:val="single" w:sz="4" w:space="0" w:color="305496"/>
              <w:right w:val="nil"/>
            </w:tcBorders>
            <w:shd w:val="clear" w:color="000000" w:fill="E7E6E6"/>
            <w:vAlign w:val="bottom"/>
            <w:hideMark/>
          </w:tcPr>
          <w:p w14:paraId="091CE598" w14:textId="77777777" w:rsidR="005B0FBE" w:rsidRPr="00813CC6" w:rsidRDefault="005B0FBE" w:rsidP="00AF58DF">
            <w:pPr>
              <w:jc w:val="right"/>
              <w:rPr>
                <w:rFonts w:eastAsia="Times New Roman" w:cs="Calibri"/>
                <w:b/>
                <w:bCs/>
                <w:color w:val="000000"/>
                <w:sz w:val="16"/>
                <w:szCs w:val="16"/>
                <w:lang w:eastAsia="en-US"/>
              </w:rPr>
            </w:pPr>
            <w:r w:rsidRPr="00813CC6">
              <w:rPr>
                <w:rFonts w:eastAsia="Times New Roman" w:cs="Calibri"/>
                <w:b/>
                <w:bCs/>
                <w:color w:val="000000"/>
                <w:sz w:val="16"/>
                <w:szCs w:val="16"/>
                <w:lang w:eastAsia="en-US"/>
              </w:rPr>
              <w:t> </w:t>
            </w:r>
          </w:p>
        </w:tc>
        <w:tc>
          <w:tcPr>
            <w:tcW w:w="1155" w:type="dxa"/>
            <w:tcBorders>
              <w:top w:val="nil"/>
              <w:left w:val="nil"/>
              <w:bottom w:val="single" w:sz="4" w:space="0" w:color="305496"/>
              <w:right w:val="nil"/>
            </w:tcBorders>
            <w:shd w:val="clear" w:color="000000" w:fill="E7E6E6"/>
            <w:vAlign w:val="bottom"/>
            <w:hideMark/>
          </w:tcPr>
          <w:p w14:paraId="34A0A900" w14:textId="77777777" w:rsidR="005B0FBE" w:rsidRPr="00813CC6" w:rsidRDefault="005B0FBE" w:rsidP="00AF58DF">
            <w:pPr>
              <w:jc w:val="right"/>
              <w:rPr>
                <w:rFonts w:eastAsia="Times New Roman" w:cs="Calibri"/>
                <w:b/>
                <w:bCs/>
                <w:color w:val="000000"/>
                <w:sz w:val="16"/>
                <w:szCs w:val="16"/>
                <w:lang w:eastAsia="en-US"/>
              </w:rPr>
            </w:pPr>
            <w:r w:rsidRPr="00813CC6">
              <w:rPr>
                <w:rFonts w:eastAsia="Times New Roman" w:cs="Calibri"/>
                <w:b/>
                <w:bCs/>
                <w:color w:val="000000"/>
                <w:sz w:val="16"/>
                <w:szCs w:val="16"/>
                <w:lang w:eastAsia="en-US"/>
              </w:rPr>
              <w:t> </w:t>
            </w:r>
          </w:p>
        </w:tc>
      </w:tr>
      <w:tr w:rsidR="005B0FBE" w:rsidRPr="00813CC6" w14:paraId="69C69EA5" w14:textId="77777777" w:rsidTr="00813CC6">
        <w:trPr>
          <w:trHeight w:val="313"/>
        </w:trPr>
        <w:tc>
          <w:tcPr>
            <w:tcW w:w="1314" w:type="dxa"/>
            <w:tcBorders>
              <w:top w:val="nil"/>
              <w:left w:val="nil"/>
              <w:bottom w:val="nil"/>
              <w:right w:val="nil"/>
            </w:tcBorders>
            <w:shd w:val="clear" w:color="auto" w:fill="auto"/>
            <w:noWrap/>
            <w:vAlign w:val="bottom"/>
            <w:hideMark/>
          </w:tcPr>
          <w:p w14:paraId="58A4E191" w14:textId="77777777" w:rsidR="005B0FBE" w:rsidRPr="00813CC6" w:rsidRDefault="005B0FBE" w:rsidP="00AF58DF">
            <w:pPr>
              <w:jc w:val="left"/>
              <w:rPr>
                <w:rFonts w:eastAsia="Times New Roman" w:cs="Calibri"/>
                <w:color w:val="000000"/>
                <w:sz w:val="16"/>
                <w:szCs w:val="16"/>
                <w:lang w:eastAsia="en-US"/>
              </w:rPr>
            </w:pPr>
            <w:r w:rsidRPr="00813CC6">
              <w:rPr>
                <w:rFonts w:eastAsia="Times New Roman" w:cs="Calibri"/>
                <w:color w:val="000000"/>
                <w:sz w:val="16"/>
                <w:szCs w:val="16"/>
                <w:lang w:eastAsia="en-US"/>
              </w:rPr>
              <w:t>4c</w:t>
            </w:r>
          </w:p>
        </w:tc>
        <w:tc>
          <w:tcPr>
            <w:tcW w:w="960" w:type="dxa"/>
            <w:tcBorders>
              <w:top w:val="nil"/>
              <w:left w:val="nil"/>
              <w:bottom w:val="nil"/>
              <w:right w:val="nil"/>
            </w:tcBorders>
            <w:shd w:val="clear" w:color="auto" w:fill="auto"/>
            <w:noWrap/>
            <w:vAlign w:val="bottom"/>
            <w:hideMark/>
          </w:tcPr>
          <w:p w14:paraId="486E5EC7" w14:textId="77777777" w:rsidR="005B0FBE" w:rsidRPr="00813CC6" w:rsidRDefault="005B0FBE" w:rsidP="00AF58DF">
            <w:pPr>
              <w:jc w:val="left"/>
              <w:rPr>
                <w:rFonts w:eastAsia="Times New Roman" w:cs="Calibri"/>
                <w:color w:val="000000"/>
                <w:sz w:val="16"/>
                <w:szCs w:val="16"/>
                <w:lang w:eastAsia="en-US"/>
              </w:rPr>
            </w:pPr>
            <w:r w:rsidRPr="00813CC6">
              <w:rPr>
                <w:rFonts w:eastAsia="Times New Roman" w:cs="Calibri"/>
                <w:color w:val="000000"/>
                <w:sz w:val="16"/>
                <w:szCs w:val="16"/>
                <w:lang w:eastAsia="en-US"/>
              </w:rPr>
              <w:t>4c.2</w:t>
            </w:r>
          </w:p>
        </w:tc>
        <w:tc>
          <w:tcPr>
            <w:tcW w:w="4082" w:type="dxa"/>
            <w:tcBorders>
              <w:top w:val="nil"/>
              <w:left w:val="nil"/>
              <w:bottom w:val="nil"/>
              <w:right w:val="nil"/>
            </w:tcBorders>
            <w:shd w:val="clear" w:color="auto" w:fill="auto"/>
            <w:noWrap/>
            <w:vAlign w:val="bottom"/>
            <w:hideMark/>
          </w:tcPr>
          <w:p w14:paraId="4D36CFBC" w14:textId="77777777" w:rsidR="005B0FBE" w:rsidRPr="00813CC6" w:rsidRDefault="005B0FBE" w:rsidP="00AF58DF">
            <w:pPr>
              <w:jc w:val="left"/>
              <w:rPr>
                <w:rFonts w:eastAsia="Times New Roman" w:cs="Calibri"/>
                <w:color w:val="000000"/>
                <w:sz w:val="16"/>
                <w:szCs w:val="16"/>
                <w:lang w:eastAsia="en-US"/>
              </w:rPr>
            </w:pPr>
            <w:r w:rsidRPr="00813CC6">
              <w:rPr>
                <w:rFonts w:eastAsia="Times New Roman" w:cs="Calibri"/>
                <w:color w:val="000000"/>
                <w:sz w:val="16"/>
                <w:szCs w:val="16"/>
                <w:lang w:eastAsia="en-US"/>
              </w:rPr>
              <w:t>Punti illuminanti/luce</w:t>
            </w:r>
          </w:p>
        </w:tc>
        <w:tc>
          <w:tcPr>
            <w:tcW w:w="1134" w:type="dxa"/>
            <w:tcBorders>
              <w:top w:val="nil"/>
              <w:left w:val="nil"/>
              <w:bottom w:val="nil"/>
              <w:right w:val="nil"/>
            </w:tcBorders>
            <w:shd w:val="clear" w:color="auto" w:fill="auto"/>
            <w:noWrap/>
            <w:vAlign w:val="bottom"/>
            <w:hideMark/>
          </w:tcPr>
          <w:p w14:paraId="4ACC3829" w14:textId="77777777" w:rsidR="005B0FBE" w:rsidRPr="00813CC6" w:rsidRDefault="005B0FBE" w:rsidP="00813CC6">
            <w:pPr>
              <w:jc w:val="right"/>
              <w:rPr>
                <w:rFonts w:eastAsia="Times New Roman" w:cs="Calibri"/>
                <w:sz w:val="16"/>
                <w:szCs w:val="16"/>
                <w:lang w:eastAsia="en-US"/>
              </w:rPr>
            </w:pPr>
            <w:r w:rsidRPr="00813CC6">
              <w:rPr>
                <w:rFonts w:eastAsia="Times New Roman" w:cs="Calibri"/>
                <w:sz w:val="16"/>
                <w:szCs w:val="16"/>
                <w:lang w:eastAsia="en-US"/>
              </w:rPr>
              <w:t xml:space="preserve">415 </w:t>
            </w:r>
          </w:p>
        </w:tc>
        <w:tc>
          <w:tcPr>
            <w:tcW w:w="1134" w:type="dxa"/>
            <w:tcBorders>
              <w:top w:val="nil"/>
              <w:left w:val="nil"/>
              <w:bottom w:val="nil"/>
              <w:right w:val="nil"/>
            </w:tcBorders>
            <w:shd w:val="clear" w:color="auto" w:fill="auto"/>
            <w:noWrap/>
            <w:vAlign w:val="bottom"/>
            <w:hideMark/>
          </w:tcPr>
          <w:p w14:paraId="17936712" w14:textId="77777777" w:rsidR="005B0FBE" w:rsidRPr="00813CC6" w:rsidRDefault="005B0FBE" w:rsidP="00813CC6">
            <w:pPr>
              <w:jc w:val="right"/>
              <w:rPr>
                <w:rFonts w:eastAsia="Times New Roman" w:cs="Calibri"/>
                <w:sz w:val="16"/>
                <w:szCs w:val="16"/>
                <w:lang w:eastAsia="en-US"/>
              </w:rPr>
            </w:pPr>
            <w:r w:rsidRPr="00813CC6">
              <w:rPr>
                <w:rFonts w:eastAsia="Times New Roman" w:cs="Calibri"/>
                <w:sz w:val="16"/>
                <w:szCs w:val="16"/>
                <w:lang w:eastAsia="en-US"/>
              </w:rPr>
              <w:t xml:space="preserve">719 </w:t>
            </w:r>
          </w:p>
        </w:tc>
        <w:tc>
          <w:tcPr>
            <w:tcW w:w="1155" w:type="dxa"/>
            <w:tcBorders>
              <w:top w:val="nil"/>
              <w:left w:val="nil"/>
              <w:bottom w:val="nil"/>
              <w:right w:val="nil"/>
            </w:tcBorders>
            <w:shd w:val="clear" w:color="auto" w:fill="auto"/>
            <w:noWrap/>
            <w:vAlign w:val="bottom"/>
            <w:hideMark/>
          </w:tcPr>
          <w:p w14:paraId="0CE5DFC7" w14:textId="77777777" w:rsidR="005B0FBE" w:rsidRPr="00813CC6" w:rsidRDefault="005B0FBE" w:rsidP="00AF58DF">
            <w:pPr>
              <w:jc w:val="right"/>
              <w:rPr>
                <w:rFonts w:eastAsia="Times New Roman" w:cs="Calibri"/>
                <w:color w:val="000000"/>
                <w:sz w:val="16"/>
                <w:szCs w:val="16"/>
                <w:lang w:eastAsia="en-US"/>
              </w:rPr>
            </w:pPr>
            <w:r w:rsidRPr="00813CC6">
              <w:rPr>
                <w:rFonts w:eastAsia="Times New Roman" w:cs="Calibri"/>
                <w:color w:val="000000"/>
                <w:sz w:val="16"/>
                <w:szCs w:val="16"/>
                <w:lang w:eastAsia="en-US"/>
              </w:rPr>
              <w:t>173,25%</w:t>
            </w:r>
          </w:p>
        </w:tc>
      </w:tr>
      <w:tr w:rsidR="005B0FBE" w:rsidRPr="00813CC6" w14:paraId="58CF6E1C" w14:textId="77777777" w:rsidTr="00AF58DF">
        <w:trPr>
          <w:trHeight w:val="290"/>
        </w:trPr>
        <w:tc>
          <w:tcPr>
            <w:tcW w:w="1314" w:type="dxa"/>
            <w:tcBorders>
              <w:top w:val="nil"/>
              <w:left w:val="nil"/>
              <w:bottom w:val="single" w:sz="4" w:space="0" w:color="305496"/>
              <w:right w:val="nil"/>
            </w:tcBorders>
            <w:shd w:val="clear" w:color="000000" w:fill="E7E6E6"/>
            <w:vAlign w:val="bottom"/>
            <w:hideMark/>
          </w:tcPr>
          <w:p w14:paraId="03C1197B" w14:textId="77777777" w:rsidR="005B0FBE" w:rsidRPr="00813CC6" w:rsidRDefault="005B0FBE" w:rsidP="00AF58DF">
            <w:pPr>
              <w:jc w:val="left"/>
              <w:rPr>
                <w:rFonts w:eastAsia="Times New Roman" w:cs="Calibri"/>
                <w:b/>
                <w:bCs/>
                <w:color w:val="000000"/>
                <w:sz w:val="16"/>
                <w:szCs w:val="16"/>
                <w:lang w:eastAsia="en-US"/>
              </w:rPr>
            </w:pPr>
            <w:r w:rsidRPr="00813CC6">
              <w:rPr>
                <w:rFonts w:eastAsia="Times New Roman" w:cs="Calibri"/>
                <w:b/>
                <w:bCs/>
                <w:color w:val="000000"/>
                <w:sz w:val="16"/>
                <w:szCs w:val="16"/>
                <w:lang w:eastAsia="en-US"/>
              </w:rPr>
              <w:t>Asse VI</w:t>
            </w:r>
          </w:p>
        </w:tc>
        <w:tc>
          <w:tcPr>
            <w:tcW w:w="960" w:type="dxa"/>
            <w:tcBorders>
              <w:top w:val="nil"/>
              <w:left w:val="nil"/>
              <w:bottom w:val="single" w:sz="4" w:space="0" w:color="305496"/>
              <w:right w:val="nil"/>
            </w:tcBorders>
            <w:shd w:val="clear" w:color="000000" w:fill="E7E6E6"/>
            <w:vAlign w:val="bottom"/>
            <w:hideMark/>
          </w:tcPr>
          <w:p w14:paraId="21FB28A0" w14:textId="77777777" w:rsidR="005B0FBE" w:rsidRPr="00813CC6" w:rsidRDefault="005B0FBE" w:rsidP="00AF58DF">
            <w:pPr>
              <w:jc w:val="left"/>
              <w:rPr>
                <w:rFonts w:eastAsia="Times New Roman" w:cs="Calibri"/>
                <w:b/>
                <w:bCs/>
                <w:color w:val="000000"/>
                <w:sz w:val="16"/>
                <w:szCs w:val="16"/>
                <w:lang w:eastAsia="en-US"/>
              </w:rPr>
            </w:pPr>
            <w:r w:rsidRPr="00813CC6">
              <w:rPr>
                <w:rFonts w:eastAsia="Times New Roman" w:cs="Calibri"/>
                <w:b/>
                <w:bCs/>
                <w:color w:val="000000"/>
                <w:sz w:val="16"/>
                <w:szCs w:val="16"/>
                <w:lang w:eastAsia="en-US"/>
              </w:rPr>
              <w:t> </w:t>
            </w:r>
          </w:p>
        </w:tc>
        <w:tc>
          <w:tcPr>
            <w:tcW w:w="4082" w:type="dxa"/>
            <w:tcBorders>
              <w:top w:val="nil"/>
              <w:left w:val="nil"/>
              <w:bottom w:val="single" w:sz="4" w:space="0" w:color="305496"/>
              <w:right w:val="nil"/>
            </w:tcBorders>
            <w:shd w:val="clear" w:color="000000" w:fill="E7E6E6"/>
            <w:vAlign w:val="bottom"/>
            <w:hideMark/>
          </w:tcPr>
          <w:p w14:paraId="3B524AA8" w14:textId="77777777" w:rsidR="005B0FBE" w:rsidRPr="00813CC6" w:rsidRDefault="005B0FBE" w:rsidP="00AF58DF">
            <w:pPr>
              <w:jc w:val="left"/>
              <w:rPr>
                <w:rFonts w:eastAsia="Times New Roman" w:cs="Calibri"/>
                <w:b/>
                <w:bCs/>
                <w:color w:val="000000"/>
                <w:sz w:val="16"/>
                <w:szCs w:val="16"/>
                <w:lang w:eastAsia="en-US"/>
              </w:rPr>
            </w:pPr>
            <w:r w:rsidRPr="00813CC6">
              <w:rPr>
                <w:rFonts w:eastAsia="Times New Roman" w:cs="Calibri"/>
                <w:b/>
                <w:bCs/>
                <w:color w:val="000000"/>
                <w:sz w:val="16"/>
                <w:szCs w:val="16"/>
                <w:lang w:eastAsia="en-US"/>
              </w:rPr>
              <w:t> </w:t>
            </w:r>
          </w:p>
        </w:tc>
        <w:tc>
          <w:tcPr>
            <w:tcW w:w="1134" w:type="dxa"/>
            <w:tcBorders>
              <w:top w:val="nil"/>
              <w:left w:val="nil"/>
              <w:bottom w:val="single" w:sz="4" w:space="0" w:color="305496"/>
              <w:right w:val="nil"/>
            </w:tcBorders>
            <w:shd w:val="clear" w:color="000000" w:fill="E7E6E6"/>
            <w:vAlign w:val="bottom"/>
            <w:hideMark/>
          </w:tcPr>
          <w:p w14:paraId="5F06E246" w14:textId="77777777" w:rsidR="005B0FBE" w:rsidRPr="00813CC6" w:rsidRDefault="005B0FBE" w:rsidP="00813CC6">
            <w:pPr>
              <w:jc w:val="right"/>
              <w:rPr>
                <w:rFonts w:eastAsia="Times New Roman" w:cs="Calibri"/>
                <w:b/>
                <w:bCs/>
                <w:color w:val="000000"/>
                <w:sz w:val="16"/>
                <w:szCs w:val="16"/>
                <w:lang w:eastAsia="en-US"/>
              </w:rPr>
            </w:pPr>
            <w:r w:rsidRPr="00813CC6">
              <w:rPr>
                <w:rFonts w:eastAsia="Times New Roman" w:cs="Calibri"/>
                <w:b/>
                <w:bCs/>
                <w:color w:val="000000"/>
                <w:sz w:val="16"/>
                <w:szCs w:val="16"/>
                <w:lang w:eastAsia="en-US"/>
              </w:rPr>
              <w:t> </w:t>
            </w:r>
          </w:p>
        </w:tc>
        <w:tc>
          <w:tcPr>
            <w:tcW w:w="1134" w:type="dxa"/>
            <w:tcBorders>
              <w:top w:val="nil"/>
              <w:left w:val="nil"/>
              <w:bottom w:val="single" w:sz="4" w:space="0" w:color="305496"/>
              <w:right w:val="nil"/>
            </w:tcBorders>
            <w:shd w:val="clear" w:color="000000" w:fill="E7E6E6"/>
            <w:vAlign w:val="bottom"/>
            <w:hideMark/>
          </w:tcPr>
          <w:p w14:paraId="26239011" w14:textId="77777777" w:rsidR="005B0FBE" w:rsidRPr="00813CC6" w:rsidRDefault="005B0FBE" w:rsidP="00813CC6">
            <w:pPr>
              <w:jc w:val="right"/>
              <w:rPr>
                <w:rFonts w:eastAsia="Times New Roman" w:cs="Calibri"/>
                <w:b/>
                <w:bCs/>
                <w:color w:val="000000"/>
                <w:sz w:val="16"/>
                <w:szCs w:val="16"/>
                <w:lang w:eastAsia="en-US"/>
              </w:rPr>
            </w:pPr>
            <w:r w:rsidRPr="00813CC6">
              <w:rPr>
                <w:rFonts w:eastAsia="Times New Roman" w:cs="Calibri"/>
                <w:b/>
                <w:bCs/>
                <w:color w:val="000000"/>
                <w:sz w:val="16"/>
                <w:szCs w:val="16"/>
                <w:lang w:eastAsia="en-US"/>
              </w:rPr>
              <w:t> </w:t>
            </w:r>
          </w:p>
        </w:tc>
        <w:tc>
          <w:tcPr>
            <w:tcW w:w="1155" w:type="dxa"/>
            <w:tcBorders>
              <w:top w:val="nil"/>
              <w:left w:val="nil"/>
              <w:bottom w:val="single" w:sz="4" w:space="0" w:color="305496"/>
              <w:right w:val="nil"/>
            </w:tcBorders>
            <w:shd w:val="clear" w:color="000000" w:fill="E7E6E6"/>
            <w:vAlign w:val="bottom"/>
            <w:hideMark/>
          </w:tcPr>
          <w:p w14:paraId="3D5AA096" w14:textId="77777777" w:rsidR="005B0FBE" w:rsidRPr="00813CC6" w:rsidRDefault="005B0FBE" w:rsidP="00AF58DF">
            <w:pPr>
              <w:jc w:val="right"/>
              <w:rPr>
                <w:rFonts w:eastAsia="Times New Roman" w:cs="Calibri"/>
                <w:b/>
                <w:bCs/>
                <w:color w:val="000000"/>
                <w:sz w:val="16"/>
                <w:szCs w:val="16"/>
                <w:lang w:eastAsia="en-US"/>
              </w:rPr>
            </w:pPr>
            <w:r w:rsidRPr="00813CC6">
              <w:rPr>
                <w:rFonts w:eastAsia="Times New Roman" w:cs="Calibri"/>
                <w:b/>
                <w:bCs/>
                <w:color w:val="000000"/>
                <w:sz w:val="16"/>
                <w:szCs w:val="16"/>
                <w:lang w:eastAsia="en-US"/>
              </w:rPr>
              <w:t> </w:t>
            </w:r>
          </w:p>
        </w:tc>
      </w:tr>
      <w:tr w:rsidR="005B0FBE" w:rsidRPr="00813CC6" w14:paraId="0AD89CDC" w14:textId="77777777" w:rsidTr="00AF58DF">
        <w:trPr>
          <w:trHeight w:val="290"/>
        </w:trPr>
        <w:tc>
          <w:tcPr>
            <w:tcW w:w="1314" w:type="dxa"/>
            <w:tcBorders>
              <w:top w:val="nil"/>
              <w:left w:val="nil"/>
              <w:bottom w:val="single" w:sz="4" w:space="0" w:color="305496"/>
              <w:right w:val="nil"/>
            </w:tcBorders>
            <w:shd w:val="clear" w:color="auto" w:fill="auto"/>
            <w:noWrap/>
            <w:vAlign w:val="bottom"/>
            <w:hideMark/>
          </w:tcPr>
          <w:p w14:paraId="28C01D49" w14:textId="77777777" w:rsidR="005B0FBE" w:rsidRPr="00813CC6" w:rsidRDefault="005B0FBE" w:rsidP="00AF58DF">
            <w:pPr>
              <w:jc w:val="left"/>
              <w:rPr>
                <w:rFonts w:eastAsia="Times New Roman" w:cs="Calibri"/>
                <w:color w:val="000000"/>
                <w:sz w:val="16"/>
                <w:szCs w:val="16"/>
                <w:lang w:eastAsia="en-US"/>
              </w:rPr>
            </w:pPr>
            <w:r w:rsidRPr="00813CC6">
              <w:rPr>
                <w:rFonts w:eastAsia="Times New Roman" w:cs="Calibri"/>
                <w:color w:val="000000"/>
                <w:sz w:val="16"/>
                <w:szCs w:val="16"/>
                <w:lang w:eastAsia="en-US"/>
              </w:rPr>
              <w:t>6c</w:t>
            </w:r>
          </w:p>
        </w:tc>
        <w:tc>
          <w:tcPr>
            <w:tcW w:w="960" w:type="dxa"/>
            <w:tcBorders>
              <w:top w:val="nil"/>
              <w:left w:val="nil"/>
              <w:bottom w:val="single" w:sz="4" w:space="0" w:color="305496"/>
              <w:right w:val="nil"/>
            </w:tcBorders>
            <w:shd w:val="clear" w:color="auto" w:fill="auto"/>
            <w:noWrap/>
            <w:vAlign w:val="bottom"/>
            <w:hideMark/>
          </w:tcPr>
          <w:p w14:paraId="6D304FAF" w14:textId="77777777" w:rsidR="005B0FBE" w:rsidRPr="00813CC6" w:rsidRDefault="005B0FBE" w:rsidP="00AF58DF">
            <w:pPr>
              <w:jc w:val="left"/>
              <w:rPr>
                <w:rFonts w:eastAsia="Times New Roman" w:cs="Calibri"/>
                <w:color w:val="000000"/>
                <w:sz w:val="16"/>
                <w:szCs w:val="16"/>
                <w:lang w:eastAsia="en-US"/>
              </w:rPr>
            </w:pPr>
            <w:r w:rsidRPr="00813CC6">
              <w:rPr>
                <w:rFonts w:eastAsia="Times New Roman" w:cs="Calibri"/>
                <w:color w:val="000000"/>
                <w:sz w:val="16"/>
                <w:szCs w:val="16"/>
                <w:lang w:eastAsia="en-US"/>
              </w:rPr>
              <w:t xml:space="preserve">6c.1 </w:t>
            </w:r>
          </w:p>
        </w:tc>
        <w:tc>
          <w:tcPr>
            <w:tcW w:w="4082" w:type="dxa"/>
            <w:tcBorders>
              <w:top w:val="nil"/>
              <w:left w:val="nil"/>
              <w:bottom w:val="single" w:sz="4" w:space="0" w:color="305496"/>
              <w:right w:val="nil"/>
            </w:tcBorders>
            <w:shd w:val="clear" w:color="auto" w:fill="auto"/>
            <w:noWrap/>
            <w:vAlign w:val="bottom"/>
            <w:hideMark/>
          </w:tcPr>
          <w:p w14:paraId="716DE86E" w14:textId="77777777" w:rsidR="005B0FBE" w:rsidRPr="00813CC6" w:rsidRDefault="005B0FBE" w:rsidP="00AF58DF">
            <w:pPr>
              <w:jc w:val="left"/>
              <w:rPr>
                <w:rFonts w:eastAsia="Times New Roman" w:cs="Calibri"/>
                <w:color w:val="000000"/>
                <w:sz w:val="16"/>
                <w:szCs w:val="16"/>
                <w:lang w:eastAsia="en-US"/>
              </w:rPr>
            </w:pPr>
            <w:r w:rsidRPr="00813CC6">
              <w:rPr>
                <w:rFonts w:eastAsia="Times New Roman" w:cs="Calibri"/>
                <w:color w:val="000000"/>
                <w:sz w:val="16"/>
                <w:szCs w:val="16"/>
                <w:lang w:eastAsia="en-US"/>
              </w:rPr>
              <w:t>Superficie oggetto di intervento (m</w:t>
            </w:r>
            <w:r w:rsidRPr="00813CC6">
              <w:rPr>
                <w:rFonts w:eastAsia="Times New Roman" w:cs="Calibri"/>
                <w:color w:val="000000"/>
                <w:sz w:val="16"/>
                <w:szCs w:val="16"/>
                <w:vertAlign w:val="superscript"/>
                <w:lang w:eastAsia="en-US"/>
              </w:rPr>
              <w:t>2</w:t>
            </w:r>
            <w:r w:rsidRPr="00813CC6">
              <w:rPr>
                <w:rFonts w:eastAsia="Times New Roman" w:cs="Calibri"/>
                <w:color w:val="000000"/>
                <w:sz w:val="16"/>
                <w:szCs w:val="16"/>
                <w:lang w:eastAsia="en-US"/>
              </w:rPr>
              <w:t>)</w:t>
            </w:r>
          </w:p>
        </w:tc>
        <w:tc>
          <w:tcPr>
            <w:tcW w:w="1134" w:type="dxa"/>
            <w:tcBorders>
              <w:top w:val="nil"/>
              <w:left w:val="nil"/>
              <w:bottom w:val="single" w:sz="4" w:space="0" w:color="305496"/>
              <w:right w:val="nil"/>
            </w:tcBorders>
            <w:shd w:val="clear" w:color="auto" w:fill="auto"/>
            <w:noWrap/>
            <w:vAlign w:val="bottom"/>
            <w:hideMark/>
          </w:tcPr>
          <w:p w14:paraId="207AA78B" w14:textId="77777777" w:rsidR="005B0FBE" w:rsidRPr="00813CC6" w:rsidRDefault="005B0FBE" w:rsidP="00813CC6">
            <w:pPr>
              <w:jc w:val="right"/>
              <w:rPr>
                <w:rFonts w:eastAsia="Times New Roman" w:cs="Calibri"/>
                <w:sz w:val="16"/>
                <w:szCs w:val="16"/>
                <w:lang w:eastAsia="en-US"/>
              </w:rPr>
            </w:pPr>
            <w:r w:rsidRPr="00813CC6">
              <w:rPr>
                <w:rFonts w:eastAsia="Times New Roman" w:cs="Calibri"/>
                <w:sz w:val="16"/>
                <w:szCs w:val="16"/>
                <w:lang w:eastAsia="en-US"/>
              </w:rPr>
              <w:t xml:space="preserve">11.200 </w:t>
            </w:r>
          </w:p>
        </w:tc>
        <w:tc>
          <w:tcPr>
            <w:tcW w:w="1134" w:type="dxa"/>
            <w:tcBorders>
              <w:top w:val="nil"/>
              <w:left w:val="nil"/>
              <w:bottom w:val="single" w:sz="4" w:space="0" w:color="305496"/>
              <w:right w:val="nil"/>
            </w:tcBorders>
            <w:shd w:val="clear" w:color="auto" w:fill="auto"/>
            <w:noWrap/>
            <w:vAlign w:val="bottom"/>
            <w:hideMark/>
          </w:tcPr>
          <w:p w14:paraId="1C7A4269" w14:textId="77777777" w:rsidR="005B0FBE" w:rsidRPr="00813CC6" w:rsidRDefault="005B0FBE" w:rsidP="00813CC6">
            <w:pPr>
              <w:jc w:val="right"/>
              <w:rPr>
                <w:rFonts w:eastAsia="Times New Roman" w:cs="Calibri"/>
                <w:sz w:val="16"/>
                <w:szCs w:val="16"/>
                <w:lang w:eastAsia="en-US"/>
              </w:rPr>
            </w:pPr>
            <w:r w:rsidRPr="00813CC6">
              <w:rPr>
                <w:rFonts w:eastAsia="Times New Roman" w:cs="Calibri"/>
                <w:sz w:val="16"/>
                <w:szCs w:val="16"/>
                <w:lang w:eastAsia="en-US"/>
              </w:rPr>
              <w:t xml:space="preserve">2.400 </w:t>
            </w:r>
          </w:p>
        </w:tc>
        <w:tc>
          <w:tcPr>
            <w:tcW w:w="1155" w:type="dxa"/>
            <w:tcBorders>
              <w:top w:val="nil"/>
              <w:left w:val="nil"/>
              <w:bottom w:val="single" w:sz="4" w:space="0" w:color="305496"/>
              <w:right w:val="nil"/>
            </w:tcBorders>
            <w:shd w:val="clear" w:color="auto" w:fill="auto"/>
            <w:noWrap/>
            <w:vAlign w:val="bottom"/>
            <w:hideMark/>
          </w:tcPr>
          <w:p w14:paraId="1952717E" w14:textId="77777777" w:rsidR="005B0FBE" w:rsidRPr="00813CC6" w:rsidRDefault="005B0FBE" w:rsidP="00AF58DF">
            <w:pPr>
              <w:jc w:val="right"/>
              <w:rPr>
                <w:rFonts w:eastAsia="Times New Roman" w:cs="Calibri"/>
                <w:color w:val="000000"/>
                <w:sz w:val="16"/>
                <w:szCs w:val="16"/>
                <w:lang w:eastAsia="en-US"/>
              </w:rPr>
            </w:pPr>
            <w:r w:rsidRPr="00813CC6">
              <w:rPr>
                <w:rFonts w:eastAsia="Times New Roman" w:cs="Calibri"/>
                <w:color w:val="000000"/>
                <w:sz w:val="16"/>
                <w:szCs w:val="16"/>
                <w:lang w:eastAsia="en-US"/>
              </w:rPr>
              <w:t>21,43%</w:t>
            </w:r>
          </w:p>
        </w:tc>
      </w:tr>
    </w:tbl>
    <w:p w14:paraId="33064C3C" w14:textId="77777777" w:rsidR="005B0FBE" w:rsidRDefault="005B0FBE" w:rsidP="005B0FBE">
      <w:pPr>
        <w:rPr>
          <w:sz w:val="18"/>
          <w:szCs w:val="18"/>
        </w:rPr>
      </w:pPr>
      <w:r>
        <w:rPr>
          <w:sz w:val="18"/>
          <w:szCs w:val="18"/>
        </w:rPr>
        <w:t>Fonte: Rapporto Annuale di Attuazione 2020, dati aggiornati al 31.12.2020.</w:t>
      </w:r>
    </w:p>
    <w:p w14:paraId="13A76900" w14:textId="77777777" w:rsidR="005B0FBE" w:rsidRPr="00736D99" w:rsidRDefault="005B0FBE" w:rsidP="005B0FBE">
      <w:pPr>
        <w:rPr>
          <w:sz w:val="18"/>
          <w:szCs w:val="18"/>
        </w:rPr>
      </w:pPr>
      <w:r w:rsidRPr="00736D99">
        <w:rPr>
          <w:sz w:val="18"/>
          <w:szCs w:val="18"/>
        </w:rPr>
        <w:t xml:space="preserve">Nota: </w:t>
      </w:r>
      <w:r>
        <w:rPr>
          <w:sz w:val="18"/>
          <w:szCs w:val="18"/>
        </w:rPr>
        <w:t>Nella tabella vengono riportati solamente gli indicatori che al 2020 presentano un valore realizzato maggiore di zero.</w:t>
      </w:r>
    </w:p>
    <w:p w14:paraId="1873D841" w14:textId="77777777" w:rsidR="005B0FBE" w:rsidRDefault="005B0FBE" w:rsidP="005B0FBE"/>
    <w:p w14:paraId="622E1E42" w14:textId="77777777" w:rsidR="00825203" w:rsidRDefault="00825203" w:rsidP="005B0FBE"/>
    <w:p w14:paraId="2F3BF262" w14:textId="36FB4FB8" w:rsidR="005B0FBE" w:rsidRDefault="005B0FBE" w:rsidP="005B0FBE">
      <w:r w:rsidRPr="00FF30A9">
        <w:t xml:space="preserve">La tabella seguente riporta l’avanzamento degli indicatori di risultato </w:t>
      </w:r>
      <w:r>
        <w:t xml:space="preserve">degli assi del POR FESR afferenti all’area socio-economica </w:t>
      </w:r>
      <w:r w:rsidRPr="00FF30A9">
        <w:t xml:space="preserve">a fine 2020. </w:t>
      </w:r>
      <w:r>
        <w:t>Gli interventi hanno avuto gli effetti sperati per quanto riguarda la priorità d’investimento 4c</w:t>
      </w:r>
      <w:r w:rsidR="008B0B44">
        <w:t xml:space="preserve"> nell’ambito della </w:t>
      </w:r>
      <w:r>
        <w:t>quale il numero di edifici pubblici di classe energetica E, F e G si sono ridotti in maniera consistente passando da 13.700 nel 2014 a 6.952 a fine 2020, molto vicino al valore target di 6.500. Gli altri indicatori non riportano risultati altrettanto soddisfacenti, sebbene per alcuni si riscontri un modesto avanzamento rispetto alla baseline</w:t>
      </w:r>
      <w:r w:rsidR="00813CC6">
        <w:t>,</w:t>
      </w:r>
      <w:r>
        <w:t xml:space="preserve"> questi sembrano ancora troppo distanti dal valore target. Inoltre, alcuni indicatori relativi ai c</w:t>
      </w:r>
      <w:r w:rsidRPr="00565BF9">
        <w:t>onsumi di energia elettrica delle imprese dell’industria</w:t>
      </w:r>
      <w:r>
        <w:t xml:space="preserve"> e utilizzo dei mezzi pubblici sembrano peggiorare rispetto al valore base, allontanandosi co</w:t>
      </w:r>
      <w:r w:rsidR="00735C60">
        <w:t>s</w:t>
      </w:r>
      <w:r>
        <w:t>ì ancor di più dagli obiettivi fissati per il 2023.</w:t>
      </w:r>
    </w:p>
    <w:p w14:paraId="29CE58FE" w14:textId="77777777" w:rsidR="005B0FBE" w:rsidRDefault="005B0FBE" w:rsidP="005B0FBE"/>
    <w:p w14:paraId="6C38D55F" w14:textId="77777777" w:rsidR="005B0FBE" w:rsidRDefault="005B0FBE" w:rsidP="005B0FBE">
      <w:pPr>
        <w:pStyle w:val="Didascalia"/>
      </w:pPr>
      <w:r w:rsidRPr="002515F0">
        <w:t xml:space="preserve">Tabella 6. Indicatori di </w:t>
      </w:r>
      <w:r>
        <w:t>risultato</w:t>
      </w:r>
      <w:r w:rsidRPr="002515F0">
        <w:t xml:space="preserve"> selezionati FESR – Area </w:t>
      </w:r>
      <w:r>
        <w:t>socio-economica</w:t>
      </w:r>
    </w:p>
    <w:tbl>
      <w:tblPr>
        <w:tblW w:w="4992" w:type="pct"/>
        <w:tblLook w:val="04A0" w:firstRow="1" w:lastRow="0" w:firstColumn="1" w:lastColumn="0" w:noHBand="0" w:noVBand="1"/>
      </w:tblPr>
      <w:tblGrid>
        <w:gridCol w:w="976"/>
        <w:gridCol w:w="4230"/>
        <w:gridCol w:w="985"/>
        <w:gridCol w:w="1127"/>
        <w:gridCol w:w="930"/>
        <w:gridCol w:w="1375"/>
      </w:tblGrid>
      <w:tr w:rsidR="005B0FBE" w:rsidRPr="00813CC6" w14:paraId="11BF4D37" w14:textId="77777777" w:rsidTr="003270F9">
        <w:trPr>
          <w:trHeight w:val="658"/>
        </w:trPr>
        <w:tc>
          <w:tcPr>
            <w:tcW w:w="353" w:type="pct"/>
            <w:tcBorders>
              <w:top w:val="nil"/>
              <w:left w:val="nil"/>
              <w:bottom w:val="nil"/>
              <w:right w:val="nil"/>
            </w:tcBorders>
            <w:shd w:val="clear" w:color="auto" w:fill="669748" w:themeFill="accent2" w:themeFillShade="BF"/>
            <w:vAlign w:val="bottom"/>
            <w:hideMark/>
          </w:tcPr>
          <w:p w14:paraId="5B5E9A31" w14:textId="77777777" w:rsidR="005B0FBE" w:rsidRPr="00813CC6" w:rsidRDefault="005B0FBE" w:rsidP="00AF58DF">
            <w:pPr>
              <w:jc w:val="left"/>
              <w:rPr>
                <w:rFonts w:eastAsia="Times New Roman" w:cs="Calibri"/>
                <w:b/>
                <w:bCs/>
                <w:color w:val="FFFFFF"/>
                <w:sz w:val="18"/>
                <w:szCs w:val="18"/>
                <w:lang w:eastAsia="en-US"/>
              </w:rPr>
            </w:pPr>
            <w:r w:rsidRPr="00813CC6">
              <w:rPr>
                <w:rFonts w:eastAsia="Times New Roman" w:cs="Calibri"/>
                <w:b/>
                <w:bCs/>
                <w:color w:val="FFFFFF"/>
                <w:sz w:val="18"/>
                <w:szCs w:val="18"/>
                <w:lang w:eastAsia="en-US"/>
              </w:rPr>
              <w:t>Codice indicatore</w:t>
            </w:r>
          </w:p>
        </w:tc>
        <w:tc>
          <w:tcPr>
            <w:tcW w:w="2229" w:type="pct"/>
            <w:tcBorders>
              <w:top w:val="nil"/>
              <w:left w:val="nil"/>
              <w:bottom w:val="nil"/>
              <w:right w:val="nil"/>
            </w:tcBorders>
            <w:shd w:val="clear" w:color="auto" w:fill="669748" w:themeFill="accent2" w:themeFillShade="BF"/>
            <w:vAlign w:val="bottom"/>
            <w:hideMark/>
          </w:tcPr>
          <w:p w14:paraId="574E2D3B" w14:textId="77777777" w:rsidR="005B0FBE" w:rsidRPr="00813CC6" w:rsidRDefault="005B0FBE" w:rsidP="00AF58DF">
            <w:pPr>
              <w:jc w:val="left"/>
              <w:rPr>
                <w:rFonts w:eastAsia="Times New Roman" w:cs="Calibri"/>
                <w:b/>
                <w:bCs/>
                <w:color w:val="FFFFFF"/>
                <w:sz w:val="18"/>
                <w:szCs w:val="18"/>
                <w:lang w:eastAsia="en-US"/>
              </w:rPr>
            </w:pPr>
            <w:r w:rsidRPr="00813CC6">
              <w:rPr>
                <w:rFonts w:eastAsia="Times New Roman" w:cs="Calibri"/>
                <w:b/>
                <w:bCs/>
                <w:color w:val="FFFFFF"/>
                <w:sz w:val="18"/>
                <w:szCs w:val="18"/>
                <w:lang w:eastAsia="en-US"/>
              </w:rPr>
              <w:t>Indicatore di risultato</w:t>
            </w:r>
          </w:p>
        </w:tc>
        <w:tc>
          <w:tcPr>
            <w:tcW w:w="543" w:type="pct"/>
            <w:tcBorders>
              <w:top w:val="nil"/>
              <w:left w:val="nil"/>
              <w:bottom w:val="nil"/>
              <w:right w:val="nil"/>
            </w:tcBorders>
            <w:shd w:val="clear" w:color="auto" w:fill="669748" w:themeFill="accent2" w:themeFillShade="BF"/>
            <w:vAlign w:val="bottom"/>
            <w:hideMark/>
          </w:tcPr>
          <w:p w14:paraId="6D2A0BB2" w14:textId="77777777" w:rsidR="005B0FBE" w:rsidRPr="00813CC6" w:rsidRDefault="005B0FBE" w:rsidP="00AF58DF">
            <w:pPr>
              <w:jc w:val="right"/>
              <w:rPr>
                <w:rFonts w:eastAsia="Times New Roman" w:cs="Calibri"/>
                <w:b/>
                <w:bCs/>
                <w:color w:val="FFFFFF"/>
                <w:sz w:val="18"/>
                <w:szCs w:val="18"/>
                <w:lang w:eastAsia="en-US"/>
              </w:rPr>
            </w:pPr>
            <w:r w:rsidRPr="00813CC6">
              <w:rPr>
                <w:rFonts w:eastAsia="Times New Roman" w:cs="Calibri"/>
                <w:b/>
                <w:bCs/>
                <w:color w:val="FFFFFF"/>
                <w:sz w:val="18"/>
                <w:szCs w:val="18"/>
                <w:lang w:eastAsia="en-US"/>
              </w:rPr>
              <w:t>Valore base</w:t>
            </w:r>
          </w:p>
        </w:tc>
        <w:tc>
          <w:tcPr>
            <w:tcW w:w="616" w:type="pct"/>
            <w:tcBorders>
              <w:top w:val="nil"/>
              <w:left w:val="nil"/>
              <w:bottom w:val="nil"/>
              <w:right w:val="nil"/>
            </w:tcBorders>
            <w:shd w:val="clear" w:color="auto" w:fill="669748" w:themeFill="accent2" w:themeFillShade="BF"/>
            <w:vAlign w:val="bottom"/>
            <w:hideMark/>
          </w:tcPr>
          <w:p w14:paraId="010F8EA6" w14:textId="77777777" w:rsidR="005B0FBE" w:rsidRPr="00813CC6" w:rsidRDefault="005B0FBE" w:rsidP="00AF58DF">
            <w:pPr>
              <w:jc w:val="right"/>
              <w:rPr>
                <w:rFonts w:eastAsia="Times New Roman" w:cs="Calibri"/>
                <w:b/>
                <w:bCs/>
                <w:color w:val="FFFFFF"/>
                <w:sz w:val="18"/>
                <w:szCs w:val="18"/>
                <w:lang w:eastAsia="en-US"/>
              </w:rPr>
            </w:pPr>
            <w:r w:rsidRPr="00813CC6">
              <w:rPr>
                <w:rFonts w:eastAsia="Times New Roman" w:cs="Calibri"/>
                <w:b/>
                <w:bCs/>
                <w:color w:val="FFFFFF"/>
                <w:sz w:val="18"/>
                <w:szCs w:val="18"/>
                <w:lang w:eastAsia="en-US"/>
              </w:rPr>
              <w:t>Anno di riferimento del valore base</w:t>
            </w:r>
          </w:p>
        </w:tc>
        <w:tc>
          <w:tcPr>
            <w:tcW w:w="514" w:type="pct"/>
            <w:tcBorders>
              <w:top w:val="nil"/>
              <w:left w:val="nil"/>
              <w:bottom w:val="nil"/>
              <w:right w:val="nil"/>
            </w:tcBorders>
            <w:shd w:val="clear" w:color="auto" w:fill="669748" w:themeFill="accent2" w:themeFillShade="BF"/>
            <w:vAlign w:val="bottom"/>
            <w:hideMark/>
          </w:tcPr>
          <w:p w14:paraId="4CE027D5" w14:textId="77777777" w:rsidR="005B0FBE" w:rsidRPr="00813CC6" w:rsidRDefault="005B0FBE" w:rsidP="00AF58DF">
            <w:pPr>
              <w:jc w:val="right"/>
              <w:rPr>
                <w:rFonts w:eastAsia="Times New Roman" w:cs="Calibri"/>
                <w:b/>
                <w:bCs/>
                <w:color w:val="FFFFFF"/>
                <w:sz w:val="18"/>
                <w:szCs w:val="18"/>
                <w:lang w:eastAsia="en-US"/>
              </w:rPr>
            </w:pPr>
            <w:r w:rsidRPr="00813CC6">
              <w:rPr>
                <w:rFonts w:eastAsia="Times New Roman" w:cs="Calibri"/>
                <w:b/>
                <w:bCs/>
                <w:color w:val="FFFFFF"/>
                <w:sz w:val="18"/>
                <w:szCs w:val="18"/>
                <w:lang w:eastAsia="en-US"/>
              </w:rPr>
              <w:t>Valore obiettivo (2023)</w:t>
            </w:r>
          </w:p>
        </w:tc>
        <w:tc>
          <w:tcPr>
            <w:tcW w:w="745" w:type="pct"/>
            <w:tcBorders>
              <w:top w:val="nil"/>
              <w:left w:val="nil"/>
              <w:bottom w:val="nil"/>
              <w:right w:val="nil"/>
            </w:tcBorders>
            <w:shd w:val="clear" w:color="auto" w:fill="669748" w:themeFill="accent2" w:themeFillShade="BF"/>
            <w:vAlign w:val="bottom"/>
            <w:hideMark/>
          </w:tcPr>
          <w:p w14:paraId="4E64F2B1" w14:textId="77777777" w:rsidR="005B0FBE" w:rsidRPr="00813CC6" w:rsidRDefault="005B0FBE" w:rsidP="00AF58DF">
            <w:pPr>
              <w:jc w:val="right"/>
              <w:rPr>
                <w:rFonts w:eastAsia="Times New Roman" w:cs="Calibri"/>
                <w:b/>
                <w:bCs/>
                <w:color w:val="FFFFFF"/>
                <w:sz w:val="18"/>
                <w:szCs w:val="18"/>
                <w:lang w:eastAsia="en-US"/>
              </w:rPr>
            </w:pPr>
            <w:r w:rsidRPr="00813CC6">
              <w:rPr>
                <w:rFonts w:eastAsia="Times New Roman" w:cs="Calibri"/>
                <w:b/>
                <w:bCs/>
                <w:color w:val="FFFFFF"/>
                <w:sz w:val="18"/>
                <w:szCs w:val="18"/>
                <w:lang w:eastAsia="en-US"/>
              </w:rPr>
              <w:t>U</w:t>
            </w:r>
            <w:r w:rsidR="00813CC6">
              <w:rPr>
                <w:rFonts w:eastAsia="Times New Roman" w:cs="Calibri"/>
                <w:b/>
                <w:bCs/>
                <w:color w:val="FFFFFF"/>
                <w:sz w:val="18"/>
                <w:szCs w:val="18"/>
                <w:lang w:eastAsia="en-US"/>
              </w:rPr>
              <w:t>l</w:t>
            </w:r>
            <w:r w:rsidRPr="00813CC6">
              <w:rPr>
                <w:rFonts w:eastAsia="Times New Roman" w:cs="Calibri"/>
                <w:b/>
                <w:bCs/>
                <w:color w:val="FFFFFF"/>
                <w:sz w:val="18"/>
                <w:szCs w:val="18"/>
                <w:lang w:eastAsia="en-US"/>
              </w:rPr>
              <w:t>timo dato disponibile</w:t>
            </w:r>
          </w:p>
        </w:tc>
      </w:tr>
      <w:tr w:rsidR="005B0FBE" w:rsidRPr="00813CC6" w14:paraId="1BD392BA" w14:textId="77777777" w:rsidTr="00813CC6">
        <w:trPr>
          <w:trHeight w:val="293"/>
        </w:trPr>
        <w:tc>
          <w:tcPr>
            <w:tcW w:w="353" w:type="pct"/>
            <w:tcBorders>
              <w:top w:val="nil"/>
              <w:left w:val="nil"/>
              <w:bottom w:val="single" w:sz="4" w:space="0" w:color="305496"/>
              <w:right w:val="nil"/>
            </w:tcBorders>
            <w:shd w:val="clear" w:color="000000" w:fill="E7E6E6"/>
            <w:vAlign w:val="bottom"/>
            <w:hideMark/>
          </w:tcPr>
          <w:p w14:paraId="7301F372" w14:textId="77777777" w:rsidR="005B0FBE" w:rsidRPr="00813CC6" w:rsidRDefault="005B0FBE" w:rsidP="00AF58DF">
            <w:pPr>
              <w:jc w:val="left"/>
              <w:rPr>
                <w:rFonts w:eastAsia="Times New Roman" w:cs="Calibri"/>
                <w:b/>
                <w:bCs/>
                <w:color w:val="000000"/>
                <w:sz w:val="18"/>
                <w:szCs w:val="18"/>
                <w:lang w:eastAsia="en-US"/>
              </w:rPr>
            </w:pPr>
            <w:r w:rsidRPr="00813CC6">
              <w:rPr>
                <w:rFonts w:eastAsia="Times New Roman" w:cs="Calibri"/>
                <w:b/>
                <w:bCs/>
                <w:color w:val="000000"/>
                <w:sz w:val="18"/>
                <w:szCs w:val="18"/>
                <w:lang w:eastAsia="en-US"/>
              </w:rPr>
              <w:t>Asse V</w:t>
            </w:r>
          </w:p>
        </w:tc>
        <w:tc>
          <w:tcPr>
            <w:tcW w:w="2229" w:type="pct"/>
            <w:tcBorders>
              <w:top w:val="nil"/>
              <w:left w:val="nil"/>
              <w:bottom w:val="single" w:sz="4" w:space="0" w:color="305496"/>
              <w:right w:val="nil"/>
            </w:tcBorders>
            <w:shd w:val="clear" w:color="000000" w:fill="E7E6E6"/>
            <w:vAlign w:val="bottom"/>
            <w:hideMark/>
          </w:tcPr>
          <w:p w14:paraId="2CE54CA8" w14:textId="77777777" w:rsidR="005B0FBE" w:rsidRPr="00813CC6" w:rsidRDefault="005B0FBE" w:rsidP="00AF58DF">
            <w:pPr>
              <w:jc w:val="left"/>
              <w:rPr>
                <w:rFonts w:eastAsia="Times New Roman" w:cs="Calibri"/>
                <w:b/>
                <w:bCs/>
                <w:color w:val="000000"/>
                <w:sz w:val="18"/>
                <w:szCs w:val="18"/>
                <w:lang w:eastAsia="en-US"/>
              </w:rPr>
            </w:pPr>
            <w:r w:rsidRPr="00813CC6">
              <w:rPr>
                <w:rFonts w:eastAsia="Times New Roman" w:cs="Calibri"/>
                <w:b/>
                <w:bCs/>
                <w:color w:val="000000"/>
                <w:sz w:val="18"/>
                <w:szCs w:val="18"/>
                <w:lang w:eastAsia="en-US"/>
              </w:rPr>
              <w:t> </w:t>
            </w:r>
          </w:p>
        </w:tc>
        <w:tc>
          <w:tcPr>
            <w:tcW w:w="543" w:type="pct"/>
            <w:tcBorders>
              <w:top w:val="nil"/>
              <w:left w:val="nil"/>
              <w:bottom w:val="single" w:sz="4" w:space="0" w:color="305496"/>
              <w:right w:val="nil"/>
            </w:tcBorders>
            <w:shd w:val="clear" w:color="000000" w:fill="E7E6E6"/>
            <w:vAlign w:val="bottom"/>
            <w:hideMark/>
          </w:tcPr>
          <w:p w14:paraId="73BAA6C4" w14:textId="77777777" w:rsidR="005B0FBE" w:rsidRPr="00813CC6" w:rsidRDefault="005B0FBE" w:rsidP="00AF58DF">
            <w:pPr>
              <w:jc w:val="right"/>
              <w:rPr>
                <w:rFonts w:eastAsia="Times New Roman" w:cs="Calibri"/>
                <w:b/>
                <w:bCs/>
                <w:color w:val="000000"/>
                <w:sz w:val="18"/>
                <w:szCs w:val="18"/>
                <w:lang w:eastAsia="en-US"/>
              </w:rPr>
            </w:pPr>
            <w:r w:rsidRPr="00813CC6">
              <w:rPr>
                <w:rFonts w:eastAsia="Times New Roman" w:cs="Calibri"/>
                <w:b/>
                <w:bCs/>
                <w:color w:val="000000"/>
                <w:sz w:val="18"/>
                <w:szCs w:val="18"/>
                <w:lang w:eastAsia="en-US"/>
              </w:rPr>
              <w:t> </w:t>
            </w:r>
          </w:p>
        </w:tc>
        <w:tc>
          <w:tcPr>
            <w:tcW w:w="616" w:type="pct"/>
            <w:tcBorders>
              <w:top w:val="nil"/>
              <w:left w:val="nil"/>
              <w:bottom w:val="single" w:sz="4" w:space="0" w:color="305496"/>
              <w:right w:val="nil"/>
            </w:tcBorders>
            <w:shd w:val="clear" w:color="000000" w:fill="E7E6E6"/>
            <w:vAlign w:val="bottom"/>
            <w:hideMark/>
          </w:tcPr>
          <w:p w14:paraId="5A9C8FF5" w14:textId="77777777" w:rsidR="005B0FBE" w:rsidRPr="00813CC6" w:rsidRDefault="005B0FBE" w:rsidP="00AF58DF">
            <w:pPr>
              <w:jc w:val="right"/>
              <w:rPr>
                <w:rFonts w:eastAsia="Times New Roman" w:cs="Calibri"/>
                <w:b/>
                <w:bCs/>
                <w:color w:val="000000"/>
                <w:sz w:val="18"/>
                <w:szCs w:val="18"/>
                <w:lang w:eastAsia="en-US"/>
              </w:rPr>
            </w:pPr>
            <w:r w:rsidRPr="00813CC6">
              <w:rPr>
                <w:rFonts w:eastAsia="Times New Roman" w:cs="Calibri"/>
                <w:b/>
                <w:bCs/>
                <w:color w:val="000000"/>
                <w:sz w:val="18"/>
                <w:szCs w:val="18"/>
                <w:lang w:eastAsia="en-US"/>
              </w:rPr>
              <w:t> </w:t>
            </w:r>
          </w:p>
        </w:tc>
        <w:tc>
          <w:tcPr>
            <w:tcW w:w="514" w:type="pct"/>
            <w:tcBorders>
              <w:top w:val="nil"/>
              <w:left w:val="nil"/>
              <w:bottom w:val="single" w:sz="4" w:space="0" w:color="305496"/>
              <w:right w:val="nil"/>
            </w:tcBorders>
            <w:shd w:val="clear" w:color="000000" w:fill="E7E6E6"/>
            <w:vAlign w:val="bottom"/>
            <w:hideMark/>
          </w:tcPr>
          <w:p w14:paraId="434B936E" w14:textId="77777777" w:rsidR="005B0FBE" w:rsidRPr="00813CC6" w:rsidRDefault="005B0FBE" w:rsidP="00AF58DF">
            <w:pPr>
              <w:jc w:val="right"/>
              <w:rPr>
                <w:rFonts w:eastAsia="Times New Roman" w:cs="Calibri"/>
                <w:b/>
                <w:bCs/>
                <w:color w:val="000000"/>
                <w:sz w:val="18"/>
                <w:szCs w:val="18"/>
                <w:lang w:eastAsia="en-US"/>
              </w:rPr>
            </w:pPr>
            <w:r w:rsidRPr="00813CC6">
              <w:rPr>
                <w:rFonts w:eastAsia="Times New Roman" w:cs="Calibri"/>
                <w:b/>
                <w:bCs/>
                <w:color w:val="000000"/>
                <w:sz w:val="18"/>
                <w:szCs w:val="18"/>
                <w:lang w:eastAsia="en-US"/>
              </w:rPr>
              <w:t> </w:t>
            </w:r>
          </w:p>
        </w:tc>
        <w:tc>
          <w:tcPr>
            <w:tcW w:w="745" w:type="pct"/>
            <w:tcBorders>
              <w:top w:val="nil"/>
              <w:left w:val="nil"/>
              <w:bottom w:val="single" w:sz="4" w:space="0" w:color="305496"/>
              <w:right w:val="nil"/>
            </w:tcBorders>
            <w:shd w:val="clear" w:color="000000" w:fill="E7E6E6"/>
            <w:vAlign w:val="bottom"/>
            <w:hideMark/>
          </w:tcPr>
          <w:p w14:paraId="4563AC3E" w14:textId="77777777" w:rsidR="005B0FBE" w:rsidRPr="00813CC6" w:rsidRDefault="005B0FBE" w:rsidP="00AF58DF">
            <w:pPr>
              <w:jc w:val="right"/>
              <w:rPr>
                <w:rFonts w:eastAsia="Times New Roman" w:cs="Calibri"/>
                <w:b/>
                <w:bCs/>
                <w:color w:val="000000"/>
                <w:sz w:val="18"/>
                <w:szCs w:val="18"/>
                <w:lang w:eastAsia="en-US"/>
              </w:rPr>
            </w:pPr>
            <w:r w:rsidRPr="00813CC6">
              <w:rPr>
                <w:rFonts w:eastAsia="Times New Roman" w:cs="Calibri"/>
                <w:b/>
                <w:bCs/>
                <w:color w:val="000000"/>
                <w:sz w:val="18"/>
                <w:szCs w:val="18"/>
                <w:lang w:eastAsia="en-US"/>
              </w:rPr>
              <w:t> </w:t>
            </w:r>
          </w:p>
        </w:tc>
      </w:tr>
      <w:tr w:rsidR="005B0FBE" w:rsidRPr="00813CC6" w14:paraId="2DBCB870" w14:textId="77777777" w:rsidTr="00813CC6">
        <w:trPr>
          <w:trHeight w:val="416"/>
        </w:trPr>
        <w:tc>
          <w:tcPr>
            <w:tcW w:w="353" w:type="pct"/>
            <w:tcBorders>
              <w:top w:val="nil"/>
              <w:left w:val="nil"/>
              <w:bottom w:val="nil"/>
              <w:right w:val="nil"/>
            </w:tcBorders>
            <w:shd w:val="clear" w:color="auto" w:fill="auto"/>
            <w:vAlign w:val="bottom"/>
            <w:hideMark/>
          </w:tcPr>
          <w:p w14:paraId="1EB0B8FF" w14:textId="77777777" w:rsidR="005B0FBE" w:rsidRPr="00813CC6" w:rsidRDefault="005B0FBE" w:rsidP="00AF58DF">
            <w:pPr>
              <w:jc w:val="left"/>
              <w:rPr>
                <w:rFonts w:eastAsia="Times New Roman" w:cs="Calibri"/>
                <w:color w:val="000000"/>
                <w:sz w:val="18"/>
                <w:szCs w:val="18"/>
                <w:lang w:eastAsia="en-US"/>
              </w:rPr>
            </w:pPr>
            <w:r w:rsidRPr="00813CC6">
              <w:rPr>
                <w:rFonts w:eastAsia="Times New Roman" w:cs="Calibri"/>
                <w:color w:val="000000"/>
                <w:sz w:val="18"/>
                <w:szCs w:val="18"/>
                <w:lang w:eastAsia="en-US"/>
              </w:rPr>
              <w:t>3c.7</w:t>
            </w:r>
          </w:p>
        </w:tc>
        <w:tc>
          <w:tcPr>
            <w:tcW w:w="2229" w:type="pct"/>
            <w:tcBorders>
              <w:top w:val="nil"/>
              <w:left w:val="nil"/>
              <w:bottom w:val="nil"/>
              <w:right w:val="nil"/>
            </w:tcBorders>
            <w:shd w:val="clear" w:color="auto" w:fill="auto"/>
            <w:vAlign w:val="bottom"/>
            <w:hideMark/>
          </w:tcPr>
          <w:p w14:paraId="7CB5D6CA" w14:textId="77777777" w:rsidR="005B0FBE" w:rsidRPr="00813CC6" w:rsidRDefault="005B0FBE" w:rsidP="00AF58DF">
            <w:pPr>
              <w:jc w:val="left"/>
              <w:rPr>
                <w:rFonts w:eastAsia="Times New Roman" w:cs="Calibri"/>
                <w:color w:val="000000"/>
                <w:sz w:val="18"/>
                <w:szCs w:val="18"/>
                <w:lang w:eastAsia="en-US"/>
              </w:rPr>
            </w:pPr>
            <w:r w:rsidRPr="00813CC6">
              <w:rPr>
                <w:rFonts w:eastAsia="Times New Roman" w:cs="Calibri"/>
                <w:color w:val="000000"/>
                <w:sz w:val="18"/>
                <w:szCs w:val="18"/>
                <w:lang w:eastAsia="en-US"/>
              </w:rPr>
              <w:t>Addetti alle imprese e alle istituzioni non profit che svolgono attività a contenuto sociale (%)</w:t>
            </w:r>
          </w:p>
        </w:tc>
        <w:tc>
          <w:tcPr>
            <w:tcW w:w="543" w:type="pct"/>
            <w:tcBorders>
              <w:top w:val="nil"/>
              <w:left w:val="nil"/>
              <w:bottom w:val="nil"/>
              <w:right w:val="nil"/>
            </w:tcBorders>
            <w:shd w:val="clear" w:color="auto" w:fill="auto"/>
            <w:vAlign w:val="bottom"/>
            <w:hideMark/>
          </w:tcPr>
          <w:p w14:paraId="66FE0083"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22,50%</w:t>
            </w:r>
          </w:p>
        </w:tc>
        <w:tc>
          <w:tcPr>
            <w:tcW w:w="616" w:type="pct"/>
            <w:tcBorders>
              <w:top w:val="nil"/>
              <w:left w:val="nil"/>
              <w:bottom w:val="nil"/>
              <w:right w:val="nil"/>
            </w:tcBorders>
            <w:shd w:val="clear" w:color="auto" w:fill="auto"/>
            <w:vAlign w:val="bottom"/>
            <w:hideMark/>
          </w:tcPr>
          <w:p w14:paraId="3966889E"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2011</w:t>
            </w:r>
          </w:p>
        </w:tc>
        <w:tc>
          <w:tcPr>
            <w:tcW w:w="514" w:type="pct"/>
            <w:tcBorders>
              <w:top w:val="nil"/>
              <w:left w:val="nil"/>
              <w:bottom w:val="nil"/>
              <w:right w:val="nil"/>
            </w:tcBorders>
            <w:shd w:val="clear" w:color="auto" w:fill="auto"/>
            <w:vAlign w:val="bottom"/>
            <w:hideMark/>
          </w:tcPr>
          <w:p w14:paraId="2D93E5DF"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28,00%</w:t>
            </w:r>
          </w:p>
        </w:tc>
        <w:tc>
          <w:tcPr>
            <w:tcW w:w="745" w:type="pct"/>
            <w:tcBorders>
              <w:top w:val="nil"/>
              <w:left w:val="nil"/>
              <w:bottom w:val="nil"/>
              <w:right w:val="nil"/>
            </w:tcBorders>
            <w:shd w:val="clear" w:color="auto" w:fill="auto"/>
            <w:vAlign w:val="bottom"/>
            <w:hideMark/>
          </w:tcPr>
          <w:p w14:paraId="1DE67900"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22,93%</w:t>
            </w:r>
          </w:p>
        </w:tc>
      </w:tr>
      <w:tr w:rsidR="005B0FBE" w:rsidRPr="00813CC6" w14:paraId="0D728630" w14:textId="77777777" w:rsidTr="00AF58DF">
        <w:trPr>
          <w:trHeight w:val="580"/>
        </w:trPr>
        <w:tc>
          <w:tcPr>
            <w:tcW w:w="353" w:type="pct"/>
            <w:tcBorders>
              <w:top w:val="nil"/>
              <w:left w:val="nil"/>
              <w:bottom w:val="nil"/>
              <w:right w:val="nil"/>
            </w:tcBorders>
            <w:shd w:val="clear" w:color="auto" w:fill="auto"/>
            <w:vAlign w:val="bottom"/>
            <w:hideMark/>
          </w:tcPr>
          <w:p w14:paraId="3BFC6672" w14:textId="77777777" w:rsidR="005B0FBE" w:rsidRPr="00813CC6" w:rsidRDefault="005B0FBE" w:rsidP="00AF58DF">
            <w:pPr>
              <w:jc w:val="left"/>
              <w:rPr>
                <w:rFonts w:eastAsia="Times New Roman" w:cs="Calibri"/>
                <w:color w:val="000000"/>
                <w:sz w:val="18"/>
                <w:szCs w:val="18"/>
                <w:lang w:eastAsia="en-US"/>
              </w:rPr>
            </w:pPr>
            <w:r w:rsidRPr="00813CC6">
              <w:rPr>
                <w:rFonts w:eastAsia="Times New Roman" w:cs="Calibri"/>
                <w:color w:val="000000"/>
                <w:sz w:val="18"/>
                <w:szCs w:val="18"/>
                <w:lang w:eastAsia="en-US"/>
              </w:rPr>
              <w:t>4c.1b</w:t>
            </w:r>
          </w:p>
        </w:tc>
        <w:tc>
          <w:tcPr>
            <w:tcW w:w="2229" w:type="pct"/>
            <w:tcBorders>
              <w:top w:val="nil"/>
              <w:left w:val="nil"/>
              <w:bottom w:val="nil"/>
              <w:right w:val="nil"/>
            </w:tcBorders>
            <w:shd w:val="clear" w:color="auto" w:fill="auto"/>
            <w:vAlign w:val="bottom"/>
            <w:hideMark/>
          </w:tcPr>
          <w:p w14:paraId="5CF3015F" w14:textId="77777777" w:rsidR="005B0FBE" w:rsidRPr="00813CC6" w:rsidRDefault="005B0FBE" w:rsidP="00AF58DF">
            <w:pPr>
              <w:jc w:val="left"/>
              <w:rPr>
                <w:rFonts w:eastAsia="Times New Roman" w:cs="Calibri"/>
                <w:color w:val="000000"/>
                <w:sz w:val="18"/>
                <w:szCs w:val="18"/>
                <w:lang w:eastAsia="en-US"/>
              </w:rPr>
            </w:pPr>
            <w:r w:rsidRPr="00813CC6">
              <w:rPr>
                <w:rFonts w:eastAsia="Times New Roman" w:cs="Calibri"/>
                <w:color w:val="000000"/>
                <w:sz w:val="18"/>
                <w:szCs w:val="18"/>
                <w:lang w:eastAsia="en-US"/>
              </w:rPr>
              <w:t>Consumi di energia elettrica per illuminazione pubblica per superficie dei centri abitati (valori espressi in centinaia) (GWh/km2)</w:t>
            </w:r>
          </w:p>
        </w:tc>
        <w:tc>
          <w:tcPr>
            <w:tcW w:w="543" w:type="pct"/>
            <w:tcBorders>
              <w:top w:val="nil"/>
              <w:left w:val="nil"/>
              <w:bottom w:val="nil"/>
              <w:right w:val="nil"/>
            </w:tcBorders>
            <w:shd w:val="clear" w:color="auto" w:fill="auto"/>
            <w:vAlign w:val="bottom"/>
            <w:hideMark/>
          </w:tcPr>
          <w:p w14:paraId="7188912B"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31,20</w:t>
            </w:r>
          </w:p>
        </w:tc>
        <w:tc>
          <w:tcPr>
            <w:tcW w:w="616" w:type="pct"/>
            <w:tcBorders>
              <w:top w:val="nil"/>
              <w:left w:val="nil"/>
              <w:bottom w:val="nil"/>
              <w:right w:val="nil"/>
            </w:tcBorders>
            <w:shd w:val="clear" w:color="auto" w:fill="auto"/>
            <w:vAlign w:val="bottom"/>
            <w:hideMark/>
          </w:tcPr>
          <w:p w14:paraId="1F3621E6"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2012</w:t>
            </w:r>
          </w:p>
        </w:tc>
        <w:tc>
          <w:tcPr>
            <w:tcW w:w="514" w:type="pct"/>
            <w:tcBorders>
              <w:top w:val="nil"/>
              <w:left w:val="nil"/>
              <w:bottom w:val="nil"/>
              <w:right w:val="nil"/>
            </w:tcBorders>
            <w:shd w:val="clear" w:color="auto" w:fill="auto"/>
            <w:vAlign w:val="bottom"/>
            <w:hideMark/>
          </w:tcPr>
          <w:p w14:paraId="7ABF3105"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21,40</w:t>
            </w:r>
          </w:p>
        </w:tc>
        <w:tc>
          <w:tcPr>
            <w:tcW w:w="745" w:type="pct"/>
            <w:tcBorders>
              <w:top w:val="nil"/>
              <w:left w:val="nil"/>
              <w:bottom w:val="nil"/>
              <w:right w:val="nil"/>
            </w:tcBorders>
            <w:shd w:val="clear" w:color="auto" w:fill="auto"/>
            <w:vAlign w:val="bottom"/>
            <w:hideMark/>
          </w:tcPr>
          <w:p w14:paraId="13C87D10"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28,37</w:t>
            </w:r>
          </w:p>
        </w:tc>
      </w:tr>
      <w:tr w:rsidR="005B0FBE" w:rsidRPr="00813CC6" w14:paraId="12A5FB0D" w14:textId="77777777" w:rsidTr="00AF58DF">
        <w:trPr>
          <w:trHeight w:val="580"/>
        </w:trPr>
        <w:tc>
          <w:tcPr>
            <w:tcW w:w="353" w:type="pct"/>
            <w:tcBorders>
              <w:top w:val="nil"/>
              <w:left w:val="nil"/>
              <w:bottom w:val="nil"/>
              <w:right w:val="nil"/>
            </w:tcBorders>
            <w:shd w:val="clear" w:color="auto" w:fill="auto"/>
            <w:vAlign w:val="bottom"/>
            <w:hideMark/>
          </w:tcPr>
          <w:p w14:paraId="7D929BD4" w14:textId="77777777" w:rsidR="005B0FBE" w:rsidRPr="00813CC6" w:rsidRDefault="005B0FBE" w:rsidP="00AF58DF">
            <w:pPr>
              <w:jc w:val="left"/>
              <w:rPr>
                <w:rFonts w:eastAsia="Times New Roman" w:cs="Calibri"/>
                <w:color w:val="000000"/>
                <w:sz w:val="18"/>
                <w:szCs w:val="18"/>
                <w:lang w:eastAsia="en-US"/>
              </w:rPr>
            </w:pPr>
            <w:r w:rsidRPr="00813CC6">
              <w:rPr>
                <w:rFonts w:eastAsia="Times New Roman" w:cs="Calibri"/>
                <w:color w:val="000000"/>
                <w:sz w:val="18"/>
                <w:szCs w:val="18"/>
                <w:lang w:eastAsia="en-US"/>
              </w:rPr>
              <w:t>4c.1c</w:t>
            </w:r>
          </w:p>
        </w:tc>
        <w:tc>
          <w:tcPr>
            <w:tcW w:w="2229" w:type="pct"/>
            <w:tcBorders>
              <w:top w:val="nil"/>
              <w:left w:val="nil"/>
              <w:bottom w:val="nil"/>
              <w:right w:val="nil"/>
            </w:tcBorders>
            <w:shd w:val="clear" w:color="auto" w:fill="auto"/>
            <w:vAlign w:val="bottom"/>
            <w:hideMark/>
          </w:tcPr>
          <w:p w14:paraId="7C70FD49" w14:textId="77777777" w:rsidR="005B0FBE" w:rsidRPr="00813CC6" w:rsidRDefault="005B0FBE" w:rsidP="00AF58DF">
            <w:pPr>
              <w:jc w:val="left"/>
              <w:rPr>
                <w:rFonts w:eastAsia="Times New Roman" w:cs="Calibri"/>
                <w:color w:val="000000"/>
                <w:sz w:val="18"/>
                <w:szCs w:val="18"/>
                <w:lang w:eastAsia="en-US"/>
              </w:rPr>
            </w:pPr>
            <w:r w:rsidRPr="00813CC6">
              <w:rPr>
                <w:rFonts w:eastAsia="Times New Roman" w:cs="Calibri"/>
                <w:color w:val="000000"/>
                <w:sz w:val="18"/>
                <w:szCs w:val="18"/>
                <w:lang w:eastAsia="en-US"/>
              </w:rPr>
              <w:t>Emissioni di CO2 annuali delle infrastrutture di illuminazione pubblica calcolate sulla base del consumo di energia elettrica per illuminazione pubblica (KtonCO2eq)</w:t>
            </w:r>
          </w:p>
        </w:tc>
        <w:tc>
          <w:tcPr>
            <w:tcW w:w="543" w:type="pct"/>
            <w:tcBorders>
              <w:top w:val="nil"/>
              <w:left w:val="nil"/>
              <w:bottom w:val="nil"/>
              <w:right w:val="nil"/>
            </w:tcBorders>
            <w:shd w:val="clear" w:color="auto" w:fill="auto"/>
            <w:vAlign w:val="bottom"/>
            <w:hideMark/>
          </w:tcPr>
          <w:p w14:paraId="15B1E1AB"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400,00</w:t>
            </w:r>
          </w:p>
        </w:tc>
        <w:tc>
          <w:tcPr>
            <w:tcW w:w="616" w:type="pct"/>
            <w:tcBorders>
              <w:top w:val="nil"/>
              <w:left w:val="nil"/>
              <w:bottom w:val="nil"/>
              <w:right w:val="nil"/>
            </w:tcBorders>
            <w:shd w:val="clear" w:color="auto" w:fill="auto"/>
            <w:vAlign w:val="bottom"/>
            <w:hideMark/>
          </w:tcPr>
          <w:p w14:paraId="642B123E"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2014</w:t>
            </w:r>
          </w:p>
        </w:tc>
        <w:tc>
          <w:tcPr>
            <w:tcW w:w="514" w:type="pct"/>
            <w:tcBorders>
              <w:top w:val="nil"/>
              <w:left w:val="nil"/>
              <w:bottom w:val="nil"/>
              <w:right w:val="nil"/>
            </w:tcBorders>
            <w:shd w:val="clear" w:color="auto" w:fill="auto"/>
            <w:vAlign w:val="bottom"/>
            <w:hideMark/>
          </w:tcPr>
          <w:p w14:paraId="6367CC68"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282,00</w:t>
            </w:r>
          </w:p>
        </w:tc>
        <w:tc>
          <w:tcPr>
            <w:tcW w:w="745" w:type="pct"/>
            <w:tcBorders>
              <w:top w:val="nil"/>
              <w:left w:val="nil"/>
              <w:bottom w:val="nil"/>
              <w:right w:val="nil"/>
            </w:tcBorders>
            <w:shd w:val="clear" w:color="auto" w:fill="auto"/>
            <w:vAlign w:val="bottom"/>
            <w:hideMark/>
          </w:tcPr>
          <w:p w14:paraId="2019A399"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393,22</w:t>
            </w:r>
          </w:p>
        </w:tc>
      </w:tr>
      <w:tr w:rsidR="005B0FBE" w:rsidRPr="00813CC6" w14:paraId="6B4FFAB9" w14:textId="77777777" w:rsidTr="00813CC6">
        <w:trPr>
          <w:trHeight w:val="286"/>
        </w:trPr>
        <w:tc>
          <w:tcPr>
            <w:tcW w:w="353" w:type="pct"/>
            <w:tcBorders>
              <w:top w:val="nil"/>
              <w:left w:val="nil"/>
              <w:bottom w:val="nil"/>
              <w:right w:val="nil"/>
            </w:tcBorders>
            <w:shd w:val="clear" w:color="auto" w:fill="auto"/>
            <w:vAlign w:val="bottom"/>
            <w:hideMark/>
          </w:tcPr>
          <w:p w14:paraId="049CECBB" w14:textId="77777777" w:rsidR="005B0FBE" w:rsidRPr="00813CC6" w:rsidRDefault="005B0FBE" w:rsidP="00AF58DF">
            <w:pPr>
              <w:jc w:val="left"/>
              <w:rPr>
                <w:rFonts w:eastAsia="Times New Roman" w:cs="Calibri"/>
                <w:color w:val="000000"/>
                <w:sz w:val="18"/>
                <w:szCs w:val="18"/>
                <w:lang w:eastAsia="en-US"/>
              </w:rPr>
            </w:pPr>
            <w:r w:rsidRPr="00813CC6">
              <w:rPr>
                <w:rFonts w:eastAsia="Times New Roman" w:cs="Calibri"/>
                <w:color w:val="000000"/>
                <w:sz w:val="18"/>
                <w:szCs w:val="18"/>
                <w:lang w:eastAsia="en-US"/>
              </w:rPr>
              <w:t>4c.1d</w:t>
            </w:r>
          </w:p>
        </w:tc>
        <w:tc>
          <w:tcPr>
            <w:tcW w:w="2229" w:type="pct"/>
            <w:tcBorders>
              <w:top w:val="nil"/>
              <w:left w:val="nil"/>
              <w:bottom w:val="nil"/>
              <w:right w:val="nil"/>
            </w:tcBorders>
            <w:shd w:val="clear" w:color="auto" w:fill="auto"/>
            <w:vAlign w:val="bottom"/>
            <w:hideMark/>
          </w:tcPr>
          <w:p w14:paraId="13326E98" w14:textId="77777777" w:rsidR="005B0FBE" w:rsidRPr="00813CC6" w:rsidRDefault="005B0FBE" w:rsidP="00AF58DF">
            <w:pPr>
              <w:jc w:val="left"/>
              <w:rPr>
                <w:rFonts w:eastAsia="Times New Roman" w:cs="Calibri"/>
                <w:color w:val="000000"/>
                <w:sz w:val="18"/>
                <w:szCs w:val="18"/>
                <w:lang w:eastAsia="en-US"/>
              </w:rPr>
            </w:pPr>
            <w:r w:rsidRPr="00813CC6">
              <w:rPr>
                <w:rFonts w:eastAsia="Times New Roman" w:cs="Calibri"/>
                <w:color w:val="000000"/>
                <w:sz w:val="18"/>
                <w:szCs w:val="18"/>
                <w:lang w:eastAsia="en-US"/>
              </w:rPr>
              <w:t xml:space="preserve">Edifici pubblici in classe energetica E, F, G </w:t>
            </w:r>
          </w:p>
        </w:tc>
        <w:tc>
          <w:tcPr>
            <w:tcW w:w="543" w:type="pct"/>
            <w:tcBorders>
              <w:top w:val="nil"/>
              <w:left w:val="nil"/>
              <w:bottom w:val="nil"/>
              <w:right w:val="nil"/>
            </w:tcBorders>
            <w:shd w:val="clear" w:color="auto" w:fill="auto"/>
            <w:vAlign w:val="bottom"/>
            <w:hideMark/>
          </w:tcPr>
          <w:p w14:paraId="10C97A97" w14:textId="3501684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13.700</w:t>
            </w:r>
          </w:p>
        </w:tc>
        <w:tc>
          <w:tcPr>
            <w:tcW w:w="616" w:type="pct"/>
            <w:tcBorders>
              <w:top w:val="nil"/>
              <w:left w:val="nil"/>
              <w:bottom w:val="nil"/>
              <w:right w:val="nil"/>
            </w:tcBorders>
            <w:shd w:val="clear" w:color="auto" w:fill="auto"/>
            <w:vAlign w:val="bottom"/>
            <w:hideMark/>
          </w:tcPr>
          <w:p w14:paraId="1C709D44"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2014</w:t>
            </w:r>
          </w:p>
        </w:tc>
        <w:tc>
          <w:tcPr>
            <w:tcW w:w="514" w:type="pct"/>
            <w:tcBorders>
              <w:top w:val="nil"/>
              <w:left w:val="nil"/>
              <w:bottom w:val="nil"/>
              <w:right w:val="nil"/>
            </w:tcBorders>
            <w:shd w:val="clear" w:color="auto" w:fill="auto"/>
            <w:vAlign w:val="bottom"/>
            <w:hideMark/>
          </w:tcPr>
          <w:p w14:paraId="274E0C33" w14:textId="120A2F9B"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6.500</w:t>
            </w:r>
          </w:p>
        </w:tc>
        <w:tc>
          <w:tcPr>
            <w:tcW w:w="745" w:type="pct"/>
            <w:tcBorders>
              <w:top w:val="nil"/>
              <w:left w:val="nil"/>
              <w:bottom w:val="nil"/>
              <w:right w:val="nil"/>
            </w:tcBorders>
            <w:shd w:val="clear" w:color="auto" w:fill="auto"/>
            <w:vAlign w:val="bottom"/>
            <w:hideMark/>
          </w:tcPr>
          <w:p w14:paraId="7836D9D7" w14:textId="2BD10F8C"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6.952</w:t>
            </w:r>
          </w:p>
        </w:tc>
      </w:tr>
      <w:tr w:rsidR="005B0FBE" w:rsidRPr="00813CC6" w14:paraId="3D08FB63" w14:textId="77777777" w:rsidTr="00813CC6">
        <w:trPr>
          <w:trHeight w:val="278"/>
        </w:trPr>
        <w:tc>
          <w:tcPr>
            <w:tcW w:w="353" w:type="pct"/>
            <w:tcBorders>
              <w:top w:val="nil"/>
              <w:left w:val="nil"/>
              <w:bottom w:val="nil"/>
              <w:right w:val="nil"/>
            </w:tcBorders>
            <w:shd w:val="clear" w:color="auto" w:fill="auto"/>
            <w:vAlign w:val="bottom"/>
            <w:hideMark/>
          </w:tcPr>
          <w:p w14:paraId="76528184" w14:textId="77777777" w:rsidR="005B0FBE" w:rsidRPr="00813CC6" w:rsidRDefault="005B0FBE" w:rsidP="00AF58DF">
            <w:pPr>
              <w:jc w:val="left"/>
              <w:rPr>
                <w:rFonts w:eastAsia="Times New Roman" w:cs="Calibri"/>
                <w:color w:val="000000"/>
                <w:sz w:val="18"/>
                <w:szCs w:val="18"/>
                <w:lang w:eastAsia="en-US"/>
              </w:rPr>
            </w:pPr>
            <w:r w:rsidRPr="00813CC6">
              <w:rPr>
                <w:rFonts w:eastAsia="Times New Roman" w:cs="Calibri"/>
                <w:color w:val="000000"/>
                <w:sz w:val="18"/>
                <w:szCs w:val="18"/>
                <w:lang w:eastAsia="en-US"/>
              </w:rPr>
              <w:t>4c.1e</w:t>
            </w:r>
          </w:p>
        </w:tc>
        <w:tc>
          <w:tcPr>
            <w:tcW w:w="2229" w:type="pct"/>
            <w:tcBorders>
              <w:top w:val="nil"/>
              <w:left w:val="nil"/>
              <w:bottom w:val="nil"/>
              <w:right w:val="nil"/>
            </w:tcBorders>
            <w:shd w:val="clear" w:color="auto" w:fill="auto"/>
            <w:vAlign w:val="bottom"/>
            <w:hideMark/>
          </w:tcPr>
          <w:p w14:paraId="563F9DF6" w14:textId="77777777" w:rsidR="005B0FBE" w:rsidRPr="00813CC6" w:rsidRDefault="005B0FBE" w:rsidP="00AF58DF">
            <w:pPr>
              <w:jc w:val="left"/>
              <w:rPr>
                <w:rFonts w:eastAsia="Times New Roman" w:cs="Calibri"/>
                <w:color w:val="000000"/>
                <w:sz w:val="18"/>
                <w:szCs w:val="18"/>
                <w:lang w:eastAsia="en-US"/>
              </w:rPr>
            </w:pPr>
            <w:r w:rsidRPr="00813CC6">
              <w:rPr>
                <w:rFonts w:eastAsia="Times New Roman" w:cs="Calibri"/>
                <w:color w:val="000000"/>
                <w:sz w:val="18"/>
                <w:szCs w:val="18"/>
                <w:lang w:eastAsia="en-US"/>
              </w:rPr>
              <w:t>Fabbisogno di energia primaria non rinnovabile (</w:t>
            </w:r>
            <w:proofErr w:type="spellStart"/>
            <w:r w:rsidRPr="00813CC6">
              <w:rPr>
                <w:rFonts w:eastAsia="Times New Roman" w:cs="Calibri"/>
                <w:color w:val="000000"/>
                <w:sz w:val="18"/>
                <w:szCs w:val="18"/>
                <w:lang w:eastAsia="en-US"/>
              </w:rPr>
              <w:t>Epgl,nren</w:t>
            </w:r>
            <w:proofErr w:type="spellEnd"/>
            <w:r w:rsidRPr="00813CC6">
              <w:rPr>
                <w:rFonts w:eastAsia="Times New Roman" w:cs="Calibri"/>
                <w:color w:val="000000"/>
                <w:sz w:val="18"/>
                <w:szCs w:val="18"/>
                <w:lang w:eastAsia="en-US"/>
              </w:rPr>
              <w:t>) (GWh/a)</w:t>
            </w:r>
          </w:p>
        </w:tc>
        <w:tc>
          <w:tcPr>
            <w:tcW w:w="543" w:type="pct"/>
            <w:tcBorders>
              <w:top w:val="nil"/>
              <w:left w:val="nil"/>
              <w:bottom w:val="nil"/>
              <w:right w:val="nil"/>
            </w:tcBorders>
            <w:shd w:val="clear" w:color="auto" w:fill="auto"/>
            <w:vAlign w:val="bottom"/>
            <w:hideMark/>
          </w:tcPr>
          <w:p w14:paraId="619BCDB1" w14:textId="0E4E3738"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9.480</w:t>
            </w:r>
          </w:p>
        </w:tc>
        <w:tc>
          <w:tcPr>
            <w:tcW w:w="616" w:type="pct"/>
            <w:tcBorders>
              <w:top w:val="nil"/>
              <w:left w:val="nil"/>
              <w:bottom w:val="nil"/>
              <w:right w:val="nil"/>
            </w:tcBorders>
            <w:shd w:val="clear" w:color="auto" w:fill="auto"/>
            <w:vAlign w:val="bottom"/>
            <w:hideMark/>
          </w:tcPr>
          <w:p w14:paraId="312EEBA6"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2014</w:t>
            </w:r>
          </w:p>
        </w:tc>
        <w:tc>
          <w:tcPr>
            <w:tcW w:w="514" w:type="pct"/>
            <w:tcBorders>
              <w:top w:val="nil"/>
              <w:left w:val="nil"/>
              <w:bottom w:val="nil"/>
              <w:right w:val="nil"/>
            </w:tcBorders>
            <w:shd w:val="clear" w:color="auto" w:fill="auto"/>
            <w:vAlign w:val="bottom"/>
            <w:hideMark/>
          </w:tcPr>
          <w:p w14:paraId="70130BCE" w14:textId="69A90C26"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7.580</w:t>
            </w:r>
          </w:p>
        </w:tc>
        <w:tc>
          <w:tcPr>
            <w:tcW w:w="745" w:type="pct"/>
            <w:tcBorders>
              <w:top w:val="nil"/>
              <w:left w:val="nil"/>
              <w:bottom w:val="nil"/>
              <w:right w:val="nil"/>
            </w:tcBorders>
            <w:shd w:val="clear" w:color="auto" w:fill="auto"/>
            <w:vAlign w:val="bottom"/>
            <w:hideMark/>
          </w:tcPr>
          <w:p w14:paraId="25B8C923" w14:textId="1543FF79"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9.480</w:t>
            </w:r>
          </w:p>
        </w:tc>
      </w:tr>
      <w:tr w:rsidR="005B0FBE" w:rsidRPr="00813CC6" w14:paraId="7CE2671E" w14:textId="77777777" w:rsidTr="00813CC6">
        <w:trPr>
          <w:trHeight w:val="266"/>
        </w:trPr>
        <w:tc>
          <w:tcPr>
            <w:tcW w:w="353" w:type="pct"/>
            <w:tcBorders>
              <w:top w:val="nil"/>
              <w:left w:val="nil"/>
              <w:bottom w:val="single" w:sz="4" w:space="0" w:color="305496"/>
              <w:right w:val="nil"/>
            </w:tcBorders>
            <w:shd w:val="clear" w:color="000000" w:fill="E7E6E6"/>
            <w:vAlign w:val="bottom"/>
            <w:hideMark/>
          </w:tcPr>
          <w:p w14:paraId="1CA0DD3C" w14:textId="77777777" w:rsidR="005B0FBE" w:rsidRPr="00813CC6" w:rsidRDefault="005B0FBE" w:rsidP="00AF58DF">
            <w:pPr>
              <w:jc w:val="left"/>
              <w:rPr>
                <w:rFonts w:eastAsia="Times New Roman" w:cs="Calibri"/>
                <w:b/>
                <w:bCs/>
                <w:color w:val="000000"/>
                <w:sz w:val="18"/>
                <w:szCs w:val="18"/>
                <w:lang w:eastAsia="en-US"/>
              </w:rPr>
            </w:pPr>
            <w:r w:rsidRPr="00813CC6">
              <w:rPr>
                <w:rFonts w:eastAsia="Times New Roman" w:cs="Calibri"/>
                <w:b/>
                <w:bCs/>
                <w:color w:val="000000"/>
                <w:sz w:val="18"/>
                <w:szCs w:val="18"/>
                <w:lang w:eastAsia="en-US"/>
              </w:rPr>
              <w:t>Asse VI</w:t>
            </w:r>
          </w:p>
        </w:tc>
        <w:tc>
          <w:tcPr>
            <w:tcW w:w="2229" w:type="pct"/>
            <w:tcBorders>
              <w:top w:val="nil"/>
              <w:left w:val="nil"/>
              <w:bottom w:val="single" w:sz="4" w:space="0" w:color="305496"/>
              <w:right w:val="nil"/>
            </w:tcBorders>
            <w:shd w:val="clear" w:color="000000" w:fill="E7E6E6"/>
            <w:vAlign w:val="bottom"/>
            <w:hideMark/>
          </w:tcPr>
          <w:p w14:paraId="6253F939" w14:textId="77777777" w:rsidR="005B0FBE" w:rsidRPr="00813CC6" w:rsidRDefault="005B0FBE" w:rsidP="00AF58DF">
            <w:pPr>
              <w:jc w:val="left"/>
              <w:rPr>
                <w:rFonts w:eastAsia="Times New Roman" w:cs="Calibri"/>
                <w:b/>
                <w:bCs/>
                <w:color w:val="000000"/>
                <w:sz w:val="18"/>
                <w:szCs w:val="18"/>
                <w:lang w:eastAsia="en-US"/>
              </w:rPr>
            </w:pPr>
            <w:r w:rsidRPr="00813CC6">
              <w:rPr>
                <w:rFonts w:eastAsia="Times New Roman" w:cs="Calibri"/>
                <w:b/>
                <w:bCs/>
                <w:color w:val="000000"/>
                <w:sz w:val="18"/>
                <w:szCs w:val="18"/>
                <w:lang w:eastAsia="en-US"/>
              </w:rPr>
              <w:t> </w:t>
            </w:r>
          </w:p>
        </w:tc>
        <w:tc>
          <w:tcPr>
            <w:tcW w:w="543" w:type="pct"/>
            <w:tcBorders>
              <w:top w:val="nil"/>
              <w:left w:val="nil"/>
              <w:bottom w:val="single" w:sz="4" w:space="0" w:color="305496"/>
              <w:right w:val="nil"/>
            </w:tcBorders>
            <w:shd w:val="clear" w:color="000000" w:fill="E7E6E6"/>
            <w:vAlign w:val="bottom"/>
            <w:hideMark/>
          </w:tcPr>
          <w:p w14:paraId="4A8CE2E9" w14:textId="77777777" w:rsidR="005B0FBE" w:rsidRPr="00813CC6" w:rsidRDefault="005B0FBE" w:rsidP="00AF58DF">
            <w:pPr>
              <w:jc w:val="right"/>
              <w:rPr>
                <w:rFonts w:eastAsia="Times New Roman" w:cs="Calibri"/>
                <w:b/>
                <w:bCs/>
                <w:color w:val="000000"/>
                <w:sz w:val="18"/>
                <w:szCs w:val="18"/>
                <w:lang w:eastAsia="en-US"/>
              </w:rPr>
            </w:pPr>
            <w:r w:rsidRPr="00813CC6">
              <w:rPr>
                <w:rFonts w:eastAsia="Times New Roman" w:cs="Calibri"/>
                <w:b/>
                <w:bCs/>
                <w:color w:val="000000"/>
                <w:sz w:val="18"/>
                <w:szCs w:val="18"/>
                <w:lang w:eastAsia="en-US"/>
              </w:rPr>
              <w:t> </w:t>
            </w:r>
          </w:p>
        </w:tc>
        <w:tc>
          <w:tcPr>
            <w:tcW w:w="616" w:type="pct"/>
            <w:tcBorders>
              <w:top w:val="nil"/>
              <w:left w:val="nil"/>
              <w:bottom w:val="single" w:sz="4" w:space="0" w:color="305496"/>
              <w:right w:val="nil"/>
            </w:tcBorders>
            <w:shd w:val="clear" w:color="000000" w:fill="E7E6E6"/>
            <w:vAlign w:val="bottom"/>
            <w:hideMark/>
          </w:tcPr>
          <w:p w14:paraId="19E9F15E" w14:textId="77777777" w:rsidR="005B0FBE" w:rsidRPr="00813CC6" w:rsidRDefault="005B0FBE" w:rsidP="00AF58DF">
            <w:pPr>
              <w:jc w:val="right"/>
              <w:rPr>
                <w:rFonts w:eastAsia="Times New Roman" w:cs="Calibri"/>
                <w:b/>
                <w:bCs/>
                <w:color w:val="000000"/>
                <w:sz w:val="18"/>
                <w:szCs w:val="18"/>
                <w:lang w:eastAsia="en-US"/>
              </w:rPr>
            </w:pPr>
            <w:r w:rsidRPr="00813CC6">
              <w:rPr>
                <w:rFonts w:eastAsia="Times New Roman" w:cs="Calibri"/>
                <w:b/>
                <w:bCs/>
                <w:color w:val="000000"/>
                <w:sz w:val="18"/>
                <w:szCs w:val="18"/>
                <w:lang w:eastAsia="en-US"/>
              </w:rPr>
              <w:t> </w:t>
            </w:r>
          </w:p>
        </w:tc>
        <w:tc>
          <w:tcPr>
            <w:tcW w:w="514" w:type="pct"/>
            <w:tcBorders>
              <w:top w:val="nil"/>
              <w:left w:val="nil"/>
              <w:bottom w:val="single" w:sz="4" w:space="0" w:color="305496"/>
              <w:right w:val="nil"/>
            </w:tcBorders>
            <w:shd w:val="clear" w:color="000000" w:fill="E7E6E6"/>
            <w:vAlign w:val="bottom"/>
            <w:hideMark/>
          </w:tcPr>
          <w:p w14:paraId="3EDD6C21" w14:textId="77777777" w:rsidR="005B0FBE" w:rsidRPr="00813CC6" w:rsidRDefault="005B0FBE" w:rsidP="00AF58DF">
            <w:pPr>
              <w:jc w:val="right"/>
              <w:rPr>
                <w:rFonts w:eastAsia="Times New Roman" w:cs="Calibri"/>
                <w:b/>
                <w:bCs/>
                <w:color w:val="000000"/>
                <w:sz w:val="18"/>
                <w:szCs w:val="18"/>
                <w:lang w:eastAsia="en-US"/>
              </w:rPr>
            </w:pPr>
            <w:r w:rsidRPr="00813CC6">
              <w:rPr>
                <w:rFonts w:eastAsia="Times New Roman" w:cs="Calibri"/>
                <w:b/>
                <w:bCs/>
                <w:color w:val="000000"/>
                <w:sz w:val="18"/>
                <w:szCs w:val="18"/>
                <w:lang w:eastAsia="en-US"/>
              </w:rPr>
              <w:t> </w:t>
            </w:r>
          </w:p>
        </w:tc>
        <w:tc>
          <w:tcPr>
            <w:tcW w:w="745" w:type="pct"/>
            <w:tcBorders>
              <w:top w:val="nil"/>
              <w:left w:val="nil"/>
              <w:bottom w:val="single" w:sz="4" w:space="0" w:color="305496"/>
              <w:right w:val="nil"/>
            </w:tcBorders>
            <w:shd w:val="clear" w:color="000000" w:fill="E7E6E6"/>
            <w:vAlign w:val="bottom"/>
            <w:hideMark/>
          </w:tcPr>
          <w:p w14:paraId="4F8A04AE" w14:textId="77777777" w:rsidR="005B0FBE" w:rsidRPr="00813CC6" w:rsidRDefault="005B0FBE" w:rsidP="00AF58DF">
            <w:pPr>
              <w:jc w:val="right"/>
              <w:rPr>
                <w:rFonts w:eastAsia="Times New Roman" w:cs="Calibri"/>
                <w:b/>
                <w:bCs/>
                <w:color w:val="000000"/>
                <w:sz w:val="18"/>
                <w:szCs w:val="18"/>
                <w:lang w:eastAsia="en-US"/>
              </w:rPr>
            </w:pPr>
            <w:r w:rsidRPr="00813CC6">
              <w:rPr>
                <w:rFonts w:eastAsia="Times New Roman" w:cs="Calibri"/>
                <w:b/>
                <w:bCs/>
                <w:color w:val="000000"/>
                <w:sz w:val="18"/>
                <w:szCs w:val="18"/>
                <w:lang w:eastAsia="en-US"/>
              </w:rPr>
              <w:t> </w:t>
            </w:r>
          </w:p>
        </w:tc>
      </w:tr>
      <w:tr w:rsidR="005B0FBE" w:rsidRPr="00813CC6" w14:paraId="18512027" w14:textId="77777777" w:rsidTr="00AF58DF">
        <w:trPr>
          <w:trHeight w:val="580"/>
        </w:trPr>
        <w:tc>
          <w:tcPr>
            <w:tcW w:w="353" w:type="pct"/>
            <w:tcBorders>
              <w:top w:val="nil"/>
              <w:left w:val="nil"/>
              <w:bottom w:val="single" w:sz="4" w:space="0" w:color="305496"/>
              <w:right w:val="nil"/>
            </w:tcBorders>
            <w:shd w:val="clear" w:color="auto" w:fill="auto"/>
            <w:vAlign w:val="bottom"/>
            <w:hideMark/>
          </w:tcPr>
          <w:p w14:paraId="149AD6EC" w14:textId="77777777" w:rsidR="005B0FBE" w:rsidRPr="00813CC6" w:rsidRDefault="005B0FBE" w:rsidP="00AF58DF">
            <w:pPr>
              <w:jc w:val="left"/>
              <w:rPr>
                <w:rFonts w:eastAsia="Times New Roman" w:cs="Calibri"/>
                <w:color w:val="000000"/>
                <w:sz w:val="18"/>
                <w:szCs w:val="18"/>
                <w:lang w:eastAsia="en-US"/>
              </w:rPr>
            </w:pPr>
            <w:r w:rsidRPr="00813CC6">
              <w:rPr>
                <w:rFonts w:eastAsia="Times New Roman" w:cs="Calibri"/>
                <w:color w:val="000000"/>
                <w:sz w:val="18"/>
                <w:szCs w:val="18"/>
                <w:lang w:eastAsia="en-US"/>
              </w:rPr>
              <w:t>6c.1</w:t>
            </w:r>
          </w:p>
        </w:tc>
        <w:tc>
          <w:tcPr>
            <w:tcW w:w="2229" w:type="pct"/>
            <w:tcBorders>
              <w:top w:val="nil"/>
              <w:left w:val="nil"/>
              <w:bottom w:val="single" w:sz="4" w:space="0" w:color="305496"/>
              <w:right w:val="nil"/>
            </w:tcBorders>
            <w:shd w:val="clear" w:color="auto" w:fill="auto"/>
            <w:vAlign w:val="bottom"/>
            <w:hideMark/>
          </w:tcPr>
          <w:p w14:paraId="1333DA4D" w14:textId="77777777" w:rsidR="005B0FBE" w:rsidRPr="00813CC6" w:rsidRDefault="005B0FBE" w:rsidP="00AF58DF">
            <w:pPr>
              <w:jc w:val="left"/>
              <w:rPr>
                <w:rFonts w:eastAsia="Times New Roman" w:cs="Calibri"/>
                <w:color w:val="000000"/>
                <w:sz w:val="18"/>
                <w:szCs w:val="18"/>
                <w:lang w:eastAsia="en-US"/>
              </w:rPr>
            </w:pPr>
            <w:r w:rsidRPr="00813CC6">
              <w:rPr>
                <w:rFonts w:eastAsia="Times New Roman" w:cs="Calibri"/>
                <w:color w:val="000000"/>
                <w:sz w:val="18"/>
                <w:szCs w:val="18"/>
                <w:lang w:eastAsia="en-US"/>
              </w:rPr>
              <w:t>Indice di domanda culturale del patrimonio statale [numero di visitatori negli istituti statali e non statali per istituto (in migliaia, media per istituto)]</w:t>
            </w:r>
          </w:p>
        </w:tc>
        <w:tc>
          <w:tcPr>
            <w:tcW w:w="543" w:type="pct"/>
            <w:tcBorders>
              <w:top w:val="nil"/>
              <w:left w:val="nil"/>
              <w:bottom w:val="single" w:sz="4" w:space="0" w:color="305496"/>
              <w:right w:val="nil"/>
            </w:tcBorders>
            <w:shd w:val="clear" w:color="auto" w:fill="auto"/>
            <w:vAlign w:val="bottom"/>
            <w:hideMark/>
          </w:tcPr>
          <w:p w14:paraId="474A8926"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23,70</w:t>
            </w:r>
          </w:p>
        </w:tc>
        <w:tc>
          <w:tcPr>
            <w:tcW w:w="616" w:type="pct"/>
            <w:tcBorders>
              <w:top w:val="nil"/>
              <w:left w:val="nil"/>
              <w:bottom w:val="single" w:sz="4" w:space="0" w:color="305496"/>
              <w:right w:val="nil"/>
            </w:tcBorders>
            <w:shd w:val="clear" w:color="auto" w:fill="auto"/>
            <w:vAlign w:val="bottom"/>
            <w:hideMark/>
          </w:tcPr>
          <w:p w14:paraId="117C5418"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2011</w:t>
            </w:r>
          </w:p>
        </w:tc>
        <w:tc>
          <w:tcPr>
            <w:tcW w:w="514" w:type="pct"/>
            <w:tcBorders>
              <w:top w:val="nil"/>
              <w:left w:val="nil"/>
              <w:bottom w:val="single" w:sz="4" w:space="0" w:color="305496"/>
              <w:right w:val="nil"/>
            </w:tcBorders>
            <w:shd w:val="clear" w:color="auto" w:fill="auto"/>
            <w:vAlign w:val="bottom"/>
            <w:hideMark/>
          </w:tcPr>
          <w:p w14:paraId="69B2D5A9"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28,20</w:t>
            </w:r>
          </w:p>
        </w:tc>
        <w:tc>
          <w:tcPr>
            <w:tcW w:w="745" w:type="pct"/>
            <w:tcBorders>
              <w:top w:val="nil"/>
              <w:left w:val="nil"/>
              <w:bottom w:val="single" w:sz="4" w:space="0" w:color="305496"/>
              <w:right w:val="nil"/>
            </w:tcBorders>
            <w:shd w:val="clear" w:color="auto" w:fill="auto"/>
            <w:vAlign w:val="bottom"/>
            <w:hideMark/>
          </w:tcPr>
          <w:p w14:paraId="0CBBB666" w14:textId="77777777" w:rsidR="005B0FBE" w:rsidRPr="00813CC6" w:rsidRDefault="005B0FBE" w:rsidP="00AF58DF">
            <w:pPr>
              <w:jc w:val="right"/>
              <w:rPr>
                <w:rFonts w:eastAsia="Times New Roman" w:cs="Calibri"/>
                <w:color w:val="000000"/>
                <w:sz w:val="18"/>
                <w:szCs w:val="18"/>
                <w:lang w:eastAsia="en-US"/>
              </w:rPr>
            </w:pPr>
            <w:r w:rsidRPr="00813CC6">
              <w:rPr>
                <w:rFonts w:eastAsia="Times New Roman" w:cs="Calibri"/>
                <w:color w:val="000000"/>
                <w:sz w:val="18"/>
                <w:szCs w:val="18"/>
                <w:lang w:eastAsia="en-US"/>
              </w:rPr>
              <w:t>24,47</w:t>
            </w:r>
          </w:p>
        </w:tc>
      </w:tr>
    </w:tbl>
    <w:p w14:paraId="7B4B3B60" w14:textId="77777777" w:rsidR="005B0FBE" w:rsidRDefault="005B0FBE" w:rsidP="005B0FBE">
      <w:pPr>
        <w:rPr>
          <w:sz w:val="18"/>
          <w:szCs w:val="18"/>
        </w:rPr>
      </w:pPr>
      <w:r>
        <w:rPr>
          <w:sz w:val="18"/>
          <w:szCs w:val="18"/>
        </w:rPr>
        <w:t>Fonte: Dati di monitoraggio forniti da Regione Lombardia aggiornati al 31.12.2020.</w:t>
      </w:r>
    </w:p>
    <w:p w14:paraId="1031CF75" w14:textId="77777777" w:rsidR="005B0FBE" w:rsidRDefault="005B0FBE" w:rsidP="005B0FBE">
      <w:pPr>
        <w:rPr>
          <w:sz w:val="18"/>
          <w:szCs w:val="18"/>
        </w:rPr>
      </w:pPr>
      <w:r w:rsidRPr="00736D99">
        <w:rPr>
          <w:sz w:val="18"/>
          <w:szCs w:val="18"/>
        </w:rPr>
        <w:t xml:space="preserve">Nota: </w:t>
      </w:r>
      <w:r>
        <w:rPr>
          <w:sz w:val="18"/>
          <w:szCs w:val="18"/>
        </w:rPr>
        <w:t>Nella tabella vengono riportati solamente gli indicatori che riportano un target e che al 2020 presentano un valore realizzato maggiore di zero</w:t>
      </w:r>
    </w:p>
    <w:p w14:paraId="61F07F76" w14:textId="77777777" w:rsidR="005B0FBE" w:rsidRDefault="005B0FBE" w:rsidP="005B0FBE">
      <w:pPr>
        <w:rPr>
          <w:sz w:val="18"/>
          <w:szCs w:val="18"/>
        </w:rPr>
      </w:pPr>
    </w:p>
    <w:p w14:paraId="6256C867" w14:textId="77777777" w:rsidR="005B0FBE" w:rsidRPr="00736D99" w:rsidRDefault="005B0FBE" w:rsidP="00813093">
      <w:pPr>
        <w:rPr>
          <w:sz w:val="18"/>
          <w:szCs w:val="18"/>
        </w:rPr>
      </w:pPr>
    </w:p>
    <w:p w14:paraId="3652FEE5" w14:textId="77777777" w:rsidR="003A138C" w:rsidRDefault="00BC0A97" w:rsidP="003A138C">
      <w:pPr>
        <w:widowControl w:val="0"/>
        <w:autoSpaceDE w:val="0"/>
        <w:autoSpaceDN w:val="0"/>
        <w:adjustRightInd w:val="0"/>
        <w:rPr>
          <w:rFonts w:eastAsia="Times New Roman"/>
          <w:bCs/>
          <w:iCs/>
          <w:color w:val="000000"/>
          <w:szCs w:val="22"/>
        </w:rPr>
      </w:pPr>
      <w:r>
        <w:rPr>
          <w:rFonts w:eastAsia="Times New Roman"/>
          <w:bCs/>
          <w:color w:val="000000"/>
          <w:szCs w:val="22"/>
        </w:rPr>
        <w:t xml:space="preserve">Per quanto riguarda le iniziative finanziate dal </w:t>
      </w:r>
      <w:r w:rsidRPr="00414FD8">
        <w:rPr>
          <w:rFonts w:eastAsia="Times New Roman"/>
          <w:b/>
          <w:color w:val="000000"/>
          <w:szCs w:val="22"/>
        </w:rPr>
        <w:t>PSR FEASR</w:t>
      </w:r>
      <w:r>
        <w:rPr>
          <w:rFonts w:eastAsia="Times New Roman"/>
          <w:bCs/>
          <w:color w:val="000000"/>
          <w:szCs w:val="22"/>
        </w:rPr>
        <w:t>, la tabella che segue illustra i principali indicatori</w:t>
      </w:r>
      <w:r w:rsidRPr="00414FD8">
        <w:rPr>
          <w:rFonts w:eastAsia="Times New Roman"/>
          <w:bCs/>
          <w:color w:val="000000"/>
          <w:szCs w:val="22"/>
        </w:rPr>
        <w:t xml:space="preserve"> </w:t>
      </w:r>
      <w:r>
        <w:rPr>
          <w:rFonts w:eastAsia="Times New Roman"/>
          <w:bCs/>
          <w:color w:val="000000"/>
          <w:szCs w:val="22"/>
        </w:rPr>
        <w:t xml:space="preserve">relativi </w:t>
      </w:r>
      <w:r w:rsidRPr="00456825">
        <w:rPr>
          <w:rFonts w:eastAsia="Times New Roman"/>
          <w:bCs/>
          <w:color w:val="000000"/>
          <w:szCs w:val="22"/>
        </w:rPr>
        <w:t xml:space="preserve">all’avanzamento </w:t>
      </w:r>
      <w:r>
        <w:rPr>
          <w:rFonts w:eastAsia="Times New Roman"/>
          <w:bCs/>
          <w:color w:val="000000"/>
          <w:szCs w:val="22"/>
        </w:rPr>
        <w:t>della Priorità</w:t>
      </w:r>
      <w:r w:rsidRPr="00164FC9">
        <w:rPr>
          <w:rFonts w:eastAsia="Times New Roman"/>
          <w:bCs/>
          <w:color w:val="000000"/>
          <w:szCs w:val="22"/>
        </w:rPr>
        <w:t xml:space="preserve"> </w:t>
      </w:r>
      <w:r w:rsidR="003A138C" w:rsidRPr="00813CC6">
        <w:rPr>
          <w:rFonts w:eastAsia="Times New Roman"/>
          <w:bCs/>
          <w:iCs/>
          <w:color w:val="000000"/>
          <w:szCs w:val="22"/>
        </w:rPr>
        <w:t>6</w:t>
      </w:r>
      <w:r w:rsidR="00813CC6" w:rsidRPr="00813CC6">
        <w:rPr>
          <w:rFonts w:eastAsia="Times New Roman"/>
          <w:bCs/>
          <w:iCs/>
          <w:color w:val="000000"/>
          <w:szCs w:val="22"/>
        </w:rPr>
        <w:t>,</w:t>
      </w:r>
      <w:r w:rsidR="003A138C" w:rsidRPr="00813CC6">
        <w:rPr>
          <w:rFonts w:eastAsia="Times New Roman"/>
          <w:bCs/>
          <w:iCs/>
          <w:color w:val="000000"/>
          <w:szCs w:val="22"/>
        </w:rPr>
        <w:t xml:space="preserve"> </w:t>
      </w:r>
      <w:r w:rsidR="003A138C" w:rsidRPr="00813CC6">
        <w:rPr>
          <w:rFonts w:eastAsia="Times New Roman"/>
          <w:bCs/>
          <w:i/>
          <w:iCs/>
          <w:color w:val="000000"/>
          <w:szCs w:val="22"/>
        </w:rPr>
        <w:t>Adoperarsi per l'inclusione sociale, la riduzione della povertà e lo sviluppo economico nelle zone rurali</w:t>
      </w:r>
      <w:r w:rsidR="003A138C" w:rsidRPr="00813CC6">
        <w:rPr>
          <w:rFonts w:eastAsia="Times New Roman"/>
          <w:bCs/>
          <w:iCs/>
          <w:color w:val="000000"/>
          <w:szCs w:val="22"/>
        </w:rPr>
        <w:t>, l’indicatore</w:t>
      </w:r>
      <w:r w:rsidR="003A138C">
        <w:rPr>
          <w:rFonts w:eastAsia="Times New Roman"/>
          <w:bCs/>
          <w:iCs/>
          <w:color w:val="000000"/>
          <w:szCs w:val="22"/>
        </w:rPr>
        <w:t xml:space="preserve"> T21 ha superato il proprio target. Per quanto riguarda gli altri indicatori la Priorità sembra scontare il ritardo nell’avvio del LEADER.</w:t>
      </w:r>
    </w:p>
    <w:p w14:paraId="29096B1D" w14:textId="77777777" w:rsidR="003A138C" w:rsidRDefault="003A138C" w:rsidP="00B104C3"/>
    <w:p w14:paraId="695EFBCB" w14:textId="77777777" w:rsidR="003A138C" w:rsidRPr="00456825" w:rsidRDefault="00BC0A97" w:rsidP="00BC0A97">
      <w:pPr>
        <w:pStyle w:val="Didascalia"/>
        <w:rPr>
          <w:b w:val="0"/>
          <w:bCs/>
          <w:i w:val="0"/>
        </w:rPr>
      </w:pPr>
      <w:bookmarkStart w:id="58" w:name="_Toc91081449"/>
      <w:r>
        <w:t xml:space="preserve">Tabella </w:t>
      </w:r>
      <w:r w:rsidR="004E6566">
        <w:fldChar w:fldCharType="begin"/>
      </w:r>
      <w:r>
        <w:instrText xml:space="preserve"> SEQ Tabella \* ARABIC </w:instrText>
      </w:r>
      <w:r w:rsidR="004E6566">
        <w:fldChar w:fldCharType="separate"/>
      </w:r>
      <w:r w:rsidR="00E53D6C">
        <w:rPr>
          <w:noProof/>
        </w:rPr>
        <w:t>23</w:t>
      </w:r>
      <w:r w:rsidR="004E6566">
        <w:fldChar w:fldCharType="end"/>
      </w:r>
      <w:r>
        <w:t xml:space="preserve">. </w:t>
      </w:r>
      <w:r w:rsidRPr="000F4A35">
        <w:t xml:space="preserve">Indicatori target relativi alla Priorità </w:t>
      </w:r>
      <w:r>
        <w:t>6</w:t>
      </w:r>
      <w:r w:rsidRPr="000F4A35">
        <w:t xml:space="preserve"> del PSR FEASR</w:t>
      </w:r>
      <w:bookmarkEnd w:id="58"/>
    </w:p>
    <w:tbl>
      <w:tblPr>
        <w:tblW w:w="5000" w:type="pct"/>
        <w:tblLayout w:type="fixed"/>
        <w:tblCellMar>
          <w:left w:w="70" w:type="dxa"/>
          <w:right w:w="70" w:type="dxa"/>
        </w:tblCellMar>
        <w:tblLook w:val="04A0" w:firstRow="1" w:lastRow="0" w:firstColumn="1" w:lastColumn="0" w:noHBand="0" w:noVBand="1"/>
      </w:tblPr>
      <w:tblGrid>
        <w:gridCol w:w="1554"/>
        <w:gridCol w:w="1843"/>
        <w:gridCol w:w="1279"/>
        <w:gridCol w:w="1134"/>
        <w:gridCol w:w="1419"/>
        <w:gridCol w:w="1136"/>
        <w:gridCol w:w="1263"/>
      </w:tblGrid>
      <w:tr w:rsidR="003A138C" w:rsidRPr="003A138C" w14:paraId="73C16EEE" w14:textId="77777777" w:rsidTr="00813CC6">
        <w:trPr>
          <w:trHeight w:val="60"/>
          <w:tblHeader/>
        </w:trPr>
        <w:tc>
          <w:tcPr>
            <w:tcW w:w="807" w:type="pct"/>
            <w:tcBorders>
              <w:top w:val="single" w:sz="4" w:space="0" w:color="000000"/>
              <w:left w:val="single" w:sz="4" w:space="0" w:color="000000"/>
              <w:bottom w:val="single" w:sz="4" w:space="0" w:color="000000"/>
              <w:right w:val="single" w:sz="4" w:space="0" w:color="000000"/>
            </w:tcBorders>
            <w:shd w:val="clear" w:color="auto" w:fill="669748" w:themeFill="accent2" w:themeFillShade="BF"/>
            <w:vAlign w:val="center"/>
            <w:hideMark/>
          </w:tcPr>
          <w:p w14:paraId="7BEE86CA" w14:textId="77777777" w:rsidR="003A138C" w:rsidRPr="003A138C" w:rsidRDefault="003A138C" w:rsidP="00AF58DF">
            <w:pPr>
              <w:jc w:val="center"/>
              <w:rPr>
                <w:rFonts w:eastAsia="Times New Roman" w:cs="Calibri"/>
                <w:b/>
                <w:bCs/>
                <w:i/>
                <w:iCs/>
                <w:color w:val="FFFFFF" w:themeColor="background1"/>
                <w:sz w:val="18"/>
                <w:szCs w:val="18"/>
              </w:rPr>
            </w:pPr>
            <w:r w:rsidRPr="003A138C">
              <w:rPr>
                <w:rFonts w:eastAsia="Times New Roman" w:cs="Calibri"/>
                <w:b/>
                <w:bCs/>
                <w:color w:val="FFFFFF" w:themeColor="background1"/>
                <w:sz w:val="18"/>
                <w:szCs w:val="18"/>
              </w:rPr>
              <w:t>Focus Area/Misura</w:t>
            </w:r>
          </w:p>
        </w:tc>
        <w:tc>
          <w:tcPr>
            <w:tcW w:w="957" w:type="pct"/>
            <w:tcBorders>
              <w:top w:val="single" w:sz="4" w:space="0" w:color="000000"/>
              <w:left w:val="single" w:sz="4" w:space="0" w:color="000000"/>
              <w:bottom w:val="single" w:sz="4" w:space="0" w:color="000000"/>
              <w:right w:val="single" w:sz="4" w:space="0" w:color="000000"/>
            </w:tcBorders>
            <w:shd w:val="clear" w:color="auto" w:fill="669748" w:themeFill="accent2" w:themeFillShade="BF"/>
            <w:vAlign w:val="center"/>
          </w:tcPr>
          <w:p w14:paraId="08B5F0BE" w14:textId="77777777" w:rsidR="003A138C" w:rsidRPr="003A138C" w:rsidRDefault="003A138C" w:rsidP="00AF58DF">
            <w:pPr>
              <w:jc w:val="center"/>
              <w:rPr>
                <w:rFonts w:eastAsia="Times New Roman" w:cs="Calibri"/>
                <w:b/>
                <w:bCs/>
                <w:i/>
                <w:iCs/>
                <w:color w:val="FFFFFF" w:themeColor="background1"/>
                <w:sz w:val="18"/>
                <w:szCs w:val="18"/>
              </w:rPr>
            </w:pPr>
            <w:r w:rsidRPr="003A138C">
              <w:rPr>
                <w:rFonts w:eastAsia="Times New Roman" w:cs="Calibri"/>
                <w:b/>
                <w:bCs/>
                <w:color w:val="FFFFFF" w:themeColor="background1"/>
                <w:sz w:val="18"/>
                <w:szCs w:val="18"/>
              </w:rPr>
              <w:t>Indicatori</w:t>
            </w:r>
          </w:p>
        </w:tc>
        <w:tc>
          <w:tcPr>
            <w:tcW w:w="664"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46E15827" w14:textId="77777777" w:rsidR="003A138C" w:rsidRPr="003A138C" w:rsidRDefault="003A138C" w:rsidP="00AF58DF">
            <w:pPr>
              <w:jc w:val="center"/>
              <w:rPr>
                <w:rFonts w:eastAsia="Times New Roman" w:cs="Calibri"/>
                <w:b/>
                <w:bCs/>
                <w:i/>
                <w:iCs/>
                <w:color w:val="FFFFFF" w:themeColor="background1"/>
                <w:sz w:val="18"/>
                <w:szCs w:val="18"/>
              </w:rPr>
            </w:pPr>
            <w:r w:rsidRPr="003A138C">
              <w:rPr>
                <w:rFonts w:eastAsia="Times New Roman" w:cs="Calibri"/>
                <w:b/>
                <w:bCs/>
                <w:i/>
                <w:iCs/>
                <w:color w:val="FFFFFF" w:themeColor="background1"/>
                <w:sz w:val="18"/>
                <w:szCs w:val="18"/>
              </w:rPr>
              <w:t xml:space="preserve">In Base </w:t>
            </w:r>
            <w:r w:rsidR="00813CC6">
              <w:rPr>
                <w:rFonts w:eastAsia="Times New Roman" w:cs="Calibri"/>
                <w:b/>
                <w:bCs/>
                <w:i/>
                <w:iCs/>
                <w:color w:val="FFFFFF" w:themeColor="background1"/>
                <w:sz w:val="18"/>
                <w:szCs w:val="18"/>
              </w:rPr>
              <w:t>a</w:t>
            </w:r>
            <w:r w:rsidRPr="003A138C">
              <w:rPr>
                <w:rFonts w:eastAsia="Times New Roman" w:cs="Calibri"/>
                <w:b/>
                <w:bCs/>
                <w:i/>
                <w:iCs/>
                <w:color w:val="FFFFFF" w:themeColor="background1"/>
                <w:sz w:val="18"/>
                <w:szCs w:val="18"/>
              </w:rPr>
              <w:t>ll'approvato</w:t>
            </w:r>
          </w:p>
        </w:tc>
        <w:tc>
          <w:tcPr>
            <w:tcW w:w="589"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4DFFB3AC" w14:textId="77777777" w:rsidR="003A138C" w:rsidRPr="003A138C" w:rsidRDefault="003A138C" w:rsidP="00AF58DF">
            <w:pPr>
              <w:jc w:val="center"/>
              <w:rPr>
                <w:rFonts w:eastAsia="Times New Roman" w:cs="Calibri"/>
                <w:b/>
                <w:bCs/>
                <w:i/>
                <w:iCs/>
                <w:color w:val="FFFFFF" w:themeColor="background1"/>
                <w:sz w:val="18"/>
                <w:szCs w:val="18"/>
              </w:rPr>
            </w:pPr>
            <w:r w:rsidRPr="003A138C">
              <w:rPr>
                <w:rFonts w:eastAsia="Times New Roman" w:cs="Calibri"/>
                <w:b/>
                <w:bCs/>
                <w:i/>
                <w:iCs/>
                <w:color w:val="FFFFFF" w:themeColor="background1"/>
                <w:sz w:val="18"/>
                <w:szCs w:val="18"/>
              </w:rPr>
              <w:t>Utilizzazione (%)</w:t>
            </w:r>
          </w:p>
        </w:tc>
        <w:tc>
          <w:tcPr>
            <w:tcW w:w="737"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659CAFB7" w14:textId="77777777" w:rsidR="003A138C" w:rsidRPr="003A138C" w:rsidRDefault="003A138C" w:rsidP="00813CC6">
            <w:pPr>
              <w:jc w:val="center"/>
              <w:rPr>
                <w:rFonts w:eastAsia="Times New Roman" w:cs="Calibri"/>
                <w:b/>
                <w:bCs/>
                <w:i/>
                <w:iCs/>
                <w:color w:val="FFFFFF" w:themeColor="background1"/>
                <w:sz w:val="18"/>
                <w:szCs w:val="18"/>
              </w:rPr>
            </w:pPr>
            <w:r w:rsidRPr="003A138C">
              <w:rPr>
                <w:rFonts w:eastAsia="Times New Roman" w:cs="Calibri"/>
                <w:b/>
                <w:bCs/>
                <w:i/>
                <w:iCs/>
                <w:color w:val="FFFFFF" w:themeColor="background1"/>
                <w:sz w:val="18"/>
                <w:szCs w:val="18"/>
              </w:rPr>
              <w:t>Realizzato</w:t>
            </w:r>
          </w:p>
        </w:tc>
        <w:tc>
          <w:tcPr>
            <w:tcW w:w="590"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470DDE57" w14:textId="77777777" w:rsidR="003A138C" w:rsidRPr="003A138C" w:rsidRDefault="003A138C" w:rsidP="00AF58DF">
            <w:pPr>
              <w:jc w:val="center"/>
              <w:rPr>
                <w:rFonts w:eastAsia="Times New Roman" w:cs="Calibri"/>
                <w:b/>
                <w:bCs/>
                <w:i/>
                <w:iCs/>
                <w:color w:val="FFFFFF" w:themeColor="background1"/>
                <w:sz w:val="18"/>
                <w:szCs w:val="18"/>
              </w:rPr>
            </w:pPr>
            <w:r w:rsidRPr="003A138C">
              <w:rPr>
                <w:rFonts w:eastAsia="Times New Roman" w:cs="Calibri"/>
                <w:b/>
                <w:bCs/>
                <w:i/>
                <w:iCs/>
                <w:color w:val="FFFFFF" w:themeColor="background1"/>
                <w:sz w:val="18"/>
                <w:szCs w:val="18"/>
              </w:rPr>
              <w:t xml:space="preserve">Utilizzazione </w:t>
            </w:r>
            <w:r w:rsidR="00813CC6">
              <w:rPr>
                <w:rFonts w:eastAsia="Times New Roman" w:cs="Calibri"/>
                <w:b/>
                <w:bCs/>
                <w:i/>
                <w:iCs/>
                <w:color w:val="FFFFFF" w:themeColor="background1"/>
                <w:sz w:val="18"/>
                <w:szCs w:val="18"/>
              </w:rPr>
              <w:t>(</w:t>
            </w:r>
            <w:r w:rsidRPr="003A138C">
              <w:rPr>
                <w:rFonts w:eastAsia="Times New Roman" w:cs="Calibri"/>
                <w:b/>
                <w:bCs/>
                <w:i/>
                <w:iCs/>
                <w:color w:val="FFFFFF" w:themeColor="background1"/>
                <w:sz w:val="18"/>
                <w:szCs w:val="18"/>
              </w:rPr>
              <w:t>%</w:t>
            </w:r>
            <w:r w:rsidR="00813CC6">
              <w:rPr>
                <w:rFonts w:eastAsia="Times New Roman" w:cs="Calibri"/>
                <w:b/>
                <w:bCs/>
                <w:i/>
                <w:iCs/>
                <w:color w:val="FFFFFF" w:themeColor="background1"/>
                <w:sz w:val="18"/>
                <w:szCs w:val="18"/>
              </w:rPr>
              <w:t>)</w:t>
            </w:r>
          </w:p>
        </w:tc>
        <w:tc>
          <w:tcPr>
            <w:tcW w:w="656" w:type="pct"/>
            <w:tcBorders>
              <w:top w:val="single" w:sz="4" w:space="0" w:color="000000"/>
              <w:left w:val="nil"/>
              <w:bottom w:val="single" w:sz="4" w:space="0" w:color="000000"/>
              <w:right w:val="single" w:sz="4" w:space="0" w:color="000000"/>
            </w:tcBorders>
            <w:shd w:val="clear" w:color="auto" w:fill="669748" w:themeFill="accent2" w:themeFillShade="BF"/>
            <w:vAlign w:val="center"/>
            <w:hideMark/>
          </w:tcPr>
          <w:p w14:paraId="7A1787CB" w14:textId="77777777" w:rsidR="003A138C" w:rsidRPr="003A138C" w:rsidRDefault="003A138C" w:rsidP="00AF58DF">
            <w:pPr>
              <w:jc w:val="center"/>
              <w:rPr>
                <w:rFonts w:eastAsia="Times New Roman" w:cs="Calibri"/>
                <w:b/>
                <w:bCs/>
                <w:i/>
                <w:iCs/>
                <w:color w:val="FFFFFF" w:themeColor="background1"/>
                <w:sz w:val="18"/>
                <w:szCs w:val="18"/>
              </w:rPr>
            </w:pPr>
            <w:r w:rsidRPr="003A138C">
              <w:rPr>
                <w:rFonts w:eastAsia="Times New Roman" w:cs="Calibri"/>
                <w:b/>
                <w:bCs/>
                <w:i/>
                <w:iCs/>
                <w:color w:val="FFFFFF" w:themeColor="background1"/>
                <w:sz w:val="18"/>
                <w:szCs w:val="18"/>
              </w:rPr>
              <w:t>Target Finale 2023</w:t>
            </w:r>
          </w:p>
        </w:tc>
      </w:tr>
      <w:tr w:rsidR="003A138C" w:rsidRPr="003A138C" w14:paraId="1810FDC7" w14:textId="77777777" w:rsidTr="00813CC6">
        <w:trPr>
          <w:trHeight w:val="110"/>
        </w:trPr>
        <w:tc>
          <w:tcPr>
            <w:tcW w:w="807" w:type="pct"/>
            <w:tcBorders>
              <w:top w:val="nil"/>
              <w:left w:val="single" w:sz="4" w:space="0" w:color="000000"/>
              <w:bottom w:val="single" w:sz="4" w:space="0" w:color="000000"/>
              <w:right w:val="single" w:sz="4" w:space="0" w:color="000000"/>
            </w:tcBorders>
            <w:shd w:val="clear" w:color="auto" w:fill="auto"/>
            <w:noWrap/>
            <w:vAlign w:val="center"/>
            <w:hideMark/>
          </w:tcPr>
          <w:p w14:paraId="5EC987C9"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6A) Favorire la diversificazione, la creazione e lo sviluppo di piccole imprese nonché dell'occupazione</w:t>
            </w:r>
          </w:p>
        </w:tc>
        <w:tc>
          <w:tcPr>
            <w:tcW w:w="957" w:type="pct"/>
            <w:tcBorders>
              <w:top w:val="nil"/>
              <w:left w:val="nil"/>
              <w:bottom w:val="single" w:sz="4" w:space="0" w:color="000000"/>
              <w:right w:val="single" w:sz="4" w:space="0" w:color="000000"/>
            </w:tcBorders>
            <w:shd w:val="clear" w:color="auto" w:fill="auto"/>
            <w:vAlign w:val="center"/>
            <w:hideMark/>
          </w:tcPr>
          <w:p w14:paraId="746B1670"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T20: posti di lavoro creati nell'ambito dei progetti finanziati</w:t>
            </w:r>
          </w:p>
        </w:tc>
        <w:tc>
          <w:tcPr>
            <w:tcW w:w="664" w:type="pct"/>
            <w:tcBorders>
              <w:top w:val="nil"/>
              <w:left w:val="nil"/>
              <w:bottom w:val="single" w:sz="4" w:space="0" w:color="000000"/>
              <w:right w:val="single" w:sz="4" w:space="0" w:color="000000"/>
            </w:tcBorders>
            <w:shd w:val="clear" w:color="auto" w:fill="auto"/>
            <w:noWrap/>
            <w:vAlign w:val="center"/>
            <w:hideMark/>
          </w:tcPr>
          <w:p w14:paraId="4B48C085"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 </w:t>
            </w:r>
          </w:p>
        </w:tc>
        <w:tc>
          <w:tcPr>
            <w:tcW w:w="589" w:type="pct"/>
            <w:tcBorders>
              <w:top w:val="nil"/>
              <w:left w:val="nil"/>
              <w:bottom w:val="single" w:sz="4" w:space="0" w:color="000000"/>
              <w:right w:val="single" w:sz="4" w:space="0" w:color="000000"/>
            </w:tcBorders>
            <w:shd w:val="clear" w:color="auto" w:fill="auto"/>
            <w:noWrap/>
            <w:vAlign w:val="center"/>
            <w:hideMark/>
          </w:tcPr>
          <w:p w14:paraId="410E95A5" w14:textId="77777777" w:rsidR="003A138C" w:rsidRPr="003A138C" w:rsidRDefault="003A138C" w:rsidP="00AF58DF">
            <w:pPr>
              <w:jc w:val="center"/>
              <w:rPr>
                <w:rFonts w:eastAsia="Times New Roman" w:cs="Calibri"/>
                <w:color w:val="000000"/>
                <w:sz w:val="18"/>
                <w:szCs w:val="18"/>
              </w:rPr>
            </w:pPr>
          </w:p>
        </w:tc>
        <w:tc>
          <w:tcPr>
            <w:tcW w:w="737" w:type="pct"/>
            <w:tcBorders>
              <w:top w:val="nil"/>
              <w:left w:val="nil"/>
              <w:bottom w:val="single" w:sz="4" w:space="0" w:color="000000"/>
              <w:right w:val="single" w:sz="4" w:space="0" w:color="000000"/>
            </w:tcBorders>
            <w:shd w:val="clear" w:color="auto" w:fill="auto"/>
            <w:noWrap/>
            <w:vAlign w:val="center"/>
            <w:hideMark/>
          </w:tcPr>
          <w:p w14:paraId="678FA0EC" w14:textId="77777777" w:rsidR="003A138C" w:rsidRPr="003A138C" w:rsidRDefault="003A138C" w:rsidP="00813CC6">
            <w:pPr>
              <w:jc w:val="right"/>
              <w:rPr>
                <w:rFonts w:eastAsia="Times New Roman" w:cs="Calibri"/>
                <w:color w:val="000000"/>
                <w:sz w:val="18"/>
                <w:szCs w:val="18"/>
              </w:rPr>
            </w:pPr>
            <w:r w:rsidRPr="003A138C">
              <w:rPr>
                <w:rFonts w:eastAsia="Times New Roman" w:cs="Calibri"/>
                <w:color w:val="000000"/>
                <w:sz w:val="18"/>
                <w:szCs w:val="18"/>
              </w:rPr>
              <w:t> </w:t>
            </w:r>
          </w:p>
        </w:tc>
        <w:tc>
          <w:tcPr>
            <w:tcW w:w="590" w:type="pct"/>
            <w:tcBorders>
              <w:top w:val="nil"/>
              <w:left w:val="nil"/>
              <w:bottom w:val="single" w:sz="4" w:space="0" w:color="000000"/>
              <w:right w:val="single" w:sz="4" w:space="0" w:color="000000"/>
            </w:tcBorders>
            <w:shd w:val="clear" w:color="auto" w:fill="auto"/>
            <w:noWrap/>
            <w:vAlign w:val="center"/>
            <w:hideMark/>
          </w:tcPr>
          <w:p w14:paraId="0C1D709A" w14:textId="77777777" w:rsidR="003A138C" w:rsidRPr="003A138C" w:rsidRDefault="003A138C" w:rsidP="00AF58DF">
            <w:pPr>
              <w:jc w:val="center"/>
              <w:rPr>
                <w:rFonts w:eastAsia="Times New Roman" w:cs="Calibri"/>
                <w:color w:val="000000"/>
                <w:sz w:val="18"/>
                <w:szCs w:val="18"/>
              </w:rPr>
            </w:pPr>
          </w:p>
        </w:tc>
        <w:tc>
          <w:tcPr>
            <w:tcW w:w="656" w:type="pct"/>
            <w:tcBorders>
              <w:top w:val="nil"/>
              <w:left w:val="nil"/>
              <w:bottom w:val="single" w:sz="4" w:space="0" w:color="000000"/>
              <w:right w:val="single" w:sz="4" w:space="0" w:color="000000"/>
            </w:tcBorders>
            <w:shd w:val="clear" w:color="99FF99" w:fill="auto"/>
            <w:noWrap/>
            <w:vAlign w:val="center"/>
            <w:hideMark/>
          </w:tcPr>
          <w:p w14:paraId="607588E1"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10</w:t>
            </w:r>
          </w:p>
        </w:tc>
      </w:tr>
      <w:tr w:rsidR="003A138C" w:rsidRPr="003A138C" w14:paraId="6B5F2F62" w14:textId="77777777" w:rsidTr="00813CC6">
        <w:trPr>
          <w:trHeight w:val="280"/>
        </w:trPr>
        <w:tc>
          <w:tcPr>
            <w:tcW w:w="807" w:type="pct"/>
            <w:tcBorders>
              <w:top w:val="nil"/>
              <w:left w:val="single" w:sz="4" w:space="0" w:color="000000"/>
              <w:bottom w:val="single" w:sz="4" w:space="0" w:color="000000"/>
              <w:right w:val="single" w:sz="4" w:space="0" w:color="000000"/>
            </w:tcBorders>
            <w:shd w:val="clear" w:color="auto" w:fill="auto"/>
            <w:noWrap/>
            <w:vAlign w:val="center"/>
            <w:hideMark/>
          </w:tcPr>
          <w:p w14:paraId="5EE46D32"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M7</w:t>
            </w:r>
          </w:p>
        </w:tc>
        <w:tc>
          <w:tcPr>
            <w:tcW w:w="957" w:type="pct"/>
            <w:tcBorders>
              <w:top w:val="nil"/>
              <w:left w:val="nil"/>
              <w:bottom w:val="single" w:sz="4" w:space="0" w:color="000000"/>
              <w:right w:val="single" w:sz="4" w:space="0" w:color="000000"/>
            </w:tcBorders>
            <w:shd w:val="clear" w:color="auto" w:fill="auto"/>
            <w:vAlign w:val="center"/>
            <w:hideMark/>
          </w:tcPr>
          <w:p w14:paraId="7C3DEFF3"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O1 - Spesa pubblica totale</w:t>
            </w:r>
          </w:p>
        </w:tc>
        <w:tc>
          <w:tcPr>
            <w:tcW w:w="664" w:type="pct"/>
            <w:tcBorders>
              <w:top w:val="nil"/>
              <w:left w:val="nil"/>
              <w:bottom w:val="single" w:sz="4" w:space="0" w:color="000000"/>
              <w:right w:val="single" w:sz="4" w:space="0" w:color="000000"/>
            </w:tcBorders>
            <w:shd w:val="clear" w:color="auto" w:fill="auto"/>
            <w:vAlign w:val="center"/>
            <w:hideMark/>
          </w:tcPr>
          <w:p w14:paraId="6F2B46D8"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2.358.004,26</w:t>
            </w:r>
          </w:p>
        </w:tc>
        <w:tc>
          <w:tcPr>
            <w:tcW w:w="589" w:type="pct"/>
            <w:tcBorders>
              <w:top w:val="nil"/>
              <w:left w:val="nil"/>
              <w:bottom w:val="single" w:sz="4" w:space="0" w:color="000000"/>
              <w:right w:val="single" w:sz="4" w:space="0" w:color="000000"/>
            </w:tcBorders>
            <w:shd w:val="clear" w:color="auto" w:fill="auto"/>
            <w:noWrap/>
            <w:vAlign w:val="center"/>
            <w:hideMark/>
          </w:tcPr>
          <w:p w14:paraId="6A49B930"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46,24</w:t>
            </w:r>
          </w:p>
        </w:tc>
        <w:tc>
          <w:tcPr>
            <w:tcW w:w="737" w:type="pct"/>
            <w:tcBorders>
              <w:top w:val="nil"/>
              <w:left w:val="nil"/>
              <w:bottom w:val="single" w:sz="4" w:space="0" w:color="000000"/>
              <w:right w:val="single" w:sz="4" w:space="0" w:color="000000"/>
            </w:tcBorders>
            <w:shd w:val="clear" w:color="auto" w:fill="auto"/>
            <w:noWrap/>
            <w:vAlign w:val="center"/>
            <w:hideMark/>
          </w:tcPr>
          <w:p w14:paraId="295255DC" w14:textId="77777777" w:rsidR="003A138C" w:rsidRPr="003A138C" w:rsidRDefault="003A138C" w:rsidP="00813CC6">
            <w:pPr>
              <w:jc w:val="right"/>
              <w:rPr>
                <w:rFonts w:eastAsia="Times New Roman" w:cs="Calibri"/>
                <w:color w:val="000000"/>
                <w:sz w:val="18"/>
                <w:szCs w:val="18"/>
              </w:rPr>
            </w:pPr>
            <w:r w:rsidRPr="003A138C">
              <w:rPr>
                <w:rFonts w:eastAsia="Times New Roman" w:cs="Calibri"/>
                <w:color w:val="000000"/>
                <w:sz w:val="18"/>
                <w:szCs w:val="18"/>
              </w:rPr>
              <w:t> </w:t>
            </w:r>
          </w:p>
        </w:tc>
        <w:tc>
          <w:tcPr>
            <w:tcW w:w="590" w:type="pct"/>
            <w:tcBorders>
              <w:top w:val="nil"/>
              <w:left w:val="nil"/>
              <w:bottom w:val="single" w:sz="4" w:space="0" w:color="000000"/>
              <w:right w:val="single" w:sz="4" w:space="0" w:color="000000"/>
            </w:tcBorders>
            <w:shd w:val="clear" w:color="auto" w:fill="auto"/>
            <w:noWrap/>
            <w:vAlign w:val="center"/>
            <w:hideMark/>
          </w:tcPr>
          <w:p w14:paraId="56B49038" w14:textId="77777777" w:rsidR="003A138C" w:rsidRPr="003A138C" w:rsidRDefault="003A138C" w:rsidP="00AF58DF">
            <w:pPr>
              <w:jc w:val="center"/>
              <w:rPr>
                <w:rFonts w:eastAsia="Times New Roman" w:cs="Calibri"/>
                <w:color w:val="000000"/>
                <w:sz w:val="18"/>
                <w:szCs w:val="18"/>
              </w:rPr>
            </w:pPr>
          </w:p>
        </w:tc>
        <w:tc>
          <w:tcPr>
            <w:tcW w:w="656" w:type="pct"/>
            <w:tcBorders>
              <w:top w:val="nil"/>
              <w:left w:val="nil"/>
              <w:bottom w:val="single" w:sz="4" w:space="0" w:color="000000"/>
              <w:right w:val="single" w:sz="4" w:space="0" w:color="000000"/>
            </w:tcBorders>
            <w:shd w:val="clear" w:color="auto" w:fill="auto"/>
            <w:noWrap/>
            <w:vAlign w:val="center"/>
            <w:hideMark/>
          </w:tcPr>
          <w:p w14:paraId="680D9021"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5.100.000,00</w:t>
            </w:r>
          </w:p>
        </w:tc>
      </w:tr>
      <w:tr w:rsidR="003A138C" w:rsidRPr="003A138C" w14:paraId="6593F6A3" w14:textId="77777777" w:rsidTr="00813CC6">
        <w:trPr>
          <w:trHeight w:val="840"/>
        </w:trPr>
        <w:tc>
          <w:tcPr>
            <w:tcW w:w="807" w:type="pct"/>
            <w:vMerge w:val="restart"/>
            <w:tcBorders>
              <w:top w:val="nil"/>
              <w:left w:val="single" w:sz="4" w:space="0" w:color="000000"/>
              <w:right w:val="single" w:sz="4" w:space="0" w:color="000000"/>
            </w:tcBorders>
            <w:shd w:val="clear" w:color="auto" w:fill="auto"/>
            <w:noWrap/>
            <w:vAlign w:val="center"/>
            <w:hideMark/>
          </w:tcPr>
          <w:p w14:paraId="3DA9A3EF"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6B) Stimolare lo sviluppo locale nelle zone rurali</w:t>
            </w:r>
          </w:p>
        </w:tc>
        <w:tc>
          <w:tcPr>
            <w:tcW w:w="957" w:type="pct"/>
            <w:tcBorders>
              <w:top w:val="nil"/>
              <w:left w:val="nil"/>
              <w:bottom w:val="single" w:sz="4" w:space="0" w:color="000000"/>
              <w:right w:val="single" w:sz="4" w:space="0" w:color="000000"/>
            </w:tcBorders>
            <w:shd w:val="clear" w:color="auto" w:fill="auto"/>
            <w:vAlign w:val="center"/>
            <w:hideMark/>
          </w:tcPr>
          <w:p w14:paraId="3002DFDE"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T23: posti di lavoro creati nell'ambito dei progetti finanziati (LEADER)</w:t>
            </w:r>
          </w:p>
        </w:tc>
        <w:tc>
          <w:tcPr>
            <w:tcW w:w="664" w:type="pct"/>
            <w:tcBorders>
              <w:top w:val="nil"/>
              <w:left w:val="nil"/>
              <w:bottom w:val="single" w:sz="4" w:space="0" w:color="000000"/>
              <w:right w:val="single" w:sz="4" w:space="0" w:color="000000"/>
            </w:tcBorders>
            <w:shd w:val="clear" w:color="auto" w:fill="auto"/>
            <w:noWrap/>
            <w:vAlign w:val="center"/>
            <w:hideMark/>
          </w:tcPr>
          <w:p w14:paraId="79530B88"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 </w:t>
            </w:r>
          </w:p>
        </w:tc>
        <w:tc>
          <w:tcPr>
            <w:tcW w:w="589" w:type="pct"/>
            <w:tcBorders>
              <w:top w:val="nil"/>
              <w:left w:val="nil"/>
              <w:bottom w:val="single" w:sz="4" w:space="0" w:color="000000"/>
              <w:right w:val="single" w:sz="4" w:space="0" w:color="000000"/>
            </w:tcBorders>
            <w:shd w:val="clear" w:color="auto" w:fill="auto"/>
            <w:noWrap/>
            <w:vAlign w:val="center"/>
            <w:hideMark/>
          </w:tcPr>
          <w:p w14:paraId="01EE4FFB" w14:textId="77777777" w:rsidR="003A138C" w:rsidRPr="003A138C" w:rsidRDefault="003A138C" w:rsidP="00AF58DF">
            <w:pPr>
              <w:jc w:val="center"/>
              <w:rPr>
                <w:rFonts w:eastAsia="Times New Roman" w:cs="Calibri"/>
                <w:color w:val="000000"/>
                <w:sz w:val="18"/>
                <w:szCs w:val="18"/>
              </w:rPr>
            </w:pPr>
          </w:p>
        </w:tc>
        <w:tc>
          <w:tcPr>
            <w:tcW w:w="737" w:type="pct"/>
            <w:tcBorders>
              <w:top w:val="nil"/>
              <w:left w:val="nil"/>
              <w:bottom w:val="single" w:sz="4" w:space="0" w:color="000000"/>
              <w:right w:val="single" w:sz="4" w:space="0" w:color="000000"/>
            </w:tcBorders>
            <w:shd w:val="clear" w:color="auto" w:fill="auto"/>
            <w:noWrap/>
            <w:vAlign w:val="center"/>
            <w:hideMark/>
          </w:tcPr>
          <w:p w14:paraId="2E7EEF21" w14:textId="77777777" w:rsidR="003A138C" w:rsidRPr="003A138C" w:rsidRDefault="003A138C" w:rsidP="00813CC6">
            <w:pPr>
              <w:jc w:val="right"/>
              <w:rPr>
                <w:rFonts w:eastAsia="Times New Roman" w:cs="Calibri"/>
                <w:color w:val="000000"/>
                <w:sz w:val="18"/>
                <w:szCs w:val="18"/>
              </w:rPr>
            </w:pPr>
            <w:r w:rsidRPr="003A138C">
              <w:rPr>
                <w:rFonts w:eastAsia="Times New Roman" w:cs="Calibri"/>
                <w:color w:val="000000"/>
                <w:sz w:val="18"/>
                <w:szCs w:val="18"/>
              </w:rPr>
              <w:t>37</w:t>
            </w:r>
          </w:p>
        </w:tc>
        <w:tc>
          <w:tcPr>
            <w:tcW w:w="590" w:type="pct"/>
            <w:tcBorders>
              <w:top w:val="nil"/>
              <w:left w:val="nil"/>
              <w:bottom w:val="single" w:sz="4" w:space="0" w:color="000000"/>
              <w:right w:val="single" w:sz="4" w:space="0" w:color="000000"/>
            </w:tcBorders>
            <w:shd w:val="clear" w:color="auto" w:fill="auto"/>
            <w:noWrap/>
            <w:vAlign w:val="center"/>
            <w:hideMark/>
          </w:tcPr>
          <w:p w14:paraId="56A89F81"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26,43</w:t>
            </w:r>
          </w:p>
        </w:tc>
        <w:tc>
          <w:tcPr>
            <w:tcW w:w="656" w:type="pct"/>
            <w:tcBorders>
              <w:top w:val="nil"/>
              <w:left w:val="nil"/>
              <w:bottom w:val="single" w:sz="4" w:space="0" w:color="000000"/>
              <w:right w:val="single" w:sz="4" w:space="0" w:color="000000"/>
            </w:tcBorders>
            <w:shd w:val="clear" w:color="99FF99" w:fill="auto"/>
            <w:noWrap/>
            <w:vAlign w:val="center"/>
            <w:hideMark/>
          </w:tcPr>
          <w:p w14:paraId="1DFBF287"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140</w:t>
            </w:r>
          </w:p>
        </w:tc>
      </w:tr>
      <w:tr w:rsidR="003A138C" w:rsidRPr="003A138C" w14:paraId="7A3A45C6" w14:textId="77777777" w:rsidTr="00813CC6">
        <w:trPr>
          <w:trHeight w:val="124"/>
        </w:trPr>
        <w:tc>
          <w:tcPr>
            <w:tcW w:w="807" w:type="pct"/>
            <w:vMerge/>
            <w:tcBorders>
              <w:left w:val="single" w:sz="4" w:space="0" w:color="000000"/>
              <w:right w:val="single" w:sz="4" w:space="0" w:color="000000"/>
            </w:tcBorders>
            <w:shd w:val="clear" w:color="auto" w:fill="auto"/>
            <w:noWrap/>
            <w:vAlign w:val="center"/>
            <w:hideMark/>
          </w:tcPr>
          <w:p w14:paraId="7869C3FF" w14:textId="77777777" w:rsidR="003A138C" w:rsidRPr="003A138C" w:rsidRDefault="003A138C" w:rsidP="00AF58DF">
            <w:pPr>
              <w:rPr>
                <w:rFonts w:eastAsia="Times New Roman" w:cs="Calibri"/>
                <w:color w:val="000000"/>
                <w:sz w:val="18"/>
                <w:szCs w:val="18"/>
              </w:rPr>
            </w:pPr>
          </w:p>
        </w:tc>
        <w:tc>
          <w:tcPr>
            <w:tcW w:w="957" w:type="pct"/>
            <w:tcBorders>
              <w:top w:val="nil"/>
              <w:left w:val="nil"/>
              <w:bottom w:val="single" w:sz="4" w:space="0" w:color="000000"/>
              <w:right w:val="single" w:sz="4" w:space="0" w:color="000000"/>
            </w:tcBorders>
            <w:shd w:val="clear" w:color="auto" w:fill="auto"/>
            <w:vAlign w:val="center"/>
            <w:hideMark/>
          </w:tcPr>
          <w:p w14:paraId="0C91065A"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T22: percentuale di popolazione rurale che beneficia di migliori servizi/infrastrutture</w:t>
            </w:r>
          </w:p>
        </w:tc>
        <w:tc>
          <w:tcPr>
            <w:tcW w:w="664" w:type="pct"/>
            <w:tcBorders>
              <w:top w:val="nil"/>
              <w:left w:val="nil"/>
              <w:bottom w:val="single" w:sz="4" w:space="0" w:color="000000"/>
              <w:right w:val="single" w:sz="4" w:space="0" w:color="000000"/>
            </w:tcBorders>
            <w:shd w:val="clear" w:color="auto" w:fill="auto"/>
            <w:noWrap/>
            <w:vAlign w:val="center"/>
            <w:hideMark/>
          </w:tcPr>
          <w:p w14:paraId="32AD4FC9"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 </w:t>
            </w:r>
          </w:p>
        </w:tc>
        <w:tc>
          <w:tcPr>
            <w:tcW w:w="589" w:type="pct"/>
            <w:tcBorders>
              <w:top w:val="nil"/>
              <w:left w:val="nil"/>
              <w:bottom w:val="single" w:sz="4" w:space="0" w:color="000000"/>
              <w:right w:val="single" w:sz="4" w:space="0" w:color="000000"/>
            </w:tcBorders>
            <w:shd w:val="clear" w:color="auto" w:fill="auto"/>
            <w:noWrap/>
            <w:vAlign w:val="center"/>
            <w:hideMark/>
          </w:tcPr>
          <w:p w14:paraId="3DDAA87D" w14:textId="77777777" w:rsidR="003A138C" w:rsidRPr="003A138C" w:rsidRDefault="003A138C" w:rsidP="00AF58DF">
            <w:pPr>
              <w:jc w:val="center"/>
              <w:rPr>
                <w:rFonts w:eastAsia="Times New Roman" w:cs="Calibri"/>
                <w:color w:val="000000"/>
                <w:sz w:val="18"/>
                <w:szCs w:val="18"/>
              </w:rPr>
            </w:pPr>
          </w:p>
        </w:tc>
        <w:tc>
          <w:tcPr>
            <w:tcW w:w="737" w:type="pct"/>
            <w:tcBorders>
              <w:top w:val="nil"/>
              <w:left w:val="nil"/>
              <w:bottom w:val="single" w:sz="4" w:space="0" w:color="000000"/>
              <w:right w:val="single" w:sz="4" w:space="0" w:color="000000"/>
            </w:tcBorders>
            <w:shd w:val="clear" w:color="auto" w:fill="auto"/>
            <w:noWrap/>
            <w:vAlign w:val="center"/>
            <w:hideMark/>
          </w:tcPr>
          <w:p w14:paraId="087E8E6B" w14:textId="77777777" w:rsidR="003A138C" w:rsidRPr="003A138C" w:rsidRDefault="003A138C" w:rsidP="00813CC6">
            <w:pPr>
              <w:jc w:val="right"/>
              <w:rPr>
                <w:rFonts w:eastAsia="Times New Roman" w:cs="Calibri"/>
                <w:color w:val="000000"/>
                <w:sz w:val="18"/>
                <w:szCs w:val="18"/>
              </w:rPr>
            </w:pPr>
            <w:r w:rsidRPr="003A138C">
              <w:rPr>
                <w:rFonts w:eastAsia="Times New Roman" w:cs="Calibri"/>
                <w:color w:val="000000"/>
                <w:sz w:val="18"/>
                <w:szCs w:val="18"/>
              </w:rPr>
              <w:t> </w:t>
            </w:r>
          </w:p>
        </w:tc>
        <w:tc>
          <w:tcPr>
            <w:tcW w:w="590" w:type="pct"/>
            <w:tcBorders>
              <w:top w:val="nil"/>
              <w:left w:val="nil"/>
              <w:bottom w:val="single" w:sz="4" w:space="0" w:color="000000"/>
              <w:right w:val="single" w:sz="4" w:space="0" w:color="000000"/>
            </w:tcBorders>
            <w:shd w:val="clear" w:color="auto" w:fill="auto"/>
            <w:noWrap/>
            <w:vAlign w:val="center"/>
            <w:hideMark/>
          </w:tcPr>
          <w:p w14:paraId="7A2A4B86" w14:textId="77777777" w:rsidR="003A138C" w:rsidRPr="003A138C" w:rsidRDefault="003A138C" w:rsidP="00AF58DF">
            <w:pPr>
              <w:jc w:val="center"/>
              <w:rPr>
                <w:rFonts w:eastAsia="Times New Roman" w:cs="Calibri"/>
                <w:color w:val="000000"/>
                <w:sz w:val="18"/>
                <w:szCs w:val="18"/>
              </w:rPr>
            </w:pPr>
          </w:p>
        </w:tc>
        <w:tc>
          <w:tcPr>
            <w:tcW w:w="656" w:type="pct"/>
            <w:tcBorders>
              <w:top w:val="nil"/>
              <w:left w:val="nil"/>
              <w:bottom w:val="single" w:sz="4" w:space="0" w:color="000000"/>
              <w:right w:val="single" w:sz="4" w:space="0" w:color="000000"/>
            </w:tcBorders>
            <w:shd w:val="clear" w:color="auto" w:fill="auto"/>
            <w:noWrap/>
            <w:vAlign w:val="center"/>
            <w:hideMark/>
          </w:tcPr>
          <w:p w14:paraId="43A05DC6"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0</w:t>
            </w:r>
          </w:p>
        </w:tc>
      </w:tr>
      <w:tr w:rsidR="003A138C" w:rsidRPr="003A138C" w14:paraId="474A2EC2" w14:textId="77777777" w:rsidTr="00813CC6">
        <w:trPr>
          <w:trHeight w:val="60"/>
        </w:trPr>
        <w:tc>
          <w:tcPr>
            <w:tcW w:w="807" w:type="pct"/>
            <w:vMerge/>
            <w:tcBorders>
              <w:left w:val="single" w:sz="4" w:space="0" w:color="000000"/>
              <w:bottom w:val="single" w:sz="4" w:space="0" w:color="000000"/>
              <w:right w:val="single" w:sz="4" w:space="0" w:color="000000"/>
            </w:tcBorders>
            <w:shd w:val="clear" w:color="auto" w:fill="auto"/>
            <w:noWrap/>
            <w:vAlign w:val="center"/>
            <w:hideMark/>
          </w:tcPr>
          <w:p w14:paraId="2893BCC2" w14:textId="77777777" w:rsidR="003A138C" w:rsidRPr="003A138C" w:rsidRDefault="003A138C" w:rsidP="00AF58DF">
            <w:pPr>
              <w:rPr>
                <w:rFonts w:eastAsia="Times New Roman" w:cs="Calibri"/>
                <w:color w:val="000000"/>
                <w:sz w:val="18"/>
                <w:szCs w:val="18"/>
              </w:rPr>
            </w:pPr>
          </w:p>
        </w:tc>
        <w:tc>
          <w:tcPr>
            <w:tcW w:w="957" w:type="pct"/>
            <w:tcBorders>
              <w:top w:val="nil"/>
              <w:left w:val="nil"/>
              <w:bottom w:val="single" w:sz="4" w:space="0" w:color="000000"/>
              <w:right w:val="single" w:sz="4" w:space="0" w:color="000000"/>
            </w:tcBorders>
            <w:shd w:val="clear" w:color="auto" w:fill="auto"/>
            <w:vAlign w:val="center"/>
            <w:hideMark/>
          </w:tcPr>
          <w:p w14:paraId="46BD33D2"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T21: percentuale di popolazione rurale interessata da strategie di sviluppo locale</w:t>
            </w:r>
          </w:p>
        </w:tc>
        <w:tc>
          <w:tcPr>
            <w:tcW w:w="664" w:type="pct"/>
            <w:tcBorders>
              <w:top w:val="nil"/>
              <w:left w:val="nil"/>
              <w:bottom w:val="single" w:sz="4" w:space="0" w:color="000000"/>
              <w:right w:val="single" w:sz="4" w:space="0" w:color="000000"/>
            </w:tcBorders>
            <w:shd w:val="clear" w:color="auto" w:fill="auto"/>
            <w:noWrap/>
            <w:vAlign w:val="center"/>
            <w:hideMark/>
          </w:tcPr>
          <w:p w14:paraId="6379D4DB"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 </w:t>
            </w:r>
          </w:p>
        </w:tc>
        <w:tc>
          <w:tcPr>
            <w:tcW w:w="589" w:type="pct"/>
            <w:tcBorders>
              <w:top w:val="nil"/>
              <w:left w:val="nil"/>
              <w:bottom w:val="single" w:sz="4" w:space="0" w:color="000000"/>
              <w:right w:val="single" w:sz="4" w:space="0" w:color="000000"/>
            </w:tcBorders>
            <w:shd w:val="clear" w:color="auto" w:fill="auto"/>
            <w:noWrap/>
            <w:vAlign w:val="center"/>
            <w:hideMark/>
          </w:tcPr>
          <w:p w14:paraId="53E7C008" w14:textId="77777777" w:rsidR="003A138C" w:rsidRPr="003A138C" w:rsidRDefault="003A138C" w:rsidP="00AF58DF">
            <w:pPr>
              <w:jc w:val="center"/>
              <w:rPr>
                <w:rFonts w:eastAsia="Times New Roman" w:cs="Calibri"/>
                <w:color w:val="000000"/>
                <w:sz w:val="18"/>
                <w:szCs w:val="18"/>
              </w:rPr>
            </w:pPr>
          </w:p>
        </w:tc>
        <w:tc>
          <w:tcPr>
            <w:tcW w:w="737" w:type="pct"/>
            <w:tcBorders>
              <w:top w:val="nil"/>
              <w:left w:val="nil"/>
              <w:bottom w:val="single" w:sz="4" w:space="0" w:color="000000"/>
              <w:right w:val="single" w:sz="4" w:space="0" w:color="000000"/>
            </w:tcBorders>
            <w:shd w:val="clear" w:color="auto" w:fill="auto"/>
            <w:noWrap/>
            <w:vAlign w:val="center"/>
            <w:hideMark/>
          </w:tcPr>
          <w:p w14:paraId="7CBED103" w14:textId="77777777" w:rsidR="003A138C" w:rsidRPr="003A138C" w:rsidRDefault="003A138C" w:rsidP="00813CC6">
            <w:pPr>
              <w:jc w:val="right"/>
              <w:rPr>
                <w:rFonts w:eastAsia="Times New Roman" w:cs="Calibri"/>
                <w:color w:val="000000"/>
                <w:sz w:val="18"/>
                <w:szCs w:val="18"/>
              </w:rPr>
            </w:pPr>
            <w:r w:rsidRPr="003A138C">
              <w:rPr>
                <w:rFonts w:eastAsia="Times New Roman" w:cs="Calibri"/>
                <w:color w:val="000000"/>
                <w:sz w:val="18"/>
                <w:szCs w:val="18"/>
              </w:rPr>
              <w:t>20,4</w:t>
            </w:r>
          </w:p>
        </w:tc>
        <w:tc>
          <w:tcPr>
            <w:tcW w:w="590" w:type="pct"/>
            <w:tcBorders>
              <w:top w:val="nil"/>
              <w:left w:val="nil"/>
              <w:bottom w:val="single" w:sz="4" w:space="0" w:color="000000"/>
              <w:right w:val="single" w:sz="4" w:space="0" w:color="000000"/>
            </w:tcBorders>
            <w:shd w:val="clear" w:color="auto" w:fill="F8943F" w:themeFill="accent6"/>
            <w:noWrap/>
            <w:vAlign w:val="center"/>
            <w:hideMark/>
          </w:tcPr>
          <w:p w14:paraId="3F6565B0" w14:textId="6CAC8D7C"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127,</w:t>
            </w:r>
            <w:r w:rsidR="00661EED">
              <w:rPr>
                <w:rFonts w:eastAsia="Times New Roman" w:cs="Calibri"/>
                <w:color w:val="000000"/>
                <w:sz w:val="18"/>
                <w:szCs w:val="18"/>
              </w:rPr>
              <w:t>10</w:t>
            </w:r>
          </w:p>
        </w:tc>
        <w:tc>
          <w:tcPr>
            <w:tcW w:w="656" w:type="pct"/>
            <w:tcBorders>
              <w:top w:val="nil"/>
              <w:left w:val="nil"/>
              <w:bottom w:val="single" w:sz="4" w:space="0" w:color="000000"/>
              <w:right w:val="single" w:sz="4" w:space="0" w:color="000000"/>
            </w:tcBorders>
            <w:shd w:val="clear" w:color="auto" w:fill="F8943F" w:themeFill="accent6"/>
            <w:noWrap/>
            <w:vAlign w:val="center"/>
            <w:hideMark/>
          </w:tcPr>
          <w:p w14:paraId="2FFAE5AF"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16,05</w:t>
            </w:r>
          </w:p>
        </w:tc>
      </w:tr>
      <w:tr w:rsidR="003A138C" w:rsidRPr="003A138C" w14:paraId="79BA3967" w14:textId="77777777" w:rsidTr="00813CC6">
        <w:trPr>
          <w:trHeight w:val="280"/>
        </w:trPr>
        <w:tc>
          <w:tcPr>
            <w:tcW w:w="807" w:type="pct"/>
            <w:tcBorders>
              <w:top w:val="nil"/>
              <w:left w:val="single" w:sz="4" w:space="0" w:color="000000"/>
              <w:bottom w:val="single" w:sz="4" w:space="0" w:color="000000"/>
              <w:right w:val="single" w:sz="4" w:space="0" w:color="000000"/>
            </w:tcBorders>
            <w:shd w:val="clear" w:color="auto" w:fill="auto"/>
            <w:noWrap/>
            <w:vAlign w:val="center"/>
            <w:hideMark/>
          </w:tcPr>
          <w:p w14:paraId="03F0AD8F"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M19</w:t>
            </w:r>
          </w:p>
        </w:tc>
        <w:tc>
          <w:tcPr>
            <w:tcW w:w="957" w:type="pct"/>
            <w:tcBorders>
              <w:top w:val="nil"/>
              <w:left w:val="nil"/>
              <w:bottom w:val="single" w:sz="4" w:space="0" w:color="000000"/>
              <w:right w:val="single" w:sz="4" w:space="0" w:color="000000"/>
            </w:tcBorders>
            <w:shd w:val="clear" w:color="auto" w:fill="auto"/>
            <w:vAlign w:val="center"/>
            <w:hideMark/>
          </w:tcPr>
          <w:p w14:paraId="433EFBB3"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O1 - Spesa pubblica totale</w:t>
            </w:r>
          </w:p>
        </w:tc>
        <w:tc>
          <w:tcPr>
            <w:tcW w:w="664" w:type="pct"/>
            <w:tcBorders>
              <w:top w:val="nil"/>
              <w:left w:val="nil"/>
              <w:bottom w:val="single" w:sz="4" w:space="0" w:color="000000"/>
              <w:right w:val="single" w:sz="4" w:space="0" w:color="000000"/>
            </w:tcBorders>
            <w:shd w:val="clear" w:color="auto" w:fill="auto"/>
            <w:vAlign w:val="center"/>
            <w:hideMark/>
          </w:tcPr>
          <w:p w14:paraId="624AD712"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81.771.054,41</w:t>
            </w:r>
          </w:p>
        </w:tc>
        <w:tc>
          <w:tcPr>
            <w:tcW w:w="589" w:type="pct"/>
            <w:tcBorders>
              <w:top w:val="nil"/>
              <w:left w:val="nil"/>
              <w:bottom w:val="single" w:sz="4" w:space="0" w:color="000000"/>
              <w:right w:val="single" w:sz="4" w:space="0" w:color="000000"/>
            </w:tcBorders>
            <w:shd w:val="clear" w:color="auto" w:fill="auto"/>
            <w:vAlign w:val="center"/>
            <w:hideMark/>
          </w:tcPr>
          <w:p w14:paraId="6C29AD98"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109,94</w:t>
            </w:r>
          </w:p>
        </w:tc>
        <w:tc>
          <w:tcPr>
            <w:tcW w:w="737" w:type="pct"/>
            <w:tcBorders>
              <w:top w:val="nil"/>
              <w:left w:val="nil"/>
              <w:bottom w:val="single" w:sz="4" w:space="0" w:color="000000"/>
              <w:right w:val="single" w:sz="4" w:space="0" w:color="000000"/>
            </w:tcBorders>
            <w:shd w:val="clear" w:color="auto" w:fill="auto"/>
            <w:vAlign w:val="center"/>
            <w:hideMark/>
          </w:tcPr>
          <w:p w14:paraId="15F59B2E" w14:textId="77777777" w:rsidR="003A138C" w:rsidRPr="003A138C" w:rsidRDefault="003A138C" w:rsidP="00813CC6">
            <w:pPr>
              <w:jc w:val="right"/>
              <w:rPr>
                <w:rFonts w:eastAsia="Times New Roman" w:cs="Calibri"/>
                <w:color w:val="000000"/>
                <w:sz w:val="18"/>
                <w:szCs w:val="18"/>
              </w:rPr>
            </w:pPr>
            <w:r w:rsidRPr="003A138C">
              <w:rPr>
                <w:rFonts w:eastAsia="Times New Roman" w:cs="Calibri"/>
                <w:color w:val="000000"/>
                <w:sz w:val="18"/>
                <w:szCs w:val="18"/>
              </w:rPr>
              <w:t>5.927.135,81</w:t>
            </w:r>
          </w:p>
        </w:tc>
        <w:tc>
          <w:tcPr>
            <w:tcW w:w="590" w:type="pct"/>
            <w:tcBorders>
              <w:top w:val="nil"/>
              <w:left w:val="nil"/>
              <w:bottom w:val="single" w:sz="4" w:space="0" w:color="000000"/>
              <w:right w:val="single" w:sz="4" w:space="0" w:color="000000"/>
            </w:tcBorders>
            <w:shd w:val="clear" w:color="auto" w:fill="auto"/>
            <w:vAlign w:val="center"/>
            <w:hideMark/>
          </w:tcPr>
          <w:p w14:paraId="0A4EEA0A"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7,97</w:t>
            </w:r>
          </w:p>
        </w:tc>
        <w:tc>
          <w:tcPr>
            <w:tcW w:w="656" w:type="pct"/>
            <w:tcBorders>
              <w:top w:val="nil"/>
              <w:left w:val="nil"/>
              <w:bottom w:val="single" w:sz="4" w:space="0" w:color="000000"/>
              <w:right w:val="single" w:sz="4" w:space="0" w:color="000000"/>
            </w:tcBorders>
            <w:shd w:val="clear" w:color="auto" w:fill="auto"/>
            <w:vAlign w:val="center"/>
            <w:hideMark/>
          </w:tcPr>
          <w:p w14:paraId="10752933"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74.380.000,00</w:t>
            </w:r>
          </w:p>
        </w:tc>
      </w:tr>
      <w:tr w:rsidR="003A138C" w:rsidRPr="003A138C" w14:paraId="27C0071F" w14:textId="77777777" w:rsidTr="00813CC6">
        <w:trPr>
          <w:trHeight w:val="60"/>
        </w:trPr>
        <w:tc>
          <w:tcPr>
            <w:tcW w:w="807" w:type="pct"/>
            <w:tcBorders>
              <w:top w:val="nil"/>
              <w:left w:val="single" w:sz="4" w:space="0" w:color="000000"/>
              <w:bottom w:val="single" w:sz="4" w:space="0" w:color="000000"/>
              <w:right w:val="single" w:sz="4" w:space="0" w:color="000000"/>
            </w:tcBorders>
            <w:shd w:val="clear" w:color="auto" w:fill="auto"/>
            <w:noWrap/>
            <w:vAlign w:val="center"/>
            <w:hideMark/>
          </w:tcPr>
          <w:p w14:paraId="7839273D"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6C) Promuovere l'accessibilità, l'uso e la qualità delle tecnologie dell'informazione e della comunicazione (TIC) nelle zone rurali</w:t>
            </w:r>
          </w:p>
        </w:tc>
        <w:tc>
          <w:tcPr>
            <w:tcW w:w="957" w:type="pct"/>
            <w:tcBorders>
              <w:top w:val="nil"/>
              <w:left w:val="nil"/>
              <w:bottom w:val="single" w:sz="4" w:space="0" w:color="000000"/>
              <w:right w:val="single" w:sz="4" w:space="0" w:color="000000"/>
            </w:tcBorders>
            <w:shd w:val="clear" w:color="auto" w:fill="auto"/>
            <w:vAlign w:val="center"/>
            <w:hideMark/>
          </w:tcPr>
          <w:p w14:paraId="43A3550F"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T24: percentuale di popolazione rurale che beneficia di servizi/infrastrutture nuovi o migliorati (TIC)</w:t>
            </w:r>
          </w:p>
        </w:tc>
        <w:tc>
          <w:tcPr>
            <w:tcW w:w="664" w:type="pct"/>
            <w:tcBorders>
              <w:top w:val="nil"/>
              <w:left w:val="nil"/>
              <w:bottom w:val="single" w:sz="4" w:space="0" w:color="000000"/>
              <w:right w:val="single" w:sz="4" w:space="0" w:color="000000"/>
            </w:tcBorders>
            <w:shd w:val="clear" w:color="auto" w:fill="auto"/>
            <w:noWrap/>
            <w:vAlign w:val="center"/>
            <w:hideMark/>
          </w:tcPr>
          <w:p w14:paraId="6C02EAB3"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 </w:t>
            </w:r>
          </w:p>
        </w:tc>
        <w:tc>
          <w:tcPr>
            <w:tcW w:w="589" w:type="pct"/>
            <w:tcBorders>
              <w:top w:val="nil"/>
              <w:left w:val="nil"/>
              <w:bottom w:val="single" w:sz="4" w:space="0" w:color="000000"/>
              <w:right w:val="single" w:sz="4" w:space="0" w:color="000000"/>
            </w:tcBorders>
            <w:shd w:val="clear" w:color="auto" w:fill="auto"/>
            <w:noWrap/>
            <w:vAlign w:val="center"/>
            <w:hideMark/>
          </w:tcPr>
          <w:p w14:paraId="46F2D574" w14:textId="77777777" w:rsidR="003A138C" w:rsidRPr="003A138C" w:rsidRDefault="003A138C" w:rsidP="00AF58DF">
            <w:pPr>
              <w:jc w:val="center"/>
              <w:rPr>
                <w:rFonts w:eastAsia="Times New Roman" w:cs="Calibri"/>
                <w:color w:val="000000"/>
                <w:sz w:val="18"/>
                <w:szCs w:val="18"/>
              </w:rPr>
            </w:pPr>
          </w:p>
        </w:tc>
        <w:tc>
          <w:tcPr>
            <w:tcW w:w="737" w:type="pct"/>
            <w:tcBorders>
              <w:top w:val="nil"/>
              <w:left w:val="nil"/>
              <w:bottom w:val="single" w:sz="4" w:space="0" w:color="000000"/>
              <w:right w:val="single" w:sz="4" w:space="0" w:color="000000"/>
            </w:tcBorders>
            <w:shd w:val="clear" w:color="auto" w:fill="auto"/>
            <w:noWrap/>
            <w:vAlign w:val="center"/>
            <w:hideMark/>
          </w:tcPr>
          <w:p w14:paraId="6CF3A9DD" w14:textId="77777777" w:rsidR="003A138C" w:rsidRPr="003A138C" w:rsidRDefault="003A138C" w:rsidP="00813CC6">
            <w:pPr>
              <w:jc w:val="right"/>
              <w:rPr>
                <w:rFonts w:eastAsia="Times New Roman" w:cs="Calibri"/>
                <w:color w:val="000000"/>
                <w:sz w:val="18"/>
                <w:szCs w:val="18"/>
              </w:rPr>
            </w:pPr>
            <w:r w:rsidRPr="003A138C">
              <w:rPr>
                <w:rFonts w:eastAsia="Times New Roman" w:cs="Calibri"/>
                <w:color w:val="000000"/>
                <w:sz w:val="18"/>
                <w:szCs w:val="18"/>
              </w:rPr>
              <w:t>1,5</w:t>
            </w:r>
          </w:p>
        </w:tc>
        <w:tc>
          <w:tcPr>
            <w:tcW w:w="590" w:type="pct"/>
            <w:tcBorders>
              <w:top w:val="nil"/>
              <w:left w:val="nil"/>
              <w:bottom w:val="single" w:sz="4" w:space="0" w:color="000000"/>
              <w:right w:val="single" w:sz="4" w:space="0" w:color="000000"/>
            </w:tcBorders>
            <w:shd w:val="clear" w:color="auto" w:fill="auto"/>
            <w:noWrap/>
            <w:vAlign w:val="center"/>
            <w:hideMark/>
          </w:tcPr>
          <w:p w14:paraId="5AC8849C"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7,79</w:t>
            </w:r>
          </w:p>
        </w:tc>
        <w:tc>
          <w:tcPr>
            <w:tcW w:w="656" w:type="pct"/>
            <w:tcBorders>
              <w:top w:val="nil"/>
              <w:left w:val="nil"/>
              <w:bottom w:val="single" w:sz="4" w:space="0" w:color="000000"/>
              <w:right w:val="single" w:sz="4" w:space="0" w:color="000000"/>
            </w:tcBorders>
            <w:shd w:val="clear" w:color="auto" w:fill="auto"/>
            <w:noWrap/>
            <w:vAlign w:val="center"/>
            <w:hideMark/>
          </w:tcPr>
          <w:p w14:paraId="5994424A"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19,26</w:t>
            </w:r>
          </w:p>
        </w:tc>
      </w:tr>
      <w:tr w:rsidR="003A138C" w:rsidRPr="003A138C" w14:paraId="6EA2B026" w14:textId="77777777" w:rsidTr="00813CC6">
        <w:trPr>
          <w:trHeight w:val="345"/>
        </w:trPr>
        <w:tc>
          <w:tcPr>
            <w:tcW w:w="807" w:type="pct"/>
            <w:tcBorders>
              <w:top w:val="nil"/>
              <w:left w:val="single" w:sz="4" w:space="0" w:color="000000"/>
              <w:bottom w:val="single" w:sz="4" w:space="0" w:color="000000"/>
              <w:right w:val="single" w:sz="4" w:space="0" w:color="000000"/>
            </w:tcBorders>
            <w:shd w:val="clear" w:color="auto" w:fill="auto"/>
            <w:noWrap/>
            <w:vAlign w:val="center"/>
            <w:hideMark/>
          </w:tcPr>
          <w:p w14:paraId="0CDDFBDE"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M7</w:t>
            </w:r>
          </w:p>
        </w:tc>
        <w:tc>
          <w:tcPr>
            <w:tcW w:w="957" w:type="pct"/>
            <w:tcBorders>
              <w:top w:val="nil"/>
              <w:left w:val="nil"/>
              <w:bottom w:val="single" w:sz="4" w:space="0" w:color="000000"/>
              <w:right w:val="single" w:sz="4" w:space="0" w:color="000000"/>
            </w:tcBorders>
            <w:shd w:val="clear" w:color="auto" w:fill="auto"/>
            <w:vAlign w:val="center"/>
            <w:hideMark/>
          </w:tcPr>
          <w:p w14:paraId="3B1431B1" w14:textId="77777777" w:rsidR="003A138C" w:rsidRPr="003A138C" w:rsidRDefault="003A138C" w:rsidP="00AF58DF">
            <w:pPr>
              <w:rPr>
                <w:rFonts w:eastAsia="Times New Roman" w:cs="Calibri"/>
                <w:color w:val="000000"/>
                <w:sz w:val="18"/>
                <w:szCs w:val="18"/>
              </w:rPr>
            </w:pPr>
            <w:r w:rsidRPr="003A138C">
              <w:rPr>
                <w:rFonts w:eastAsia="Times New Roman" w:cs="Calibri"/>
                <w:color w:val="000000"/>
                <w:sz w:val="18"/>
                <w:szCs w:val="18"/>
              </w:rPr>
              <w:t>O1 - Spesa pubblica totale</w:t>
            </w:r>
          </w:p>
        </w:tc>
        <w:tc>
          <w:tcPr>
            <w:tcW w:w="664" w:type="pct"/>
            <w:tcBorders>
              <w:top w:val="nil"/>
              <w:left w:val="nil"/>
              <w:bottom w:val="single" w:sz="4" w:space="0" w:color="000000"/>
              <w:right w:val="single" w:sz="4" w:space="0" w:color="000000"/>
            </w:tcBorders>
            <w:shd w:val="clear" w:color="auto" w:fill="auto"/>
            <w:vAlign w:val="center"/>
            <w:hideMark/>
          </w:tcPr>
          <w:p w14:paraId="10C31611"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48.500.000,00</w:t>
            </w:r>
          </w:p>
        </w:tc>
        <w:tc>
          <w:tcPr>
            <w:tcW w:w="589" w:type="pct"/>
            <w:tcBorders>
              <w:top w:val="nil"/>
              <w:left w:val="nil"/>
              <w:bottom w:val="single" w:sz="4" w:space="0" w:color="000000"/>
              <w:right w:val="single" w:sz="4" w:space="0" w:color="000000"/>
            </w:tcBorders>
            <w:shd w:val="clear" w:color="auto" w:fill="auto"/>
            <w:noWrap/>
            <w:vAlign w:val="center"/>
            <w:hideMark/>
          </w:tcPr>
          <w:p w14:paraId="27323796"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100</w:t>
            </w:r>
          </w:p>
        </w:tc>
        <w:tc>
          <w:tcPr>
            <w:tcW w:w="737" w:type="pct"/>
            <w:tcBorders>
              <w:top w:val="nil"/>
              <w:left w:val="nil"/>
              <w:bottom w:val="single" w:sz="4" w:space="0" w:color="000000"/>
              <w:right w:val="single" w:sz="4" w:space="0" w:color="000000"/>
            </w:tcBorders>
            <w:shd w:val="clear" w:color="auto" w:fill="auto"/>
            <w:vAlign w:val="center"/>
            <w:hideMark/>
          </w:tcPr>
          <w:p w14:paraId="4C8B2BD1" w14:textId="77777777" w:rsidR="003A138C" w:rsidRPr="003A138C" w:rsidRDefault="003A138C" w:rsidP="00813CC6">
            <w:pPr>
              <w:jc w:val="right"/>
              <w:rPr>
                <w:rFonts w:eastAsia="Times New Roman" w:cs="Calibri"/>
                <w:color w:val="000000"/>
                <w:sz w:val="18"/>
                <w:szCs w:val="18"/>
              </w:rPr>
            </w:pPr>
            <w:r w:rsidRPr="003A138C">
              <w:rPr>
                <w:rFonts w:eastAsia="Times New Roman" w:cs="Calibri"/>
                <w:color w:val="000000"/>
                <w:sz w:val="18"/>
                <w:szCs w:val="18"/>
              </w:rPr>
              <w:t>22.002.915,13</w:t>
            </w:r>
          </w:p>
        </w:tc>
        <w:tc>
          <w:tcPr>
            <w:tcW w:w="590" w:type="pct"/>
            <w:tcBorders>
              <w:top w:val="nil"/>
              <w:left w:val="nil"/>
              <w:bottom w:val="single" w:sz="4" w:space="0" w:color="000000"/>
              <w:right w:val="single" w:sz="4" w:space="0" w:color="000000"/>
            </w:tcBorders>
            <w:shd w:val="clear" w:color="auto" w:fill="auto"/>
            <w:vAlign w:val="center"/>
            <w:hideMark/>
          </w:tcPr>
          <w:p w14:paraId="121CBEDB" w14:textId="77777777" w:rsidR="003A138C" w:rsidRPr="003A138C" w:rsidRDefault="003A138C" w:rsidP="00AF58DF">
            <w:pPr>
              <w:jc w:val="center"/>
              <w:rPr>
                <w:rFonts w:eastAsia="Times New Roman" w:cs="Calibri"/>
                <w:color w:val="000000"/>
                <w:sz w:val="18"/>
                <w:szCs w:val="18"/>
              </w:rPr>
            </w:pPr>
            <w:r w:rsidRPr="003A138C">
              <w:rPr>
                <w:rFonts w:eastAsia="Times New Roman" w:cs="Calibri"/>
                <w:color w:val="000000"/>
                <w:sz w:val="18"/>
                <w:szCs w:val="18"/>
              </w:rPr>
              <w:t>45,37</w:t>
            </w:r>
          </w:p>
        </w:tc>
        <w:tc>
          <w:tcPr>
            <w:tcW w:w="656" w:type="pct"/>
            <w:tcBorders>
              <w:top w:val="nil"/>
              <w:left w:val="nil"/>
              <w:bottom w:val="single" w:sz="4" w:space="0" w:color="000000"/>
              <w:right w:val="single" w:sz="4" w:space="0" w:color="000000"/>
            </w:tcBorders>
            <w:shd w:val="clear" w:color="auto" w:fill="auto"/>
            <w:vAlign w:val="center"/>
            <w:hideMark/>
          </w:tcPr>
          <w:p w14:paraId="73D2876F" w14:textId="77777777" w:rsidR="003A138C" w:rsidRPr="003A138C" w:rsidRDefault="003A138C" w:rsidP="00AF58DF">
            <w:pPr>
              <w:jc w:val="right"/>
              <w:rPr>
                <w:rFonts w:eastAsia="Times New Roman" w:cs="Calibri"/>
                <w:color w:val="000000"/>
                <w:sz w:val="18"/>
                <w:szCs w:val="18"/>
              </w:rPr>
            </w:pPr>
            <w:r w:rsidRPr="003A138C">
              <w:rPr>
                <w:rFonts w:eastAsia="Times New Roman" w:cs="Calibri"/>
                <w:color w:val="000000"/>
                <w:sz w:val="18"/>
                <w:szCs w:val="18"/>
              </w:rPr>
              <w:t>48.500.000,00</w:t>
            </w:r>
          </w:p>
        </w:tc>
      </w:tr>
    </w:tbl>
    <w:p w14:paraId="724C8156" w14:textId="77777777" w:rsidR="003A138C" w:rsidRPr="00456825" w:rsidRDefault="003A138C" w:rsidP="00813CC6">
      <w:pPr>
        <w:pStyle w:val="Fonte"/>
      </w:pPr>
      <w:r w:rsidRPr="00164FC9">
        <w:t>Fonte RAA 2020</w:t>
      </w:r>
    </w:p>
    <w:p w14:paraId="7C0AB0DB" w14:textId="7F3CC9DA" w:rsidR="003A138C" w:rsidRDefault="003A138C" w:rsidP="00DF58A7"/>
    <w:p w14:paraId="5A18A48F" w14:textId="77777777" w:rsidR="00CF4890" w:rsidRDefault="00CF4890" w:rsidP="00DF58A7"/>
    <w:p w14:paraId="412FC210" w14:textId="77777777" w:rsidR="00B4132E" w:rsidRDefault="003D75EA" w:rsidP="00B27AA3">
      <w:pPr>
        <w:pStyle w:val="Titolo3"/>
      </w:pPr>
      <w:bookmarkStart w:id="59" w:name="_Toc91081397"/>
      <w:r>
        <w:t xml:space="preserve">Considerazioni </w:t>
      </w:r>
      <w:r w:rsidR="00735C60">
        <w:t xml:space="preserve">conclusive </w:t>
      </w:r>
      <w:r>
        <w:t>di sintesi</w:t>
      </w:r>
      <w:bookmarkEnd w:id="59"/>
    </w:p>
    <w:p w14:paraId="6034A711" w14:textId="77777777" w:rsidR="00B4132E" w:rsidRDefault="00B4132E" w:rsidP="00B4132E"/>
    <w:p w14:paraId="5EFA2D69" w14:textId="77777777" w:rsidR="00FD6F20" w:rsidRPr="00624B2A" w:rsidRDefault="00FD6F20" w:rsidP="00FD6F20">
      <w:r w:rsidRPr="00624B2A">
        <w:t xml:space="preserve">Le risorse dedicate alle politiche per la crescita </w:t>
      </w:r>
      <w:r w:rsidR="008D01EF" w:rsidRPr="00624B2A">
        <w:t>inclusiva</w:t>
      </w:r>
      <w:r w:rsidRPr="00624B2A">
        <w:t xml:space="preserve"> ammontano</w:t>
      </w:r>
      <w:r w:rsidR="001A32D9" w:rsidRPr="00624B2A">
        <w:t>, in seguito alle riprogrammazioni,</w:t>
      </w:r>
      <w:r w:rsidRPr="00624B2A">
        <w:t xml:space="preserve"> a circa </w:t>
      </w:r>
      <w:r w:rsidR="00E42C0E" w:rsidRPr="00624B2A">
        <w:t>1 mili</w:t>
      </w:r>
      <w:r w:rsidR="00DE018E" w:rsidRPr="00624B2A">
        <w:t>ardo</w:t>
      </w:r>
      <w:r w:rsidR="00E42C0E" w:rsidRPr="00624B2A">
        <w:t xml:space="preserve"> e 73</w:t>
      </w:r>
      <w:r w:rsidRPr="00624B2A">
        <w:t>,</w:t>
      </w:r>
      <w:r w:rsidR="00E42C0E" w:rsidRPr="00624B2A">
        <w:t>7</w:t>
      </w:r>
      <w:r w:rsidRPr="00624B2A">
        <w:t xml:space="preserve"> mil</w:t>
      </w:r>
      <w:r w:rsidR="00DE018E" w:rsidRPr="00624B2A">
        <w:t>ioni di</w:t>
      </w:r>
      <w:r w:rsidRPr="00624B2A">
        <w:t xml:space="preserve"> euro (fondi FESR</w:t>
      </w:r>
      <w:r w:rsidR="00E42C0E" w:rsidRPr="00624B2A">
        <w:t>, FSE</w:t>
      </w:r>
      <w:r w:rsidRPr="00624B2A">
        <w:t xml:space="preserve"> e FEASR). </w:t>
      </w:r>
      <w:r w:rsidR="007D514A" w:rsidRPr="00624B2A">
        <w:t>Si tratta, complessivamente, di oltre 107 euro per abitante nel periodo 2014-2020.</w:t>
      </w:r>
    </w:p>
    <w:p w14:paraId="3EAD071C" w14:textId="77777777" w:rsidR="00FD6F20" w:rsidRPr="00624B2A" w:rsidRDefault="00FD6F20" w:rsidP="00FD6F20"/>
    <w:p w14:paraId="0EF6A194" w14:textId="0F444A61" w:rsidR="00B67B81" w:rsidRDefault="00B67B81" w:rsidP="00825203">
      <w:pPr>
        <w:autoSpaceDE w:val="0"/>
        <w:autoSpaceDN w:val="0"/>
        <w:adjustRightInd w:val="0"/>
        <w:spacing w:before="120"/>
      </w:pPr>
      <w:r>
        <w:t xml:space="preserve">La crisi pandemica esplosa nel 2020 ha avuto impatti considerevoli sul mercato del lavoro e sul sistema produttivo lombardo: se da un lato, grazie alle misure attuate dal Governo – quali il “blocco dei licenziamenti” e l’estensione massiccia della CIG – la </w:t>
      </w:r>
      <w:r w:rsidRPr="00825203">
        <w:t xml:space="preserve">diminuzione dell’occupazione </w:t>
      </w:r>
      <w:r>
        <w:t xml:space="preserve">è stata relativamente contenuta, dall’altro lato </w:t>
      </w:r>
      <w:r w:rsidRPr="00825203">
        <w:t>le ore lavorate sono diminuite in misura nettamente maggiore</w:t>
      </w:r>
      <w:r>
        <w:t>. Tutto ciò, oltre ad aver ampliato un divario di genere nella presenza sul mercato del lavoro, ha causato una sfiducia e un vero e proprio distacco dal mercato di molti lavoratori, che si sono ritirati e/o hanno smesso di cercare un impiego. Anche l’effetto sui giovani è particolarmente evidente,</w:t>
      </w:r>
      <w:r w:rsidR="00DF295C">
        <w:t xml:space="preserve"> con un </w:t>
      </w:r>
      <w:r w:rsidR="00DF295C" w:rsidRPr="00DF295C">
        <w:rPr>
          <w:u w:val="single"/>
        </w:rPr>
        <w:t>tasso di occupazione giovanile</w:t>
      </w:r>
      <w:r w:rsidR="00DF295C" w:rsidRPr="00DF295C">
        <w:t xml:space="preserve"> (15-24 anni) al 21,6%</w:t>
      </w:r>
      <w:r w:rsidR="00FB5161">
        <w:t xml:space="preserve"> nel 2020</w:t>
      </w:r>
      <w:r w:rsidR="00DF295C" w:rsidRPr="00DF295C">
        <w:t xml:space="preserve">, ancora nettamente </w:t>
      </w:r>
      <w:r w:rsidR="00DF295C">
        <w:t>distante</w:t>
      </w:r>
      <w:r w:rsidR="00DF295C" w:rsidRPr="00DF295C">
        <w:t xml:space="preserve"> dal valore medio della UE27 (31,4%).</w:t>
      </w:r>
      <w:r w:rsidR="003B6596">
        <w:t xml:space="preserve"> Oltre a ciò, si è registrato un aumento </w:t>
      </w:r>
      <w:r w:rsidR="003B6596" w:rsidRPr="00276FC4">
        <w:rPr>
          <w:rFonts w:cstheme="minorHAnsi"/>
        </w:rPr>
        <w:t xml:space="preserve">del tasso </w:t>
      </w:r>
      <w:r w:rsidR="003B6596">
        <w:rPr>
          <w:rFonts w:cstheme="minorHAnsi"/>
        </w:rPr>
        <w:t xml:space="preserve">dei </w:t>
      </w:r>
      <w:r w:rsidR="003B6596" w:rsidRPr="00276FC4">
        <w:rPr>
          <w:rFonts w:cstheme="minorHAnsi"/>
        </w:rPr>
        <w:t xml:space="preserve">NEET per entrambi i sessi: il tasso NEET femminile, raggiunge il 16,1% nel 2020, in aumento di 2,7 </w:t>
      </w:r>
      <w:r w:rsidR="003B6596">
        <w:rPr>
          <w:rFonts w:cstheme="minorHAnsi"/>
        </w:rPr>
        <w:t>pp</w:t>
      </w:r>
      <w:r w:rsidR="003B6596" w:rsidRPr="00276FC4">
        <w:rPr>
          <w:rFonts w:cstheme="minorHAnsi"/>
        </w:rPr>
        <w:t xml:space="preserve"> rispetto al 2019, mentre quello maschile cresce di 3,3 </w:t>
      </w:r>
      <w:r w:rsidR="003B6596">
        <w:rPr>
          <w:rFonts w:cstheme="minorHAnsi"/>
        </w:rPr>
        <w:t>pp</w:t>
      </w:r>
      <w:r w:rsidR="003B6596" w:rsidRPr="00276FC4">
        <w:rPr>
          <w:rFonts w:cstheme="minorHAnsi"/>
        </w:rPr>
        <w:t xml:space="preserve"> al 15,3 %. </w:t>
      </w:r>
      <w:r w:rsidR="003B6596">
        <w:rPr>
          <w:rFonts w:cstheme="minorHAnsi"/>
        </w:rPr>
        <w:t xml:space="preserve">Oltre agli effetti negativi sul mercato del lavoro, gli effetti della pandemia si sono manifestati nel più ampio rischio di </w:t>
      </w:r>
      <w:r w:rsidR="00FE6E10">
        <w:rPr>
          <w:rFonts w:cstheme="minorHAnsi"/>
        </w:rPr>
        <w:t>riduzione in povertà della popolazione, nonché in un aumento della dispersione scolastica e un ricorso minore alla formazione permanente e alla formazione terziaria.</w:t>
      </w:r>
    </w:p>
    <w:p w14:paraId="26A16D87" w14:textId="77777777" w:rsidR="00B67B81" w:rsidRDefault="00B67B81" w:rsidP="00D748D3"/>
    <w:p w14:paraId="19F3A7D1" w14:textId="77777777" w:rsidR="00D748D3" w:rsidRPr="00624B2A" w:rsidRDefault="00D748D3" w:rsidP="00D748D3">
      <w:r w:rsidRPr="00624B2A">
        <w:t>Nel 2020 è stata</w:t>
      </w:r>
      <w:r w:rsidR="00FE6E10">
        <w:t>, quindi,</w:t>
      </w:r>
      <w:r w:rsidRPr="00624B2A">
        <w:t xml:space="preserve"> approvata </w:t>
      </w:r>
      <w:r w:rsidR="008D01EF" w:rsidRPr="00624B2A">
        <w:t>una</w:t>
      </w:r>
      <w:r w:rsidRPr="00624B2A">
        <w:t xml:space="preserve"> riprogrammazione del POR FSE per far fronte all’epidemia da COVID-19</w:t>
      </w:r>
      <w:r w:rsidR="00FE6E10">
        <w:t xml:space="preserve"> e alle conseguenze che la stessa ha avuto sul tessuto produttivo e sociale lombardo</w:t>
      </w:r>
      <w:r w:rsidRPr="00624B2A">
        <w:t>.</w:t>
      </w:r>
      <w:r w:rsidR="008830C8" w:rsidRPr="00624B2A">
        <w:t xml:space="preserve"> La riprogrammazione ha </w:t>
      </w:r>
      <w:r w:rsidR="008D01EF" w:rsidRPr="00624B2A">
        <w:t>determinato</w:t>
      </w:r>
      <w:r w:rsidR="008830C8" w:rsidRPr="00624B2A">
        <w:t xml:space="preserve"> principalmente una ridistribuzione delle risorse tra gli </w:t>
      </w:r>
      <w:r w:rsidR="004D12E2" w:rsidRPr="00624B2A">
        <w:t>A</w:t>
      </w:r>
      <w:r w:rsidR="008830C8" w:rsidRPr="00624B2A">
        <w:t>ssi I, II e III del programma, che ha visto l’</w:t>
      </w:r>
      <w:r w:rsidR="004D12E2" w:rsidRPr="00624B2A">
        <w:t>A</w:t>
      </w:r>
      <w:r w:rsidR="008830C8" w:rsidRPr="00624B2A">
        <w:t xml:space="preserve">sse II incrementare le proprie risorse di 151,9 milioni di euro a discapito delle dotazioni finanziarie degli </w:t>
      </w:r>
      <w:r w:rsidR="004D12E2" w:rsidRPr="00624B2A">
        <w:t>A</w:t>
      </w:r>
      <w:r w:rsidR="008830C8" w:rsidRPr="00624B2A">
        <w:t>ssi I (-121,3 milioni di euro) e III</w:t>
      </w:r>
      <w:r w:rsidRPr="00624B2A">
        <w:t xml:space="preserve"> </w:t>
      </w:r>
      <w:r w:rsidR="008830C8" w:rsidRPr="00624B2A">
        <w:t xml:space="preserve">(-30,6 milioni di euro). Inoltre, </w:t>
      </w:r>
      <w:r w:rsidR="009B44D2" w:rsidRPr="00624B2A">
        <w:t>la riprogrammazione ha previsto anche una redistribuzione dei finanziamenti all’interno dell</w:t>
      </w:r>
      <w:r w:rsidR="00D760C9" w:rsidRPr="00624B2A">
        <w:t>o</w:t>
      </w:r>
      <w:r w:rsidR="009B44D2" w:rsidRPr="00624B2A">
        <w:t xml:space="preserve"> stess</w:t>
      </w:r>
      <w:r w:rsidR="00D760C9" w:rsidRPr="00624B2A">
        <w:t xml:space="preserve">o </w:t>
      </w:r>
      <w:r w:rsidR="008D01EF" w:rsidRPr="00624B2A">
        <w:t>A</w:t>
      </w:r>
      <w:r w:rsidR="00D760C9" w:rsidRPr="00624B2A">
        <w:t xml:space="preserve">sse </w:t>
      </w:r>
      <w:r w:rsidR="009B44D2" w:rsidRPr="00624B2A">
        <w:t xml:space="preserve">II. </w:t>
      </w:r>
      <w:r w:rsidR="00C70C27" w:rsidRPr="00624B2A">
        <w:t xml:space="preserve">Queste redistribuzioni hanno </w:t>
      </w:r>
      <w:r w:rsidR="009B44D2" w:rsidRPr="00624B2A">
        <w:t>portato alla creazione della nuova azione 9.8.1 “Misura di politica passiva mediante il ricorso al finanziamento alla Cassa Integrazione in Deroga (CIGD)”, con una dotazione finanziaria di 168,5 milioni di euro.</w:t>
      </w:r>
      <w:r w:rsidR="00F517FE" w:rsidRPr="00624B2A">
        <w:rPr>
          <w:rStyle w:val="Rimandonotaapidipagina"/>
        </w:rPr>
        <w:footnoteReference w:id="9"/>
      </w:r>
      <w:r w:rsidR="009B44D2" w:rsidRPr="00624B2A">
        <w:t xml:space="preserve"> </w:t>
      </w:r>
      <w:r w:rsidR="00FF7930" w:rsidRPr="00624B2A">
        <w:t>Per quanto riguarda</w:t>
      </w:r>
      <w:r w:rsidR="0089774F" w:rsidRPr="00624B2A">
        <w:t xml:space="preserve"> l’avanzamento finanziario</w:t>
      </w:r>
      <w:r w:rsidR="003D2CCB" w:rsidRPr="00624B2A">
        <w:t>,</w:t>
      </w:r>
      <w:r w:rsidR="0089774F" w:rsidRPr="00624B2A">
        <w:t xml:space="preserve"> mentre per </w:t>
      </w:r>
      <w:r w:rsidR="008D01EF" w:rsidRPr="00624B2A">
        <w:t xml:space="preserve">gli </w:t>
      </w:r>
      <w:r w:rsidR="00A06146" w:rsidRPr="00624B2A">
        <w:t>A</w:t>
      </w:r>
      <w:r w:rsidR="0089774F" w:rsidRPr="00624B2A">
        <w:t>ss</w:t>
      </w:r>
      <w:r w:rsidR="008D01EF" w:rsidRPr="00624B2A">
        <w:t>i</w:t>
      </w:r>
      <w:r w:rsidR="0089774F" w:rsidRPr="00624B2A">
        <w:t xml:space="preserve"> I e III si riscontra un miglioramento nella </w:t>
      </w:r>
      <w:r w:rsidR="00F15D46" w:rsidRPr="00624B2A">
        <w:t xml:space="preserve">performance di spesa che </w:t>
      </w:r>
      <w:r w:rsidR="0089774F" w:rsidRPr="00624B2A">
        <w:t xml:space="preserve">passa rispettivamente da 45,55% e 56,42% </w:t>
      </w:r>
      <w:r w:rsidR="00C70C27" w:rsidRPr="00624B2A">
        <w:t xml:space="preserve">nel </w:t>
      </w:r>
      <w:r w:rsidR="0089774F" w:rsidRPr="00624B2A">
        <w:t>2019 a 69,26% a 67,03% nel 2020, principalmente a causa della sostanziale riduzione dei fondi</w:t>
      </w:r>
      <w:r w:rsidR="00F15D46" w:rsidRPr="00624B2A">
        <w:t xml:space="preserve"> dovuta alla </w:t>
      </w:r>
      <w:r w:rsidR="0089774F" w:rsidRPr="00624B2A">
        <w:t>riprogrammazione, per l’</w:t>
      </w:r>
      <w:r w:rsidR="00A06146" w:rsidRPr="00624B2A">
        <w:t>A</w:t>
      </w:r>
      <w:r w:rsidR="0089774F" w:rsidRPr="00624B2A">
        <w:t xml:space="preserve">sse II si </w:t>
      </w:r>
      <w:r w:rsidR="008D01EF" w:rsidRPr="00624B2A">
        <w:t xml:space="preserve">registra, al contrario, </w:t>
      </w:r>
      <w:r w:rsidR="0089774F" w:rsidRPr="00624B2A">
        <w:t xml:space="preserve">un peggioramento della performance finanziaria </w:t>
      </w:r>
      <w:r w:rsidR="00F15D46" w:rsidRPr="00624B2A">
        <w:t xml:space="preserve">che </w:t>
      </w:r>
      <w:r w:rsidR="0089774F" w:rsidRPr="00624B2A">
        <w:t>passa dal 43,18% del 2019 al 32,45% del 2020, causata essenzialmente dal notevole aumento della dotazione finanziaria.</w:t>
      </w:r>
    </w:p>
    <w:p w14:paraId="3379B340" w14:textId="77777777" w:rsidR="008077FC" w:rsidRPr="00624B2A" w:rsidRDefault="008077FC" w:rsidP="00D748D3"/>
    <w:p w14:paraId="5EDE6C2D" w14:textId="77777777" w:rsidR="008A4FCA" w:rsidRPr="00624B2A" w:rsidRDefault="008A4FCA" w:rsidP="008A4FCA">
      <w:r w:rsidRPr="00624B2A">
        <w:t xml:space="preserve">Nel 2020, </w:t>
      </w:r>
      <w:r w:rsidR="00F15D46" w:rsidRPr="00624B2A">
        <w:t>i</w:t>
      </w:r>
      <w:r w:rsidRPr="00624B2A">
        <w:t xml:space="preserve"> target degli indicatori di output del PO</w:t>
      </w:r>
      <w:r w:rsidR="004D2CE7" w:rsidRPr="00624B2A">
        <w:t>R</w:t>
      </w:r>
      <w:r w:rsidRPr="00624B2A">
        <w:t xml:space="preserve"> FSE hanno subito alcune modifiche. La maggior parte dei target sono stati rivisti a rialzo o a ribasso proporzionalmente all’aumento o diminuzione della dotazione finanziaria della priorità d'investimento corrispondente. Altri indicatori invece sono stati rivisti per motivi di natura tecnica. È questo il caso di entrambi gli indicatori di output relativi alla priorità d’investimento 8ii (CO06, a2.1) così come dell’indicatore CO05 afferente alla PI 10iv, i quali sono stati rivisti a ribasso a causa di una modifica della metodologia del calcolo del costo medio unitario per partecipante. Inoltre, la percentuale di donne rispetto al target totale passa da 51,9% a 15%, per l’indicatore CO17 delle PI 9ii e 9i in modo tale da rispecchiare in maniera più realistica la composizione dei target group di riferimento</w:t>
      </w:r>
      <w:r w:rsidR="008D01EF" w:rsidRPr="00624B2A">
        <w:t>,</w:t>
      </w:r>
      <w:r w:rsidRPr="00624B2A">
        <w:t xml:space="preserve"> a forte prevalenza maschile. Infatti, ad esempio secondo i dati ISTAT</w:t>
      </w:r>
      <w:r w:rsidR="008D01EF" w:rsidRPr="00624B2A">
        <w:t>,</w:t>
      </w:r>
      <w:r w:rsidRPr="00624B2A">
        <w:t xml:space="preserve"> l’85% delle persone in gravi condizioni di marginalità sono uomini</w:t>
      </w:r>
      <w:r w:rsidR="008D01EF" w:rsidRPr="00624B2A">
        <w:t xml:space="preserve"> e sarebbe stato </w:t>
      </w:r>
      <w:r w:rsidRPr="00624B2A">
        <w:t>quindi irrealistico fissare un target femminile per l’azione troppo elevato.</w:t>
      </w:r>
    </w:p>
    <w:p w14:paraId="15E8D098" w14:textId="77777777" w:rsidR="0081452A" w:rsidRPr="00624B2A" w:rsidRDefault="0081452A" w:rsidP="008A4FCA"/>
    <w:p w14:paraId="1F970D52" w14:textId="77777777" w:rsidR="0081452A" w:rsidRPr="00624B2A" w:rsidRDefault="0081452A" w:rsidP="008A4FCA">
      <w:r w:rsidRPr="00624B2A">
        <w:t>La maggior parte dei target degli indicatori di realizzazione dell’Asse I del POR FSE sono stati già ampiamente superati a fine 2020, ad eccezione dei progetti indirizzati ai giovani tra i 15 e 29 anni che però mostrano un buon grado di avanzamento. L’Asse I si caratterizza per un discreto livello di raggiungimento dei risultati in quanto più della metà (60%) dei 157.891 disoccupati che hanno partecipato alle attività finanziate dalla priorità 8i e il 27% di coloro che hanno partecipato a iniziative afferenti alla priorità di investimento 8v hanno trovato lavoro entro sei mesi dalla fine della partecipazione al progetto. Solamente le azioni riguardanti la disoccupazione giovanile all’interno della priorità d’investimento 8ii mostrano indici di raggiungimento dei risultati molto bassi riuscendo a collocare all’interno del mercato del lavoro entro sei mesi dalla fine dei progetti appena il 4% dei partecipanti. Nel complesso, sia gli indicatori di output relativi agli interventi per l’inclusione sociale (Asse II) sia quelli relativi alla formazione e istruzione (Asse III) dimostrano un ottimo livello di realizzazione. L’Asse III riporta anche un buon livello di raggiungimento dei risultati raggiungendo il target fissato per il 2023 per gli interventi volti a ridurre l’abbandono scolastico e promuovere parità di accesso all’istruzione e dimostrando un ottimo avanzamento delle azioni volte a migliorare la coerenza tra istruzione e mercato del lavoro.</w:t>
      </w:r>
    </w:p>
    <w:p w14:paraId="00E6BBD0" w14:textId="77777777" w:rsidR="00CC7FF5" w:rsidRDefault="00CC7FF5" w:rsidP="0081452A"/>
    <w:p w14:paraId="2EBFD6CE" w14:textId="1097BDDC" w:rsidR="00745CB3" w:rsidRPr="00624B2A" w:rsidRDefault="008D01EF" w:rsidP="00865457">
      <w:r w:rsidRPr="00624B2A">
        <w:t>A seguito della riprogrammazione del POR FESR la dotazione finanziaria disponibile per interventi volti a sostenere uno sviluppo urbano sostenibile (Asse V)</w:t>
      </w:r>
      <w:r w:rsidR="00F15D46" w:rsidRPr="00624B2A">
        <w:t>, che può essere ricondotto all’interno di quest’area socio-economica,</w:t>
      </w:r>
      <w:r w:rsidRPr="00624B2A">
        <w:t xml:space="preserve"> è stata ridotta dell’85% circa, passando da un importo programmato di 60 milioni di euro nel 2019 ad appena 9,2 milioni di euro nel 2020. Nonostante la riduzione della spesa ammissibile dichiarata dai beneficiari, nel 2020, l’avanzamento finanziario dell’asse migliora passando da 5,43% del 2019 al 6,95%. A seguito della riprogrammazione è stato reso necessario, inoltre, </w:t>
      </w:r>
      <w:r w:rsidR="008B0B44">
        <w:t>rimodulare</w:t>
      </w:r>
      <w:r w:rsidRPr="00624B2A">
        <w:t xml:space="preserve"> i target di diversi indicatori di output relativi all’Asse V.</w:t>
      </w:r>
      <w:r w:rsidR="0081452A" w:rsidRPr="00624B2A">
        <w:t xml:space="preserve"> A fine 2020, gli interventi relativi all’Asse V del POR FESR riportano un indice di realizzazione del target che va oltre </w:t>
      </w:r>
      <w:r w:rsidR="00745CB3" w:rsidRPr="00624B2A">
        <w:t>l’</w:t>
      </w:r>
      <w:r w:rsidR="0081452A" w:rsidRPr="00624B2A">
        <w:t xml:space="preserve">obiettivo fissato al 2023. </w:t>
      </w:r>
      <w:r w:rsidR="00745CB3" w:rsidRPr="00624B2A">
        <w:t>Si riscontrano anche b</w:t>
      </w:r>
      <w:r w:rsidR="0081452A" w:rsidRPr="00624B2A">
        <w:t xml:space="preserve">uoni risultati, in confronto ai target. </w:t>
      </w:r>
      <w:r w:rsidR="00745CB3" w:rsidRPr="00624B2A">
        <w:t>Per esempio, g</w:t>
      </w:r>
      <w:r w:rsidR="0081452A" w:rsidRPr="00624B2A">
        <w:t xml:space="preserve">li interventi hanno avuto gli effetti sperati per quanto riguarda </w:t>
      </w:r>
      <w:r w:rsidR="00745CB3" w:rsidRPr="00624B2A">
        <w:t>la riduzione del</w:t>
      </w:r>
      <w:r w:rsidR="0081452A" w:rsidRPr="00624B2A">
        <w:t xml:space="preserve"> numero di edifici pubblici </w:t>
      </w:r>
      <w:r w:rsidR="00745CB3" w:rsidRPr="00624B2A">
        <w:t xml:space="preserve">caratterizzati da una bassa </w:t>
      </w:r>
      <w:r w:rsidR="0081452A" w:rsidRPr="00624B2A">
        <w:t xml:space="preserve">classe energetica. </w:t>
      </w:r>
      <w:r w:rsidR="00745CB3" w:rsidRPr="00624B2A">
        <w:t>A</w:t>
      </w:r>
      <w:r w:rsidR="0081452A" w:rsidRPr="00624B2A">
        <w:t xml:space="preserve">ltri indicatori </w:t>
      </w:r>
      <w:r w:rsidR="00745CB3" w:rsidRPr="00624B2A">
        <w:t xml:space="preserve">invece </w:t>
      </w:r>
      <w:r w:rsidR="0081452A" w:rsidRPr="00624B2A">
        <w:t>non riportano risultati altrettanto soddisfacenti</w:t>
      </w:r>
      <w:r w:rsidR="00745CB3" w:rsidRPr="00624B2A">
        <w:t xml:space="preserve">. È questo il caso, per esempio, del </w:t>
      </w:r>
      <w:r w:rsidR="0081452A" w:rsidRPr="00624B2A">
        <w:t>consum</w:t>
      </w:r>
      <w:r w:rsidR="00745CB3" w:rsidRPr="00624B2A">
        <w:t>o</w:t>
      </w:r>
      <w:r w:rsidR="0081452A" w:rsidRPr="00624B2A">
        <w:t xml:space="preserve"> di energia elettrica delle imprese dell’industria e </w:t>
      </w:r>
      <w:r w:rsidR="00745CB3" w:rsidRPr="00624B2A">
        <w:t>dell’</w:t>
      </w:r>
      <w:r w:rsidR="0081452A" w:rsidRPr="00624B2A">
        <w:t>utilizzo dei mezzi pubblici.</w:t>
      </w:r>
      <w:r w:rsidR="00CC7FF5">
        <w:t xml:space="preserve"> </w:t>
      </w:r>
      <w:r w:rsidR="00745CB3" w:rsidRPr="00624B2A">
        <w:t xml:space="preserve">Per quanto concerne l’Asse VI, </w:t>
      </w:r>
      <w:r w:rsidR="008B0B44">
        <w:t>“Strategia turistica delle A</w:t>
      </w:r>
      <w:r w:rsidR="00745CB3" w:rsidRPr="00624B2A">
        <w:t xml:space="preserve">ree </w:t>
      </w:r>
      <w:r w:rsidR="008B0B44">
        <w:t>I</w:t>
      </w:r>
      <w:r w:rsidR="00745CB3" w:rsidRPr="00624B2A">
        <w:t>nterne</w:t>
      </w:r>
      <w:r w:rsidR="008B0B44">
        <w:t>”</w:t>
      </w:r>
      <w:r w:rsidR="00745CB3" w:rsidRPr="00624B2A">
        <w:t>, la superficie oggetto di intervento risulta ancora troppo modesta, mentre l’indice di domanda culturale del patrimonio statale è ancora distante dal target.</w:t>
      </w:r>
    </w:p>
    <w:p w14:paraId="10A0782E" w14:textId="77777777" w:rsidR="0081452A" w:rsidRPr="00624B2A" w:rsidRDefault="0081452A" w:rsidP="008D01EF"/>
    <w:p w14:paraId="772F256E" w14:textId="77777777" w:rsidR="00F15D46" w:rsidRDefault="00A554AA" w:rsidP="00865457">
      <w:r>
        <w:t xml:space="preserve">Per quanto riguarda </w:t>
      </w:r>
      <w:r w:rsidR="008D01EF" w:rsidRPr="00624B2A">
        <w:t>l</w:t>
      </w:r>
      <w:r>
        <w:t>a</w:t>
      </w:r>
      <w:r w:rsidR="008D01EF" w:rsidRPr="00624B2A">
        <w:t xml:space="preserve"> priorità del PSR FEASR afferent</w:t>
      </w:r>
      <w:r>
        <w:t>e</w:t>
      </w:r>
      <w:r w:rsidR="008D01EF" w:rsidRPr="00624B2A">
        <w:t xml:space="preserve"> all’area socio-economica</w:t>
      </w:r>
      <w:r>
        <w:t xml:space="preserve"> </w:t>
      </w:r>
      <w:r w:rsidR="008D01EF" w:rsidRPr="00624B2A">
        <w:t>(</w:t>
      </w:r>
      <w:r w:rsidR="00B104C3">
        <w:t>P</w:t>
      </w:r>
      <w:r w:rsidR="008D01EF" w:rsidRPr="00624B2A">
        <w:t>riorità VI)</w:t>
      </w:r>
      <w:r>
        <w:t>, inclusione sociale, riduzione della povertà e sviluppo economico nelle aree rurali,</w:t>
      </w:r>
      <w:r w:rsidR="008D01EF" w:rsidRPr="00624B2A">
        <w:t xml:space="preserve"> </w:t>
      </w:r>
      <w:r>
        <w:t>vi è stato</w:t>
      </w:r>
      <w:r w:rsidR="008D01EF" w:rsidRPr="00624B2A">
        <w:t xml:space="preserve"> un leggero miglioramento della performance finanziaria che passa dal 20,38% del 2019 a 21,82% nel 2020.</w:t>
      </w:r>
      <w:r w:rsidR="00F15D46" w:rsidRPr="00624B2A">
        <w:t xml:space="preserve"> In merito all’avanzamento della Priorità 6 del PSR, l’indicatore T21 (percentuale di popolazione rurale interessata da strategie di sviluppo locale) ha superato il proprio target. Per quanto riguarda gli altri indicatori la Priorità sembra scontare il ritardo nell’avvio del LEADER.</w:t>
      </w:r>
    </w:p>
    <w:p w14:paraId="66BBF5AA" w14:textId="77777777" w:rsidR="00865457" w:rsidRDefault="00865457" w:rsidP="00F15D46"/>
    <w:p w14:paraId="53CC775D" w14:textId="7E6DDF3B" w:rsidR="00CF4890" w:rsidRDefault="00CF4890">
      <w:pPr>
        <w:spacing w:after="320" w:line="300" w:lineRule="auto"/>
        <w:jc w:val="left"/>
      </w:pPr>
      <w:r>
        <w:br w:type="page"/>
      </w:r>
    </w:p>
    <w:p w14:paraId="660C073F" w14:textId="77777777" w:rsidR="00B4132E" w:rsidRDefault="004D6333" w:rsidP="00B27AA3">
      <w:pPr>
        <w:pStyle w:val="Titolo2"/>
      </w:pPr>
      <w:bookmarkStart w:id="60" w:name="_Toc91081398"/>
      <w:r>
        <w:t>Politiche riconducibili all’a</w:t>
      </w:r>
      <w:r w:rsidR="00B4132E">
        <w:t>rea istituzionale</w:t>
      </w:r>
      <w:bookmarkEnd w:id="60"/>
      <w:r w:rsidR="00B4132E">
        <w:t xml:space="preserve"> </w:t>
      </w:r>
    </w:p>
    <w:p w14:paraId="767EDB44" w14:textId="77777777" w:rsidR="00624B2A" w:rsidRPr="00624B2A" w:rsidRDefault="00624B2A" w:rsidP="00624B2A"/>
    <w:p w14:paraId="7BAEC8AB" w14:textId="77777777" w:rsidR="00B4132E" w:rsidRDefault="00B4132E" w:rsidP="00B27AA3">
      <w:pPr>
        <w:pStyle w:val="Titolo3"/>
      </w:pPr>
      <w:bookmarkStart w:id="61" w:name="_Toc91081399"/>
      <w:r w:rsidRPr="00922E2A">
        <w:t>Avanzamento degli interventi</w:t>
      </w:r>
      <w:bookmarkEnd w:id="61"/>
      <w:r w:rsidRPr="00922E2A">
        <w:t xml:space="preserve"> </w:t>
      </w:r>
    </w:p>
    <w:p w14:paraId="7B5549D2" w14:textId="77777777" w:rsidR="00624B2A" w:rsidRPr="00624B2A" w:rsidRDefault="00624B2A" w:rsidP="00624B2A"/>
    <w:p w14:paraId="11FDE751" w14:textId="77777777" w:rsidR="0086197B" w:rsidRDefault="0086197B" w:rsidP="0086197B">
      <w:pPr>
        <w:pStyle w:val="Titolo4"/>
      </w:pPr>
      <w:r>
        <w:t>Avanzamento finanziario</w:t>
      </w:r>
    </w:p>
    <w:p w14:paraId="549FC2CD" w14:textId="77777777" w:rsidR="00624B2A" w:rsidRPr="00624B2A" w:rsidRDefault="00624B2A" w:rsidP="00624B2A"/>
    <w:p w14:paraId="10010B0B" w14:textId="77777777" w:rsidR="00566B57" w:rsidRDefault="00566B57" w:rsidP="00566B57">
      <w:r w:rsidRPr="009E54BC">
        <w:t xml:space="preserve">Le politiche co-finanziate dai fondi strutturali e di investimento europei che intendono contribuire </w:t>
      </w:r>
      <w:r>
        <w:t>a m</w:t>
      </w:r>
      <w:r w:rsidRPr="00566B57">
        <w:t>igliorare l’efficienza della PA</w:t>
      </w:r>
      <w:r w:rsidRPr="009E54BC">
        <w:t xml:space="preserve"> convergono nell’area di analisi che nel presente rapporto è stata definita come “area </w:t>
      </w:r>
      <w:r w:rsidR="006F14E0">
        <w:t>istituzionale</w:t>
      </w:r>
      <w:r w:rsidRPr="009E54BC">
        <w:t xml:space="preserve">”. </w:t>
      </w:r>
      <w:r w:rsidR="006F14E0">
        <w:t>In questa area rientra la</w:t>
      </w:r>
      <w:r w:rsidRPr="009E54BC">
        <w:t xml:space="preserve"> mission</w:t>
      </w:r>
      <w:r w:rsidR="006F14E0">
        <w:t>e “a</w:t>
      </w:r>
      <w:r w:rsidR="006F14E0" w:rsidRPr="006F14E0">
        <w:t>ssetti istituzionali, servizi istituzionali e generali</w:t>
      </w:r>
      <w:r w:rsidR="006F14E0">
        <w:t xml:space="preserve"> </w:t>
      </w:r>
      <w:r w:rsidR="006F14E0" w:rsidRPr="006F14E0">
        <w:t>di gestione</w:t>
      </w:r>
      <w:r w:rsidR="006F14E0">
        <w:t>”</w:t>
      </w:r>
      <w:r w:rsidRPr="009E54BC">
        <w:t xml:space="preserve"> del Programma Regionale di Sviluppo (PRS) della XI Legislatura di Regione Lombardia</w:t>
      </w:r>
      <w:r w:rsidR="006F14E0">
        <w:t>.</w:t>
      </w:r>
      <w:r w:rsidRPr="009E54BC">
        <w:t xml:space="preserve"> A quest</w:t>
      </w:r>
      <w:r w:rsidR="006F14E0">
        <w:t>a</w:t>
      </w:r>
      <w:r w:rsidRPr="009E54BC">
        <w:t xml:space="preserve"> mission</w:t>
      </w:r>
      <w:r w:rsidR="006F14E0">
        <w:t>e</w:t>
      </w:r>
      <w:r w:rsidRPr="009E54BC">
        <w:t xml:space="preserve"> si p</w:t>
      </w:r>
      <w:r w:rsidR="006F14E0">
        <w:t>ossono</w:t>
      </w:r>
      <w:r w:rsidRPr="009E54BC">
        <w:t xml:space="preserve"> ricondurre gli interventi finanziati nell’ambito de</w:t>
      </w:r>
      <w:r w:rsidR="006F14E0">
        <w:t>ll’</w:t>
      </w:r>
      <w:r w:rsidR="00606C66">
        <w:t>A</w:t>
      </w:r>
      <w:r w:rsidR="006F14E0">
        <w:t>sse I</w:t>
      </w:r>
      <w:r>
        <w:t>V del POR FSE</w:t>
      </w:r>
      <w:r w:rsidRPr="009E54BC">
        <w:t>.</w:t>
      </w:r>
    </w:p>
    <w:p w14:paraId="13114CF0" w14:textId="1B3BE89A" w:rsidR="00B67B81" w:rsidRPr="00B67B81" w:rsidRDefault="00B67B81" w:rsidP="00566B57">
      <w:r>
        <w:t>L</w:t>
      </w:r>
      <w:r w:rsidRPr="00B67B81">
        <w:t xml:space="preserve">a riprogrammazione del POR FSE 2014-2020 in risposta alla pandemia da COVID-19 non ha modificato la dotazione finanziaria dell’Asse IV, ma ha previsto la rimodulazione dei target finali al 2023 di </w:t>
      </w:r>
      <w:r>
        <w:t>molt</w:t>
      </w:r>
      <w:r w:rsidR="005B12F6">
        <w:t>i</w:t>
      </w:r>
      <w:r w:rsidRPr="00B67B81">
        <w:t xml:space="preserve"> indicatori di realizzazione, o perché sottostimati, in quanto i  precedenti valori target finali erano stati già raggiunti nel 2019, o perché sovrastimati, in relazione alla effettiva durata di alcuni contratti di fornitura o del numero di sistemi informativi finanziati dal POR FSE.</w:t>
      </w:r>
    </w:p>
    <w:p w14:paraId="19C13F8C" w14:textId="77777777" w:rsidR="00481DF0" w:rsidRDefault="00481DF0" w:rsidP="00566B57"/>
    <w:p w14:paraId="25AFA5B8" w14:textId="77777777" w:rsidR="00AC76CE" w:rsidRDefault="00AC76CE" w:rsidP="00AC76CE">
      <w:r>
        <w:t>La tabella che segue riporta l’avanzamento finanziario dell’</w:t>
      </w:r>
      <w:r w:rsidR="000868FA">
        <w:t>A</w:t>
      </w:r>
      <w:r>
        <w:t>sse IV del POR FSE, il quale contribuisce agli obiettivi dell’area istituzionale, al 31 dicembre 2020. L’importo programmato per interventi afferenti all’</w:t>
      </w:r>
      <w:r w:rsidR="000868FA">
        <w:t>A</w:t>
      </w:r>
      <w:r>
        <w:t>sse IV è di 20 milioni di euro, di cui circa 16 milioni (79,65%) sono già stati impegnati e circa 7 milioni (34,59%) sono stati rimborsati ai beneficiari.</w:t>
      </w:r>
    </w:p>
    <w:p w14:paraId="5E753EBC" w14:textId="77777777" w:rsidR="00AC76CE" w:rsidRDefault="00AC76CE" w:rsidP="00566B57">
      <w:r>
        <w:t xml:space="preserve"> </w:t>
      </w:r>
    </w:p>
    <w:p w14:paraId="52F4A9A8" w14:textId="77777777" w:rsidR="00477F0C" w:rsidRDefault="00477F0C" w:rsidP="00477F0C">
      <w:pPr>
        <w:pStyle w:val="Didascalia"/>
      </w:pPr>
      <w:bookmarkStart w:id="62" w:name="_Toc91081450"/>
      <w:r>
        <w:t xml:space="preserve">Tabella </w:t>
      </w:r>
      <w:r w:rsidR="004E6566">
        <w:fldChar w:fldCharType="begin"/>
      </w:r>
      <w:r>
        <w:instrText xml:space="preserve"> SEQ Tabella \* ARABIC </w:instrText>
      </w:r>
      <w:r w:rsidR="004E6566">
        <w:fldChar w:fldCharType="separate"/>
      </w:r>
      <w:r w:rsidR="00E53D6C">
        <w:rPr>
          <w:noProof/>
        </w:rPr>
        <w:t>24</w:t>
      </w:r>
      <w:r w:rsidR="004E6566">
        <w:fldChar w:fldCharType="end"/>
      </w:r>
      <w:r w:rsidR="001230B4">
        <w:t>. A</w:t>
      </w:r>
      <w:r>
        <w:t>vanzamento degli assi FSE- Area istituzionale – fine 2020</w:t>
      </w:r>
      <w:bookmarkEnd w:id="62"/>
    </w:p>
    <w:tbl>
      <w:tblPr>
        <w:tblW w:w="9696" w:type="dxa"/>
        <w:tblLayout w:type="fixed"/>
        <w:tblLook w:val="04A0" w:firstRow="1" w:lastRow="0" w:firstColumn="1" w:lastColumn="0" w:noHBand="0" w:noVBand="1"/>
      </w:tblPr>
      <w:tblGrid>
        <w:gridCol w:w="3685"/>
        <w:gridCol w:w="1361"/>
        <w:gridCol w:w="1361"/>
        <w:gridCol w:w="1361"/>
        <w:gridCol w:w="964"/>
        <w:gridCol w:w="964"/>
      </w:tblGrid>
      <w:tr w:rsidR="005E75CE" w:rsidRPr="00606C66" w14:paraId="58773D62" w14:textId="77777777" w:rsidTr="003270F9">
        <w:trPr>
          <w:trHeight w:val="345"/>
        </w:trPr>
        <w:tc>
          <w:tcPr>
            <w:tcW w:w="3685" w:type="dxa"/>
            <w:tcBorders>
              <w:top w:val="nil"/>
              <w:left w:val="nil"/>
              <w:bottom w:val="nil"/>
              <w:right w:val="nil"/>
            </w:tcBorders>
            <w:shd w:val="clear" w:color="auto" w:fill="669748" w:themeFill="accent2" w:themeFillShade="BF"/>
            <w:noWrap/>
            <w:vAlign w:val="center"/>
            <w:hideMark/>
          </w:tcPr>
          <w:p w14:paraId="0F1D7970" w14:textId="77777777" w:rsidR="005E75CE" w:rsidRPr="00606C66" w:rsidRDefault="005E75CE" w:rsidP="005E75CE">
            <w:pPr>
              <w:jc w:val="left"/>
              <w:rPr>
                <w:rFonts w:eastAsia="Times New Roman" w:cs="Calibri"/>
                <w:b/>
                <w:bCs/>
                <w:color w:val="FFFFFF"/>
                <w:sz w:val="16"/>
                <w:szCs w:val="16"/>
                <w:lang w:eastAsia="en-US"/>
              </w:rPr>
            </w:pPr>
            <w:r w:rsidRPr="00606C66">
              <w:rPr>
                <w:rFonts w:eastAsia="Times New Roman" w:cs="Calibri"/>
                <w:b/>
                <w:bCs/>
                <w:color w:val="FFFFFF"/>
                <w:sz w:val="16"/>
                <w:szCs w:val="16"/>
                <w:lang w:eastAsia="en-US"/>
              </w:rPr>
              <w:t>Area</w:t>
            </w:r>
          </w:p>
        </w:tc>
        <w:tc>
          <w:tcPr>
            <w:tcW w:w="1361" w:type="dxa"/>
            <w:tcBorders>
              <w:top w:val="nil"/>
              <w:left w:val="nil"/>
              <w:bottom w:val="nil"/>
              <w:right w:val="nil"/>
            </w:tcBorders>
            <w:shd w:val="clear" w:color="auto" w:fill="669748" w:themeFill="accent2" w:themeFillShade="BF"/>
            <w:noWrap/>
            <w:vAlign w:val="bottom"/>
            <w:hideMark/>
          </w:tcPr>
          <w:p w14:paraId="78C86446" w14:textId="77777777" w:rsidR="005E75CE" w:rsidRPr="00606C66" w:rsidRDefault="005E75CE" w:rsidP="00033A16">
            <w:pPr>
              <w:jc w:val="right"/>
              <w:rPr>
                <w:rFonts w:eastAsia="Times New Roman" w:cs="Calibri"/>
                <w:b/>
                <w:bCs/>
                <w:color w:val="FFFFFF"/>
                <w:sz w:val="16"/>
                <w:szCs w:val="16"/>
                <w:lang w:eastAsia="en-US"/>
              </w:rPr>
            </w:pPr>
            <w:r w:rsidRPr="00606C66">
              <w:rPr>
                <w:rFonts w:eastAsia="Times New Roman" w:cs="Calibri"/>
                <w:b/>
                <w:bCs/>
                <w:color w:val="FFFFFF"/>
                <w:sz w:val="16"/>
                <w:szCs w:val="16"/>
                <w:lang w:eastAsia="en-US"/>
              </w:rPr>
              <w:t>A - Importo programmato</w:t>
            </w:r>
            <w:r w:rsidRPr="00606C66">
              <w:rPr>
                <w:rFonts w:eastAsia="Times New Roman" w:cs="Calibri"/>
                <w:b/>
                <w:bCs/>
                <w:color w:val="FFFFFF"/>
                <w:sz w:val="16"/>
                <w:szCs w:val="16"/>
                <w:vertAlign w:val="superscript"/>
                <w:lang w:eastAsia="en-US"/>
              </w:rPr>
              <w:t>1</w:t>
            </w:r>
          </w:p>
        </w:tc>
        <w:tc>
          <w:tcPr>
            <w:tcW w:w="1361" w:type="dxa"/>
            <w:tcBorders>
              <w:top w:val="nil"/>
              <w:left w:val="nil"/>
              <w:bottom w:val="nil"/>
              <w:right w:val="nil"/>
            </w:tcBorders>
            <w:shd w:val="clear" w:color="auto" w:fill="669748" w:themeFill="accent2" w:themeFillShade="BF"/>
            <w:noWrap/>
            <w:vAlign w:val="bottom"/>
            <w:hideMark/>
          </w:tcPr>
          <w:p w14:paraId="3ABBC02D" w14:textId="77777777" w:rsidR="005E75CE" w:rsidRPr="00606C66" w:rsidRDefault="005E75CE" w:rsidP="00033A16">
            <w:pPr>
              <w:jc w:val="right"/>
              <w:rPr>
                <w:rFonts w:eastAsia="Times New Roman" w:cs="Calibri"/>
                <w:b/>
                <w:bCs/>
                <w:color w:val="FFFFFF"/>
                <w:sz w:val="16"/>
                <w:szCs w:val="16"/>
                <w:lang w:eastAsia="en-US"/>
              </w:rPr>
            </w:pPr>
            <w:r w:rsidRPr="00606C66">
              <w:rPr>
                <w:rFonts w:eastAsia="Times New Roman" w:cs="Calibri"/>
                <w:b/>
                <w:bCs/>
                <w:color w:val="FFFFFF"/>
                <w:sz w:val="16"/>
                <w:szCs w:val="16"/>
                <w:lang w:eastAsia="en-US"/>
              </w:rPr>
              <w:t>B - Importo impegnato</w:t>
            </w:r>
          </w:p>
        </w:tc>
        <w:tc>
          <w:tcPr>
            <w:tcW w:w="1361" w:type="dxa"/>
            <w:tcBorders>
              <w:top w:val="nil"/>
              <w:left w:val="nil"/>
              <w:bottom w:val="nil"/>
              <w:right w:val="nil"/>
            </w:tcBorders>
            <w:shd w:val="clear" w:color="auto" w:fill="669748" w:themeFill="accent2" w:themeFillShade="BF"/>
            <w:noWrap/>
            <w:vAlign w:val="bottom"/>
            <w:hideMark/>
          </w:tcPr>
          <w:p w14:paraId="4FC843CE" w14:textId="77777777" w:rsidR="005E75CE" w:rsidRPr="00606C66" w:rsidRDefault="005E75CE" w:rsidP="00033A16">
            <w:pPr>
              <w:jc w:val="right"/>
              <w:rPr>
                <w:rFonts w:eastAsia="Times New Roman" w:cs="Calibri"/>
                <w:b/>
                <w:bCs/>
                <w:color w:val="FFFFFF"/>
                <w:sz w:val="16"/>
                <w:szCs w:val="16"/>
                <w:lang w:eastAsia="en-US"/>
              </w:rPr>
            </w:pPr>
            <w:r w:rsidRPr="00606C66">
              <w:rPr>
                <w:rFonts w:eastAsia="Times New Roman" w:cs="Calibri"/>
                <w:b/>
                <w:bCs/>
                <w:color w:val="FFFFFF"/>
                <w:sz w:val="16"/>
                <w:szCs w:val="16"/>
                <w:lang w:eastAsia="en-US"/>
              </w:rPr>
              <w:t>C - Spesa ammissibile dichiarata da</w:t>
            </w:r>
            <w:r w:rsidR="00BE1F60" w:rsidRPr="00606C66">
              <w:rPr>
                <w:rFonts w:eastAsia="Times New Roman" w:cs="Calibri"/>
                <w:b/>
                <w:bCs/>
                <w:color w:val="FFFFFF"/>
                <w:sz w:val="16"/>
                <w:szCs w:val="16"/>
                <w:lang w:eastAsia="en-US"/>
              </w:rPr>
              <w:t>i</w:t>
            </w:r>
            <w:r w:rsidRPr="00606C66">
              <w:rPr>
                <w:rFonts w:eastAsia="Times New Roman" w:cs="Calibri"/>
                <w:b/>
                <w:bCs/>
                <w:color w:val="FFFFFF"/>
                <w:sz w:val="16"/>
                <w:szCs w:val="16"/>
                <w:lang w:eastAsia="en-US"/>
              </w:rPr>
              <w:t xml:space="preserve"> beneficiari</w:t>
            </w:r>
          </w:p>
        </w:tc>
        <w:tc>
          <w:tcPr>
            <w:tcW w:w="964" w:type="dxa"/>
            <w:tcBorders>
              <w:top w:val="nil"/>
              <w:left w:val="nil"/>
              <w:bottom w:val="nil"/>
              <w:right w:val="nil"/>
            </w:tcBorders>
            <w:shd w:val="clear" w:color="auto" w:fill="669748" w:themeFill="accent2" w:themeFillShade="BF"/>
            <w:noWrap/>
            <w:vAlign w:val="bottom"/>
            <w:hideMark/>
          </w:tcPr>
          <w:p w14:paraId="50DE1E49" w14:textId="77777777" w:rsidR="005E75CE" w:rsidRPr="00606C66" w:rsidRDefault="005E75CE" w:rsidP="00033A16">
            <w:pPr>
              <w:jc w:val="right"/>
              <w:rPr>
                <w:rFonts w:eastAsia="Times New Roman" w:cs="Calibri"/>
                <w:b/>
                <w:bCs/>
                <w:color w:val="FFFFFF"/>
                <w:sz w:val="16"/>
                <w:szCs w:val="16"/>
                <w:lang w:eastAsia="en-US"/>
              </w:rPr>
            </w:pPr>
            <w:r w:rsidRPr="00606C66">
              <w:rPr>
                <w:rFonts w:eastAsia="Times New Roman" w:cs="Calibri"/>
                <w:b/>
                <w:bCs/>
                <w:color w:val="FFFFFF"/>
                <w:sz w:val="16"/>
                <w:szCs w:val="16"/>
                <w:lang w:eastAsia="en-US"/>
              </w:rPr>
              <w:t>B/A - % impegnato</w:t>
            </w:r>
          </w:p>
        </w:tc>
        <w:tc>
          <w:tcPr>
            <w:tcW w:w="964" w:type="dxa"/>
            <w:tcBorders>
              <w:top w:val="nil"/>
              <w:left w:val="nil"/>
              <w:bottom w:val="nil"/>
              <w:right w:val="nil"/>
            </w:tcBorders>
            <w:shd w:val="clear" w:color="auto" w:fill="669748" w:themeFill="accent2" w:themeFillShade="BF"/>
            <w:noWrap/>
            <w:vAlign w:val="bottom"/>
            <w:hideMark/>
          </w:tcPr>
          <w:p w14:paraId="743CB84C" w14:textId="77777777" w:rsidR="005E75CE" w:rsidRPr="00606C66" w:rsidRDefault="005E75CE" w:rsidP="00033A16">
            <w:pPr>
              <w:jc w:val="right"/>
              <w:rPr>
                <w:rFonts w:eastAsia="Times New Roman" w:cs="Calibri"/>
                <w:b/>
                <w:bCs/>
                <w:color w:val="FFFFFF"/>
                <w:sz w:val="16"/>
                <w:szCs w:val="16"/>
                <w:lang w:eastAsia="en-US"/>
              </w:rPr>
            </w:pPr>
            <w:r w:rsidRPr="00606C66">
              <w:rPr>
                <w:rFonts w:eastAsia="Times New Roman" w:cs="Calibri"/>
                <w:b/>
                <w:bCs/>
                <w:color w:val="FFFFFF"/>
                <w:sz w:val="16"/>
                <w:szCs w:val="16"/>
                <w:lang w:eastAsia="en-US"/>
              </w:rPr>
              <w:t>C/A - % speso</w:t>
            </w:r>
          </w:p>
        </w:tc>
      </w:tr>
      <w:tr w:rsidR="005E75CE" w:rsidRPr="00606C66" w14:paraId="54B82397" w14:textId="77777777" w:rsidTr="00451F67">
        <w:trPr>
          <w:trHeight w:val="300"/>
        </w:trPr>
        <w:tc>
          <w:tcPr>
            <w:tcW w:w="3685" w:type="dxa"/>
            <w:tcBorders>
              <w:top w:val="nil"/>
              <w:left w:val="nil"/>
              <w:bottom w:val="single" w:sz="4" w:space="0" w:color="305496"/>
              <w:right w:val="nil"/>
            </w:tcBorders>
            <w:shd w:val="clear" w:color="000000" w:fill="E7E6E6"/>
            <w:noWrap/>
            <w:vAlign w:val="bottom"/>
            <w:hideMark/>
          </w:tcPr>
          <w:p w14:paraId="717AC984" w14:textId="77777777" w:rsidR="005E75CE" w:rsidRPr="00606C66" w:rsidRDefault="005E75CE" w:rsidP="005E75CE">
            <w:pPr>
              <w:jc w:val="left"/>
              <w:rPr>
                <w:rFonts w:eastAsia="Times New Roman" w:cs="Calibri"/>
                <w:b/>
                <w:bCs/>
                <w:color w:val="000000"/>
                <w:sz w:val="16"/>
                <w:szCs w:val="16"/>
                <w:lang w:eastAsia="en-US"/>
              </w:rPr>
            </w:pPr>
            <w:r w:rsidRPr="00606C66">
              <w:rPr>
                <w:rFonts w:eastAsia="Times New Roman" w:cs="Calibri"/>
                <w:b/>
                <w:bCs/>
                <w:color w:val="000000"/>
                <w:sz w:val="16"/>
                <w:szCs w:val="16"/>
                <w:lang w:eastAsia="en-US"/>
              </w:rPr>
              <w:t>Area istituzionale</w:t>
            </w:r>
          </w:p>
        </w:tc>
        <w:tc>
          <w:tcPr>
            <w:tcW w:w="1361" w:type="dxa"/>
            <w:tcBorders>
              <w:top w:val="nil"/>
              <w:left w:val="nil"/>
              <w:bottom w:val="single" w:sz="4" w:space="0" w:color="305496"/>
              <w:right w:val="nil"/>
            </w:tcBorders>
            <w:shd w:val="clear" w:color="000000" w:fill="E7E6E6"/>
            <w:noWrap/>
            <w:vAlign w:val="bottom"/>
            <w:hideMark/>
          </w:tcPr>
          <w:p w14:paraId="0E91C2E5" w14:textId="77777777" w:rsidR="005E75CE" w:rsidRPr="00606C66" w:rsidRDefault="005E75CE" w:rsidP="00033A16">
            <w:pPr>
              <w:jc w:val="right"/>
              <w:rPr>
                <w:rFonts w:eastAsia="Times New Roman" w:cs="Calibri"/>
                <w:b/>
                <w:bCs/>
                <w:color w:val="000000"/>
                <w:sz w:val="16"/>
                <w:szCs w:val="16"/>
                <w:lang w:eastAsia="en-US"/>
              </w:rPr>
            </w:pPr>
            <w:r w:rsidRPr="00606C66">
              <w:rPr>
                <w:rFonts w:eastAsia="Times New Roman" w:cs="Calibri"/>
                <w:b/>
                <w:bCs/>
                <w:color w:val="000000"/>
                <w:sz w:val="16"/>
                <w:szCs w:val="16"/>
                <w:lang w:eastAsia="en-US"/>
              </w:rPr>
              <w:t>20.000.000,00</w:t>
            </w:r>
          </w:p>
        </w:tc>
        <w:tc>
          <w:tcPr>
            <w:tcW w:w="1361" w:type="dxa"/>
            <w:tcBorders>
              <w:top w:val="nil"/>
              <w:left w:val="nil"/>
              <w:bottom w:val="single" w:sz="4" w:space="0" w:color="305496"/>
              <w:right w:val="nil"/>
            </w:tcBorders>
            <w:shd w:val="clear" w:color="000000" w:fill="E7E6E6"/>
            <w:noWrap/>
            <w:vAlign w:val="bottom"/>
            <w:hideMark/>
          </w:tcPr>
          <w:p w14:paraId="08EE7B13" w14:textId="77777777" w:rsidR="005E75CE" w:rsidRPr="00606C66" w:rsidRDefault="005E75CE" w:rsidP="00033A16">
            <w:pPr>
              <w:jc w:val="right"/>
              <w:rPr>
                <w:rFonts w:eastAsia="Times New Roman" w:cs="Calibri"/>
                <w:b/>
                <w:bCs/>
                <w:color w:val="000000"/>
                <w:sz w:val="16"/>
                <w:szCs w:val="16"/>
                <w:lang w:eastAsia="en-US"/>
              </w:rPr>
            </w:pPr>
            <w:r w:rsidRPr="00606C66">
              <w:rPr>
                <w:rFonts w:eastAsia="Times New Roman" w:cs="Calibri"/>
                <w:b/>
                <w:bCs/>
                <w:color w:val="000000"/>
                <w:sz w:val="16"/>
                <w:szCs w:val="16"/>
                <w:lang w:eastAsia="en-US"/>
              </w:rPr>
              <w:t>15.929.035,06</w:t>
            </w:r>
          </w:p>
        </w:tc>
        <w:tc>
          <w:tcPr>
            <w:tcW w:w="1361" w:type="dxa"/>
            <w:tcBorders>
              <w:top w:val="nil"/>
              <w:left w:val="nil"/>
              <w:bottom w:val="single" w:sz="4" w:space="0" w:color="305496"/>
              <w:right w:val="nil"/>
            </w:tcBorders>
            <w:shd w:val="clear" w:color="000000" w:fill="E7E6E6"/>
            <w:noWrap/>
            <w:vAlign w:val="bottom"/>
            <w:hideMark/>
          </w:tcPr>
          <w:p w14:paraId="3FF43E00" w14:textId="77777777" w:rsidR="005E75CE" w:rsidRPr="00606C66" w:rsidRDefault="005E75CE" w:rsidP="00033A16">
            <w:pPr>
              <w:jc w:val="right"/>
              <w:rPr>
                <w:rFonts w:eastAsia="Times New Roman" w:cs="Calibri"/>
                <w:b/>
                <w:bCs/>
                <w:color w:val="000000"/>
                <w:sz w:val="16"/>
                <w:szCs w:val="16"/>
                <w:lang w:eastAsia="en-US"/>
              </w:rPr>
            </w:pPr>
            <w:r w:rsidRPr="00606C66">
              <w:rPr>
                <w:rFonts w:eastAsia="Times New Roman" w:cs="Calibri"/>
                <w:b/>
                <w:bCs/>
                <w:color w:val="000000"/>
                <w:sz w:val="16"/>
                <w:szCs w:val="16"/>
                <w:lang w:eastAsia="en-US"/>
              </w:rPr>
              <w:t>6.918.885,56</w:t>
            </w:r>
          </w:p>
        </w:tc>
        <w:tc>
          <w:tcPr>
            <w:tcW w:w="964" w:type="dxa"/>
            <w:tcBorders>
              <w:top w:val="nil"/>
              <w:left w:val="nil"/>
              <w:bottom w:val="single" w:sz="4" w:space="0" w:color="305496"/>
              <w:right w:val="nil"/>
            </w:tcBorders>
            <w:shd w:val="clear" w:color="000000" w:fill="E7E6E6"/>
            <w:noWrap/>
            <w:vAlign w:val="bottom"/>
            <w:hideMark/>
          </w:tcPr>
          <w:p w14:paraId="17FB6563" w14:textId="77777777" w:rsidR="005E75CE" w:rsidRPr="00606C66" w:rsidRDefault="005E75CE" w:rsidP="00033A16">
            <w:pPr>
              <w:jc w:val="right"/>
              <w:rPr>
                <w:rFonts w:eastAsia="Times New Roman" w:cs="Calibri"/>
                <w:b/>
                <w:bCs/>
                <w:color w:val="000000"/>
                <w:sz w:val="16"/>
                <w:szCs w:val="16"/>
                <w:lang w:eastAsia="en-US"/>
              </w:rPr>
            </w:pPr>
            <w:r w:rsidRPr="00606C66">
              <w:rPr>
                <w:rFonts w:eastAsia="Times New Roman" w:cs="Calibri"/>
                <w:b/>
                <w:bCs/>
                <w:color w:val="000000"/>
                <w:sz w:val="16"/>
                <w:szCs w:val="16"/>
                <w:lang w:eastAsia="en-US"/>
              </w:rPr>
              <w:t>79,65%</w:t>
            </w:r>
          </w:p>
        </w:tc>
        <w:tc>
          <w:tcPr>
            <w:tcW w:w="964" w:type="dxa"/>
            <w:tcBorders>
              <w:top w:val="nil"/>
              <w:left w:val="nil"/>
              <w:bottom w:val="single" w:sz="4" w:space="0" w:color="305496"/>
              <w:right w:val="nil"/>
            </w:tcBorders>
            <w:shd w:val="clear" w:color="000000" w:fill="E7E6E6"/>
            <w:noWrap/>
            <w:vAlign w:val="bottom"/>
            <w:hideMark/>
          </w:tcPr>
          <w:p w14:paraId="226D4336" w14:textId="77777777" w:rsidR="005E75CE" w:rsidRPr="00606C66" w:rsidRDefault="005E75CE" w:rsidP="00033A16">
            <w:pPr>
              <w:jc w:val="right"/>
              <w:rPr>
                <w:rFonts w:eastAsia="Times New Roman" w:cs="Calibri"/>
                <w:b/>
                <w:bCs/>
                <w:color w:val="000000"/>
                <w:sz w:val="16"/>
                <w:szCs w:val="16"/>
                <w:lang w:eastAsia="en-US"/>
              </w:rPr>
            </w:pPr>
            <w:r w:rsidRPr="00606C66">
              <w:rPr>
                <w:rFonts w:eastAsia="Times New Roman" w:cs="Calibri"/>
                <w:b/>
                <w:bCs/>
                <w:color w:val="000000"/>
                <w:sz w:val="16"/>
                <w:szCs w:val="16"/>
                <w:lang w:eastAsia="en-US"/>
              </w:rPr>
              <w:t>34,59%</w:t>
            </w:r>
          </w:p>
        </w:tc>
      </w:tr>
      <w:tr w:rsidR="005E75CE" w:rsidRPr="00606C66" w14:paraId="60CFA3A7" w14:textId="77777777" w:rsidTr="00451F67">
        <w:trPr>
          <w:trHeight w:val="300"/>
        </w:trPr>
        <w:tc>
          <w:tcPr>
            <w:tcW w:w="3685" w:type="dxa"/>
            <w:tcBorders>
              <w:top w:val="nil"/>
              <w:left w:val="nil"/>
              <w:bottom w:val="single" w:sz="4" w:space="0" w:color="305496"/>
              <w:right w:val="nil"/>
            </w:tcBorders>
            <w:shd w:val="clear" w:color="auto" w:fill="auto"/>
            <w:noWrap/>
            <w:vAlign w:val="bottom"/>
            <w:hideMark/>
          </w:tcPr>
          <w:p w14:paraId="373A41CE" w14:textId="77777777" w:rsidR="005E75CE" w:rsidRPr="00606C66" w:rsidRDefault="005E75CE" w:rsidP="005E75CE">
            <w:pPr>
              <w:jc w:val="left"/>
              <w:rPr>
                <w:rFonts w:eastAsia="Times New Roman" w:cs="Calibri"/>
                <w:color w:val="000000"/>
                <w:sz w:val="16"/>
                <w:szCs w:val="16"/>
                <w:lang w:eastAsia="en-US"/>
              </w:rPr>
            </w:pPr>
            <w:r w:rsidRPr="00606C66">
              <w:rPr>
                <w:rFonts w:eastAsia="Times New Roman" w:cs="Calibri"/>
                <w:color w:val="000000"/>
                <w:sz w:val="16"/>
                <w:szCs w:val="16"/>
                <w:lang w:eastAsia="en-US"/>
              </w:rPr>
              <w:t>IV - Capacità istituzionale e amministrativa</w:t>
            </w:r>
          </w:p>
        </w:tc>
        <w:tc>
          <w:tcPr>
            <w:tcW w:w="1361" w:type="dxa"/>
            <w:tcBorders>
              <w:top w:val="nil"/>
              <w:left w:val="nil"/>
              <w:bottom w:val="single" w:sz="4" w:space="0" w:color="305496"/>
              <w:right w:val="nil"/>
            </w:tcBorders>
            <w:shd w:val="clear" w:color="auto" w:fill="auto"/>
            <w:noWrap/>
            <w:vAlign w:val="bottom"/>
            <w:hideMark/>
          </w:tcPr>
          <w:p w14:paraId="50FB4F88" w14:textId="77777777" w:rsidR="005E75CE" w:rsidRPr="00606C66" w:rsidRDefault="005E75CE"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20.000.000,00</w:t>
            </w:r>
          </w:p>
        </w:tc>
        <w:tc>
          <w:tcPr>
            <w:tcW w:w="1361" w:type="dxa"/>
            <w:tcBorders>
              <w:top w:val="nil"/>
              <w:left w:val="nil"/>
              <w:bottom w:val="single" w:sz="4" w:space="0" w:color="305496"/>
              <w:right w:val="nil"/>
            </w:tcBorders>
            <w:shd w:val="clear" w:color="auto" w:fill="auto"/>
            <w:noWrap/>
            <w:vAlign w:val="bottom"/>
            <w:hideMark/>
          </w:tcPr>
          <w:p w14:paraId="5426EA20" w14:textId="77777777" w:rsidR="005E75CE" w:rsidRPr="00606C66" w:rsidRDefault="005E75CE"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15.929.035,06</w:t>
            </w:r>
          </w:p>
        </w:tc>
        <w:tc>
          <w:tcPr>
            <w:tcW w:w="1361" w:type="dxa"/>
            <w:tcBorders>
              <w:top w:val="nil"/>
              <w:left w:val="nil"/>
              <w:bottom w:val="single" w:sz="4" w:space="0" w:color="305496"/>
              <w:right w:val="nil"/>
            </w:tcBorders>
            <w:shd w:val="clear" w:color="auto" w:fill="auto"/>
            <w:noWrap/>
            <w:vAlign w:val="bottom"/>
            <w:hideMark/>
          </w:tcPr>
          <w:p w14:paraId="73F09FAB" w14:textId="77777777" w:rsidR="005E75CE" w:rsidRPr="00606C66" w:rsidRDefault="005E75CE"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6.918.885,56</w:t>
            </w:r>
          </w:p>
        </w:tc>
        <w:tc>
          <w:tcPr>
            <w:tcW w:w="964" w:type="dxa"/>
            <w:tcBorders>
              <w:top w:val="nil"/>
              <w:left w:val="nil"/>
              <w:bottom w:val="single" w:sz="4" w:space="0" w:color="305496"/>
              <w:right w:val="nil"/>
            </w:tcBorders>
            <w:shd w:val="clear" w:color="auto" w:fill="auto"/>
            <w:noWrap/>
            <w:vAlign w:val="bottom"/>
            <w:hideMark/>
          </w:tcPr>
          <w:p w14:paraId="712A5F59" w14:textId="77777777" w:rsidR="005E75CE" w:rsidRPr="00606C66" w:rsidRDefault="005E75CE"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79,65%</w:t>
            </w:r>
          </w:p>
        </w:tc>
        <w:tc>
          <w:tcPr>
            <w:tcW w:w="964" w:type="dxa"/>
            <w:tcBorders>
              <w:top w:val="nil"/>
              <w:left w:val="nil"/>
              <w:bottom w:val="single" w:sz="4" w:space="0" w:color="305496"/>
              <w:right w:val="nil"/>
            </w:tcBorders>
            <w:shd w:val="clear" w:color="auto" w:fill="auto"/>
            <w:noWrap/>
            <w:vAlign w:val="bottom"/>
            <w:hideMark/>
          </w:tcPr>
          <w:p w14:paraId="0198DFD5" w14:textId="77777777" w:rsidR="005E75CE" w:rsidRPr="00606C66" w:rsidRDefault="005E75CE"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34,59%</w:t>
            </w:r>
          </w:p>
        </w:tc>
      </w:tr>
    </w:tbl>
    <w:p w14:paraId="18C61D21" w14:textId="77777777" w:rsidR="00AC1207" w:rsidRDefault="00AC1207" w:rsidP="00331B21">
      <w:pPr>
        <w:rPr>
          <w:sz w:val="18"/>
          <w:szCs w:val="18"/>
        </w:rPr>
      </w:pPr>
      <w:r>
        <w:rPr>
          <w:sz w:val="18"/>
          <w:szCs w:val="18"/>
        </w:rPr>
        <w:t>Fonte: EU Open Data, 31.12.2020</w:t>
      </w:r>
    </w:p>
    <w:p w14:paraId="035849AB" w14:textId="77777777" w:rsidR="00331B21" w:rsidRDefault="00331B21" w:rsidP="00331B21">
      <w:r w:rsidRPr="00451F67">
        <w:rPr>
          <w:sz w:val="18"/>
          <w:szCs w:val="18"/>
        </w:rPr>
        <w:t xml:space="preserve">Nota: </w:t>
      </w:r>
      <w:r w:rsidRPr="00451F67">
        <w:rPr>
          <w:sz w:val="18"/>
          <w:szCs w:val="18"/>
          <w:vertAlign w:val="superscript"/>
        </w:rPr>
        <w:t xml:space="preserve">1 </w:t>
      </w:r>
      <w:r w:rsidRPr="00451F67">
        <w:rPr>
          <w:sz w:val="18"/>
          <w:szCs w:val="18"/>
        </w:rPr>
        <w:t>L’importo programmato comprende sia le risorse finanziarie dell’UE che nazionali.</w:t>
      </w:r>
    </w:p>
    <w:p w14:paraId="6D0ECDF4" w14:textId="77777777" w:rsidR="00451F67" w:rsidRDefault="00451F67" w:rsidP="00566B57"/>
    <w:p w14:paraId="6C00099E" w14:textId="0A99B7BD" w:rsidR="00F96521" w:rsidRDefault="00E3747D" w:rsidP="00566B57">
      <w:r>
        <w:t>L’</w:t>
      </w:r>
      <w:r w:rsidR="002F7DD1">
        <w:t>A</w:t>
      </w:r>
      <w:r>
        <w:t>sse IV del POR FSE conta 12 operazioni selezionate distribuite equamente sui 12 bandi finanzia</w:t>
      </w:r>
      <w:r w:rsidR="00CF009B">
        <w:t>t</w:t>
      </w:r>
      <w:r>
        <w:t>i. La quasi totalità dei bandi risulta o finanziariamente conclusa o non iniziata, mentre due bandi riguardanti la digitalizzazione del patrimonio culturale Lombardo e il Sistema Informatico Unico di Accreditamento riportano una quota della spesa pubblica coperta dalla spesa ammissibile dichiarata dai beneficiari rispettivamente pari a 84,48% e 47,37%.</w:t>
      </w:r>
    </w:p>
    <w:p w14:paraId="462A8C73" w14:textId="77777777" w:rsidR="00CF4890" w:rsidRDefault="00CF4890" w:rsidP="00566B57"/>
    <w:p w14:paraId="587DD587" w14:textId="77777777" w:rsidR="00481DF0" w:rsidRDefault="00481DF0" w:rsidP="00481DF0">
      <w:pPr>
        <w:pStyle w:val="Didascalia"/>
      </w:pPr>
      <w:bookmarkStart w:id="63" w:name="_Toc91081451"/>
      <w:r>
        <w:t xml:space="preserve">Tabella </w:t>
      </w:r>
      <w:r w:rsidR="004E6566">
        <w:fldChar w:fldCharType="begin"/>
      </w:r>
      <w:r>
        <w:instrText xml:space="preserve"> SEQ Tabella \* ARABIC </w:instrText>
      </w:r>
      <w:r w:rsidR="004E6566">
        <w:fldChar w:fldCharType="separate"/>
      </w:r>
      <w:r w:rsidR="00E53D6C">
        <w:rPr>
          <w:noProof/>
        </w:rPr>
        <w:t>25</w:t>
      </w:r>
      <w:r w:rsidR="004E6566">
        <w:fldChar w:fldCharType="end"/>
      </w:r>
      <w:r w:rsidR="001230B4">
        <w:t>. A</w:t>
      </w:r>
      <w:r>
        <w:t>vanzamento degli interventi F</w:t>
      </w:r>
      <w:r w:rsidR="000B3C93">
        <w:t>SE</w:t>
      </w:r>
      <w:r>
        <w:t xml:space="preserve"> - Area </w:t>
      </w:r>
      <w:r w:rsidR="000B3C93">
        <w:t>istituzionale</w:t>
      </w:r>
      <w:r>
        <w:t xml:space="preserve"> – fine 2020</w:t>
      </w:r>
      <w:bookmarkEnd w:id="63"/>
    </w:p>
    <w:tbl>
      <w:tblPr>
        <w:tblW w:w="9751" w:type="dxa"/>
        <w:tblLook w:val="04A0" w:firstRow="1" w:lastRow="0" w:firstColumn="1" w:lastColumn="0" w:noHBand="0" w:noVBand="1"/>
      </w:tblPr>
      <w:tblGrid>
        <w:gridCol w:w="4819"/>
        <w:gridCol w:w="1389"/>
        <w:gridCol w:w="1389"/>
        <w:gridCol w:w="1134"/>
        <w:gridCol w:w="1020"/>
      </w:tblGrid>
      <w:tr w:rsidR="00E70636" w:rsidRPr="00606C66" w14:paraId="2ACA80AB" w14:textId="77777777" w:rsidTr="003270F9">
        <w:trPr>
          <w:trHeight w:val="1200"/>
        </w:trPr>
        <w:tc>
          <w:tcPr>
            <w:tcW w:w="4819" w:type="dxa"/>
            <w:tcBorders>
              <w:top w:val="single" w:sz="8" w:space="0" w:color="548235"/>
              <w:left w:val="nil"/>
              <w:bottom w:val="nil"/>
              <w:right w:val="nil"/>
            </w:tcBorders>
            <w:shd w:val="clear" w:color="auto" w:fill="669748" w:themeFill="accent2" w:themeFillShade="BF"/>
            <w:vAlign w:val="bottom"/>
            <w:hideMark/>
          </w:tcPr>
          <w:p w14:paraId="6E7581DE" w14:textId="77777777" w:rsidR="00E70636" w:rsidRPr="00606C66" w:rsidRDefault="00E70636" w:rsidP="00E70636">
            <w:pPr>
              <w:jc w:val="left"/>
              <w:rPr>
                <w:rFonts w:eastAsia="Times New Roman" w:cs="Calibri"/>
                <w:b/>
                <w:bCs/>
                <w:color w:val="FFFFFF"/>
                <w:sz w:val="16"/>
                <w:szCs w:val="16"/>
                <w:lang w:eastAsia="en-US"/>
              </w:rPr>
            </w:pPr>
            <w:r w:rsidRPr="00606C66">
              <w:rPr>
                <w:rFonts w:eastAsia="Times New Roman" w:cs="Calibri"/>
                <w:b/>
                <w:bCs/>
                <w:color w:val="FFFFFF"/>
                <w:sz w:val="16"/>
                <w:szCs w:val="16"/>
                <w:lang w:eastAsia="en-US"/>
              </w:rPr>
              <w:t>Intervento</w:t>
            </w:r>
          </w:p>
        </w:tc>
        <w:tc>
          <w:tcPr>
            <w:tcW w:w="1389" w:type="dxa"/>
            <w:tcBorders>
              <w:top w:val="single" w:sz="8" w:space="0" w:color="548235"/>
              <w:left w:val="nil"/>
              <w:bottom w:val="nil"/>
              <w:right w:val="nil"/>
            </w:tcBorders>
            <w:shd w:val="clear" w:color="auto" w:fill="669748" w:themeFill="accent2" w:themeFillShade="BF"/>
            <w:vAlign w:val="bottom"/>
            <w:hideMark/>
          </w:tcPr>
          <w:p w14:paraId="2D041C15" w14:textId="77777777" w:rsidR="00E70636" w:rsidRPr="00606C66" w:rsidRDefault="00E70636" w:rsidP="00033A16">
            <w:pPr>
              <w:jc w:val="right"/>
              <w:rPr>
                <w:rFonts w:eastAsia="Times New Roman" w:cs="Calibri"/>
                <w:b/>
                <w:bCs/>
                <w:color w:val="FFFFFF"/>
                <w:sz w:val="16"/>
                <w:szCs w:val="16"/>
                <w:lang w:eastAsia="en-US"/>
              </w:rPr>
            </w:pPr>
            <w:r w:rsidRPr="00606C66">
              <w:rPr>
                <w:rFonts w:eastAsia="Times New Roman" w:cs="Calibri"/>
                <w:b/>
                <w:bCs/>
                <w:color w:val="FFFFFF"/>
                <w:sz w:val="16"/>
                <w:szCs w:val="16"/>
                <w:lang w:eastAsia="en-US"/>
              </w:rPr>
              <w:t>A - Spesa pubblica ammissibile delle operazioni selezionate per il sostegno (EUR)</w:t>
            </w:r>
          </w:p>
        </w:tc>
        <w:tc>
          <w:tcPr>
            <w:tcW w:w="1389" w:type="dxa"/>
            <w:tcBorders>
              <w:top w:val="single" w:sz="8" w:space="0" w:color="548235"/>
              <w:left w:val="nil"/>
              <w:bottom w:val="nil"/>
              <w:right w:val="nil"/>
            </w:tcBorders>
            <w:shd w:val="clear" w:color="auto" w:fill="669748" w:themeFill="accent2" w:themeFillShade="BF"/>
            <w:vAlign w:val="bottom"/>
            <w:hideMark/>
          </w:tcPr>
          <w:p w14:paraId="11B623FA" w14:textId="77777777" w:rsidR="00E70636" w:rsidRPr="00606C66" w:rsidRDefault="00E70636" w:rsidP="00033A16">
            <w:pPr>
              <w:jc w:val="right"/>
              <w:rPr>
                <w:rFonts w:eastAsia="Times New Roman" w:cs="Calibri"/>
                <w:b/>
                <w:bCs/>
                <w:color w:val="FFFFFF"/>
                <w:sz w:val="16"/>
                <w:szCs w:val="16"/>
                <w:lang w:eastAsia="en-US"/>
              </w:rPr>
            </w:pPr>
            <w:r w:rsidRPr="00606C66">
              <w:rPr>
                <w:rFonts w:eastAsia="Times New Roman" w:cs="Calibri"/>
                <w:b/>
                <w:bCs/>
                <w:color w:val="FFFFFF"/>
                <w:sz w:val="16"/>
                <w:szCs w:val="16"/>
                <w:lang w:eastAsia="en-US"/>
              </w:rPr>
              <w:t>B - Spesa totale ammissibile dichiarata dai beneficiari all'AdG (EUR)</w:t>
            </w:r>
          </w:p>
        </w:tc>
        <w:tc>
          <w:tcPr>
            <w:tcW w:w="1134" w:type="dxa"/>
            <w:tcBorders>
              <w:top w:val="single" w:sz="8" w:space="0" w:color="548235"/>
              <w:left w:val="nil"/>
              <w:bottom w:val="nil"/>
              <w:right w:val="nil"/>
            </w:tcBorders>
            <w:shd w:val="clear" w:color="auto" w:fill="669748" w:themeFill="accent2" w:themeFillShade="BF"/>
            <w:vAlign w:val="bottom"/>
            <w:hideMark/>
          </w:tcPr>
          <w:p w14:paraId="138EF934" w14:textId="77777777" w:rsidR="00E70636" w:rsidRPr="00606C66" w:rsidRDefault="00E70636" w:rsidP="00033A16">
            <w:pPr>
              <w:jc w:val="right"/>
              <w:rPr>
                <w:rFonts w:eastAsia="Times New Roman" w:cs="Calibri"/>
                <w:b/>
                <w:bCs/>
                <w:color w:val="FFFFFF"/>
                <w:sz w:val="16"/>
                <w:szCs w:val="16"/>
                <w:lang w:eastAsia="en-US"/>
              </w:rPr>
            </w:pPr>
            <w:r w:rsidRPr="00606C66">
              <w:rPr>
                <w:rFonts w:eastAsia="Times New Roman" w:cs="Calibri"/>
                <w:b/>
                <w:bCs/>
                <w:color w:val="FFFFFF"/>
                <w:sz w:val="16"/>
                <w:szCs w:val="16"/>
                <w:lang w:eastAsia="en-US"/>
              </w:rPr>
              <w:t>B/A - Spesa ammissibile dichiarata dai beneficiari (%)</w:t>
            </w:r>
          </w:p>
        </w:tc>
        <w:tc>
          <w:tcPr>
            <w:tcW w:w="1020" w:type="dxa"/>
            <w:tcBorders>
              <w:top w:val="single" w:sz="8" w:space="0" w:color="548235"/>
              <w:left w:val="nil"/>
              <w:bottom w:val="nil"/>
              <w:right w:val="nil"/>
            </w:tcBorders>
            <w:shd w:val="clear" w:color="auto" w:fill="669748" w:themeFill="accent2" w:themeFillShade="BF"/>
            <w:vAlign w:val="bottom"/>
            <w:hideMark/>
          </w:tcPr>
          <w:p w14:paraId="6EFAE906" w14:textId="77777777" w:rsidR="00E70636" w:rsidRPr="00606C66" w:rsidRDefault="00E70636" w:rsidP="00033A16">
            <w:pPr>
              <w:jc w:val="right"/>
              <w:rPr>
                <w:rFonts w:eastAsia="Times New Roman" w:cs="Calibri"/>
                <w:b/>
                <w:bCs/>
                <w:color w:val="FFFFFF"/>
                <w:sz w:val="16"/>
                <w:szCs w:val="16"/>
                <w:lang w:eastAsia="en-US"/>
              </w:rPr>
            </w:pPr>
            <w:r w:rsidRPr="00606C66">
              <w:rPr>
                <w:rFonts w:eastAsia="Times New Roman" w:cs="Calibri"/>
                <w:b/>
                <w:bCs/>
                <w:color w:val="FFFFFF"/>
                <w:sz w:val="16"/>
                <w:szCs w:val="16"/>
                <w:lang w:eastAsia="en-US"/>
              </w:rPr>
              <w:t>Numero di operazioni selezionate</w:t>
            </w:r>
          </w:p>
        </w:tc>
      </w:tr>
      <w:tr w:rsidR="00E70636" w:rsidRPr="00606C66" w14:paraId="2C2CEEBB" w14:textId="77777777" w:rsidTr="00EA0726">
        <w:trPr>
          <w:trHeight w:val="300"/>
        </w:trPr>
        <w:tc>
          <w:tcPr>
            <w:tcW w:w="4819" w:type="dxa"/>
            <w:tcBorders>
              <w:top w:val="nil"/>
              <w:left w:val="nil"/>
              <w:bottom w:val="single" w:sz="4" w:space="0" w:color="305496"/>
              <w:right w:val="nil"/>
            </w:tcBorders>
            <w:shd w:val="clear" w:color="auto" w:fill="auto"/>
            <w:noWrap/>
            <w:vAlign w:val="bottom"/>
            <w:hideMark/>
          </w:tcPr>
          <w:p w14:paraId="35B6F2C5" w14:textId="77777777" w:rsidR="00E70636" w:rsidRPr="00606C66" w:rsidRDefault="00E70636" w:rsidP="00E70636">
            <w:pPr>
              <w:jc w:val="left"/>
              <w:rPr>
                <w:rFonts w:eastAsia="Times New Roman" w:cs="Calibri"/>
                <w:b/>
                <w:bCs/>
                <w:color w:val="000000"/>
                <w:sz w:val="16"/>
                <w:szCs w:val="16"/>
                <w:lang w:eastAsia="en-US"/>
              </w:rPr>
            </w:pPr>
            <w:r w:rsidRPr="00606C66">
              <w:rPr>
                <w:rFonts w:eastAsia="Times New Roman" w:cs="Calibri"/>
                <w:b/>
                <w:bCs/>
                <w:color w:val="000000"/>
                <w:sz w:val="16"/>
                <w:szCs w:val="16"/>
                <w:lang w:eastAsia="en-US"/>
              </w:rPr>
              <w:t>Area istituzionale</w:t>
            </w:r>
          </w:p>
        </w:tc>
        <w:tc>
          <w:tcPr>
            <w:tcW w:w="1389" w:type="dxa"/>
            <w:tcBorders>
              <w:top w:val="nil"/>
              <w:left w:val="nil"/>
              <w:bottom w:val="single" w:sz="4" w:space="0" w:color="305496"/>
              <w:right w:val="nil"/>
            </w:tcBorders>
            <w:shd w:val="clear" w:color="auto" w:fill="auto"/>
            <w:noWrap/>
            <w:vAlign w:val="bottom"/>
            <w:hideMark/>
          </w:tcPr>
          <w:p w14:paraId="468C3074" w14:textId="77777777" w:rsidR="00E70636" w:rsidRPr="00606C66" w:rsidRDefault="00E70636" w:rsidP="00033A16">
            <w:pPr>
              <w:jc w:val="right"/>
              <w:rPr>
                <w:rFonts w:eastAsia="Times New Roman" w:cs="Calibri"/>
                <w:b/>
                <w:bCs/>
                <w:color w:val="000000"/>
                <w:sz w:val="16"/>
                <w:szCs w:val="16"/>
                <w:lang w:eastAsia="en-US"/>
              </w:rPr>
            </w:pPr>
            <w:r w:rsidRPr="00606C66">
              <w:rPr>
                <w:rFonts w:eastAsia="Times New Roman" w:cs="Calibri"/>
                <w:b/>
                <w:bCs/>
                <w:color w:val="000000"/>
                <w:sz w:val="16"/>
                <w:szCs w:val="16"/>
                <w:lang w:eastAsia="en-US"/>
              </w:rPr>
              <w:t>15.929.035,06</w:t>
            </w:r>
          </w:p>
        </w:tc>
        <w:tc>
          <w:tcPr>
            <w:tcW w:w="1389" w:type="dxa"/>
            <w:tcBorders>
              <w:top w:val="nil"/>
              <w:left w:val="nil"/>
              <w:bottom w:val="single" w:sz="4" w:space="0" w:color="305496"/>
              <w:right w:val="nil"/>
            </w:tcBorders>
            <w:shd w:val="clear" w:color="auto" w:fill="auto"/>
            <w:noWrap/>
            <w:vAlign w:val="bottom"/>
            <w:hideMark/>
          </w:tcPr>
          <w:p w14:paraId="0B2BB786" w14:textId="77777777" w:rsidR="00E70636" w:rsidRPr="00606C66" w:rsidRDefault="00E70636" w:rsidP="00033A16">
            <w:pPr>
              <w:jc w:val="right"/>
              <w:rPr>
                <w:rFonts w:eastAsia="Times New Roman" w:cs="Calibri"/>
                <w:b/>
                <w:bCs/>
                <w:color w:val="000000"/>
                <w:sz w:val="16"/>
                <w:szCs w:val="16"/>
                <w:lang w:eastAsia="en-US"/>
              </w:rPr>
            </w:pPr>
            <w:r w:rsidRPr="00606C66">
              <w:rPr>
                <w:rFonts w:eastAsia="Times New Roman" w:cs="Calibri"/>
                <w:b/>
                <w:bCs/>
                <w:color w:val="000000"/>
                <w:sz w:val="16"/>
                <w:szCs w:val="16"/>
                <w:lang w:eastAsia="en-US"/>
              </w:rPr>
              <w:t>6.918.885,56</w:t>
            </w:r>
          </w:p>
        </w:tc>
        <w:tc>
          <w:tcPr>
            <w:tcW w:w="1134" w:type="dxa"/>
            <w:tcBorders>
              <w:top w:val="nil"/>
              <w:left w:val="nil"/>
              <w:bottom w:val="single" w:sz="4" w:space="0" w:color="305496"/>
              <w:right w:val="nil"/>
            </w:tcBorders>
            <w:shd w:val="clear" w:color="auto" w:fill="auto"/>
            <w:noWrap/>
            <w:vAlign w:val="bottom"/>
            <w:hideMark/>
          </w:tcPr>
          <w:p w14:paraId="272C39F1" w14:textId="77777777" w:rsidR="00E70636" w:rsidRPr="00606C66" w:rsidRDefault="00E70636" w:rsidP="00033A16">
            <w:pPr>
              <w:jc w:val="right"/>
              <w:rPr>
                <w:rFonts w:eastAsia="Times New Roman" w:cs="Calibri"/>
                <w:b/>
                <w:bCs/>
                <w:color w:val="000000"/>
                <w:sz w:val="16"/>
                <w:szCs w:val="16"/>
                <w:lang w:eastAsia="en-US"/>
              </w:rPr>
            </w:pPr>
            <w:r w:rsidRPr="00606C66">
              <w:rPr>
                <w:rFonts w:eastAsia="Times New Roman" w:cs="Calibri"/>
                <w:b/>
                <w:bCs/>
                <w:color w:val="000000"/>
                <w:sz w:val="16"/>
                <w:szCs w:val="16"/>
                <w:lang w:eastAsia="en-US"/>
              </w:rPr>
              <w:t>43,44%</w:t>
            </w:r>
          </w:p>
        </w:tc>
        <w:tc>
          <w:tcPr>
            <w:tcW w:w="1020" w:type="dxa"/>
            <w:tcBorders>
              <w:top w:val="nil"/>
              <w:left w:val="nil"/>
              <w:bottom w:val="single" w:sz="4" w:space="0" w:color="305496"/>
              <w:right w:val="nil"/>
            </w:tcBorders>
            <w:shd w:val="clear" w:color="auto" w:fill="auto"/>
            <w:noWrap/>
            <w:vAlign w:val="bottom"/>
            <w:hideMark/>
          </w:tcPr>
          <w:p w14:paraId="66B7971C" w14:textId="285B61D0" w:rsidR="00E70636" w:rsidRPr="00606C66" w:rsidRDefault="00E70636" w:rsidP="00033A16">
            <w:pPr>
              <w:jc w:val="right"/>
              <w:rPr>
                <w:rFonts w:eastAsia="Times New Roman" w:cs="Calibri"/>
                <w:b/>
                <w:bCs/>
                <w:color w:val="000000"/>
                <w:sz w:val="16"/>
                <w:szCs w:val="16"/>
                <w:lang w:eastAsia="en-US"/>
              </w:rPr>
            </w:pPr>
            <w:r w:rsidRPr="00606C66">
              <w:rPr>
                <w:rFonts w:eastAsia="Times New Roman" w:cs="Calibri"/>
                <w:b/>
                <w:bCs/>
                <w:color w:val="000000"/>
                <w:sz w:val="16"/>
                <w:szCs w:val="16"/>
                <w:lang w:eastAsia="en-US"/>
              </w:rPr>
              <w:t>12</w:t>
            </w:r>
          </w:p>
        </w:tc>
      </w:tr>
      <w:tr w:rsidR="00E70636" w:rsidRPr="00606C66" w14:paraId="5416C156" w14:textId="77777777" w:rsidTr="00EA0726">
        <w:trPr>
          <w:trHeight w:val="300"/>
        </w:trPr>
        <w:tc>
          <w:tcPr>
            <w:tcW w:w="4819" w:type="dxa"/>
            <w:tcBorders>
              <w:top w:val="single" w:sz="4" w:space="0" w:color="305496"/>
              <w:left w:val="nil"/>
              <w:bottom w:val="single" w:sz="4" w:space="0" w:color="305496"/>
              <w:right w:val="nil"/>
            </w:tcBorders>
            <w:shd w:val="clear" w:color="auto" w:fill="E4E3E2" w:themeFill="background2"/>
            <w:noWrap/>
            <w:vAlign w:val="bottom"/>
            <w:hideMark/>
          </w:tcPr>
          <w:p w14:paraId="52CF4271" w14:textId="77777777" w:rsidR="00E70636" w:rsidRPr="00606C66" w:rsidRDefault="00E70636" w:rsidP="00E70636">
            <w:pPr>
              <w:jc w:val="left"/>
              <w:rPr>
                <w:rFonts w:eastAsia="Times New Roman" w:cs="Calibri"/>
                <w:b/>
                <w:bCs/>
                <w:color w:val="000000"/>
                <w:sz w:val="16"/>
                <w:szCs w:val="16"/>
                <w:lang w:eastAsia="en-US"/>
              </w:rPr>
            </w:pPr>
            <w:r w:rsidRPr="00606C66">
              <w:rPr>
                <w:rFonts w:eastAsia="Times New Roman" w:cs="Calibri"/>
                <w:b/>
                <w:bCs/>
                <w:color w:val="000000"/>
                <w:sz w:val="16"/>
                <w:szCs w:val="16"/>
                <w:lang w:eastAsia="en-US"/>
              </w:rPr>
              <w:t>IV - CAPACITÀ ISTITUZIONALE E AMMINISTRATIVA</w:t>
            </w:r>
          </w:p>
        </w:tc>
        <w:tc>
          <w:tcPr>
            <w:tcW w:w="1389" w:type="dxa"/>
            <w:tcBorders>
              <w:top w:val="single" w:sz="4" w:space="0" w:color="305496"/>
              <w:left w:val="nil"/>
              <w:bottom w:val="single" w:sz="4" w:space="0" w:color="305496"/>
              <w:right w:val="nil"/>
            </w:tcBorders>
            <w:shd w:val="clear" w:color="auto" w:fill="E4E3E2" w:themeFill="background2"/>
            <w:noWrap/>
            <w:vAlign w:val="bottom"/>
            <w:hideMark/>
          </w:tcPr>
          <w:p w14:paraId="7434BFF7" w14:textId="77777777" w:rsidR="00E70636" w:rsidRPr="00606C66" w:rsidRDefault="00E70636" w:rsidP="00033A16">
            <w:pPr>
              <w:jc w:val="right"/>
              <w:rPr>
                <w:rFonts w:eastAsia="Times New Roman" w:cs="Calibri"/>
                <w:b/>
                <w:bCs/>
                <w:color w:val="000000"/>
                <w:sz w:val="16"/>
                <w:szCs w:val="16"/>
                <w:lang w:eastAsia="en-US"/>
              </w:rPr>
            </w:pPr>
            <w:r w:rsidRPr="00606C66">
              <w:rPr>
                <w:rFonts w:eastAsia="Times New Roman" w:cs="Calibri"/>
                <w:b/>
                <w:bCs/>
                <w:color w:val="000000"/>
                <w:sz w:val="16"/>
                <w:szCs w:val="16"/>
                <w:lang w:eastAsia="en-US"/>
              </w:rPr>
              <w:t>15.929.035,06</w:t>
            </w:r>
          </w:p>
        </w:tc>
        <w:tc>
          <w:tcPr>
            <w:tcW w:w="1389" w:type="dxa"/>
            <w:tcBorders>
              <w:top w:val="single" w:sz="4" w:space="0" w:color="305496"/>
              <w:left w:val="nil"/>
              <w:bottom w:val="single" w:sz="4" w:space="0" w:color="305496"/>
              <w:right w:val="nil"/>
            </w:tcBorders>
            <w:shd w:val="clear" w:color="auto" w:fill="E4E3E2" w:themeFill="background2"/>
            <w:noWrap/>
            <w:vAlign w:val="bottom"/>
            <w:hideMark/>
          </w:tcPr>
          <w:p w14:paraId="26B55B8C" w14:textId="77777777" w:rsidR="00E70636" w:rsidRPr="00606C66" w:rsidRDefault="00E70636" w:rsidP="00033A16">
            <w:pPr>
              <w:jc w:val="right"/>
              <w:rPr>
                <w:rFonts w:eastAsia="Times New Roman" w:cs="Calibri"/>
                <w:b/>
                <w:bCs/>
                <w:color w:val="000000"/>
                <w:sz w:val="16"/>
                <w:szCs w:val="16"/>
                <w:lang w:eastAsia="en-US"/>
              </w:rPr>
            </w:pPr>
            <w:r w:rsidRPr="00606C66">
              <w:rPr>
                <w:rFonts w:eastAsia="Times New Roman" w:cs="Calibri"/>
                <w:b/>
                <w:bCs/>
                <w:color w:val="000000"/>
                <w:sz w:val="16"/>
                <w:szCs w:val="16"/>
                <w:lang w:eastAsia="en-US"/>
              </w:rPr>
              <w:t>6.918.885,56</w:t>
            </w:r>
          </w:p>
        </w:tc>
        <w:tc>
          <w:tcPr>
            <w:tcW w:w="1134" w:type="dxa"/>
            <w:tcBorders>
              <w:top w:val="single" w:sz="4" w:space="0" w:color="305496"/>
              <w:left w:val="nil"/>
              <w:bottom w:val="single" w:sz="4" w:space="0" w:color="305496"/>
              <w:right w:val="nil"/>
            </w:tcBorders>
            <w:shd w:val="clear" w:color="auto" w:fill="E4E3E2" w:themeFill="background2"/>
            <w:noWrap/>
            <w:vAlign w:val="bottom"/>
            <w:hideMark/>
          </w:tcPr>
          <w:p w14:paraId="1685C43B" w14:textId="77777777" w:rsidR="00E70636" w:rsidRPr="00606C66" w:rsidRDefault="00E70636" w:rsidP="00033A16">
            <w:pPr>
              <w:jc w:val="right"/>
              <w:rPr>
                <w:rFonts w:eastAsia="Times New Roman" w:cs="Calibri"/>
                <w:b/>
                <w:bCs/>
                <w:color w:val="000000"/>
                <w:sz w:val="16"/>
                <w:szCs w:val="16"/>
                <w:lang w:eastAsia="en-US"/>
              </w:rPr>
            </w:pPr>
            <w:r w:rsidRPr="00606C66">
              <w:rPr>
                <w:rFonts w:eastAsia="Times New Roman" w:cs="Calibri"/>
                <w:b/>
                <w:bCs/>
                <w:color w:val="000000"/>
                <w:sz w:val="16"/>
                <w:szCs w:val="16"/>
                <w:lang w:eastAsia="en-US"/>
              </w:rPr>
              <w:t>43,44%</w:t>
            </w:r>
          </w:p>
        </w:tc>
        <w:tc>
          <w:tcPr>
            <w:tcW w:w="1020" w:type="dxa"/>
            <w:tcBorders>
              <w:top w:val="single" w:sz="4" w:space="0" w:color="305496"/>
              <w:left w:val="nil"/>
              <w:bottom w:val="single" w:sz="4" w:space="0" w:color="305496"/>
              <w:right w:val="nil"/>
            </w:tcBorders>
            <w:shd w:val="clear" w:color="auto" w:fill="E4E3E2" w:themeFill="background2"/>
            <w:noWrap/>
            <w:vAlign w:val="bottom"/>
            <w:hideMark/>
          </w:tcPr>
          <w:p w14:paraId="24C5D205" w14:textId="54C42794" w:rsidR="00E70636" w:rsidRPr="00606C66" w:rsidRDefault="00E70636" w:rsidP="00033A16">
            <w:pPr>
              <w:jc w:val="right"/>
              <w:rPr>
                <w:rFonts w:eastAsia="Times New Roman" w:cs="Calibri"/>
                <w:b/>
                <w:bCs/>
                <w:color w:val="000000"/>
                <w:sz w:val="16"/>
                <w:szCs w:val="16"/>
                <w:lang w:eastAsia="en-US"/>
              </w:rPr>
            </w:pPr>
            <w:r w:rsidRPr="00606C66">
              <w:rPr>
                <w:rFonts w:eastAsia="Times New Roman" w:cs="Calibri"/>
                <w:b/>
                <w:bCs/>
                <w:color w:val="000000"/>
                <w:sz w:val="16"/>
                <w:szCs w:val="16"/>
                <w:lang w:eastAsia="en-US"/>
              </w:rPr>
              <w:t>12</w:t>
            </w:r>
          </w:p>
        </w:tc>
      </w:tr>
      <w:tr w:rsidR="00E70636" w:rsidRPr="00606C66" w14:paraId="6E32DCC7" w14:textId="77777777" w:rsidTr="00EA0726">
        <w:trPr>
          <w:trHeight w:val="300"/>
        </w:trPr>
        <w:tc>
          <w:tcPr>
            <w:tcW w:w="4819" w:type="dxa"/>
            <w:tcBorders>
              <w:top w:val="single" w:sz="4" w:space="0" w:color="305496"/>
              <w:left w:val="nil"/>
              <w:bottom w:val="nil"/>
              <w:right w:val="nil"/>
            </w:tcBorders>
            <w:shd w:val="clear" w:color="auto" w:fill="auto"/>
            <w:vAlign w:val="bottom"/>
            <w:hideMark/>
          </w:tcPr>
          <w:p w14:paraId="0803F0F0" w14:textId="77777777" w:rsidR="00E70636" w:rsidRPr="00606C66" w:rsidRDefault="00E70636" w:rsidP="00E70636">
            <w:pPr>
              <w:jc w:val="left"/>
              <w:rPr>
                <w:rFonts w:eastAsia="Times New Roman" w:cs="Calibri"/>
                <w:color w:val="000000"/>
                <w:sz w:val="16"/>
                <w:szCs w:val="16"/>
                <w:lang w:eastAsia="en-US"/>
              </w:rPr>
            </w:pPr>
            <w:r w:rsidRPr="00606C66">
              <w:rPr>
                <w:rFonts w:eastAsia="Times New Roman" w:cs="Calibri"/>
                <w:color w:val="000000"/>
                <w:sz w:val="16"/>
                <w:szCs w:val="16"/>
                <w:lang w:eastAsia="en-US"/>
              </w:rPr>
              <w:t>Database Topografico Regionale (DBT)</w:t>
            </w:r>
          </w:p>
        </w:tc>
        <w:tc>
          <w:tcPr>
            <w:tcW w:w="1389" w:type="dxa"/>
            <w:tcBorders>
              <w:top w:val="single" w:sz="4" w:space="0" w:color="305496"/>
              <w:left w:val="nil"/>
              <w:bottom w:val="nil"/>
              <w:right w:val="nil"/>
            </w:tcBorders>
            <w:shd w:val="clear" w:color="auto" w:fill="auto"/>
            <w:noWrap/>
            <w:vAlign w:val="bottom"/>
            <w:hideMark/>
          </w:tcPr>
          <w:p w14:paraId="1A3EE1DC"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2.233.373,77</w:t>
            </w:r>
          </w:p>
        </w:tc>
        <w:tc>
          <w:tcPr>
            <w:tcW w:w="1389" w:type="dxa"/>
            <w:tcBorders>
              <w:top w:val="single" w:sz="4" w:space="0" w:color="305496"/>
              <w:left w:val="nil"/>
              <w:bottom w:val="nil"/>
              <w:right w:val="nil"/>
            </w:tcBorders>
            <w:shd w:val="clear" w:color="auto" w:fill="auto"/>
            <w:noWrap/>
            <w:vAlign w:val="bottom"/>
            <w:hideMark/>
          </w:tcPr>
          <w:p w14:paraId="796B7103"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2.233.373,77</w:t>
            </w:r>
          </w:p>
        </w:tc>
        <w:tc>
          <w:tcPr>
            <w:tcW w:w="1134" w:type="dxa"/>
            <w:tcBorders>
              <w:top w:val="single" w:sz="4" w:space="0" w:color="305496"/>
              <w:left w:val="nil"/>
              <w:bottom w:val="nil"/>
              <w:right w:val="nil"/>
            </w:tcBorders>
            <w:shd w:val="clear" w:color="auto" w:fill="auto"/>
            <w:noWrap/>
            <w:vAlign w:val="bottom"/>
            <w:hideMark/>
          </w:tcPr>
          <w:p w14:paraId="29DB73DB"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100,00%</w:t>
            </w:r>
          </w:p>
        </w:tc>
        <w:tc>
          <w:tcPr>
            <w:tcW w:w="1020" w:type="dxa"/>
            <w:tcBorders>
              <w:top w:val="single" w:sz="4" w:space="0" w:color="305496"/>
              <w:left w:val="nil"/>
              <w:bottom w:val="nil"/>
              <w:right w:val="nil"/>
            </w:tcBorders>
            <w:shd w:val="clear" w:color="auto" w:fill="auto"/>
            <w:noWrap/>
            <w:vAlign w:val="bottom"/>
            <w:hideMark/>
          </w:tcPr>
          <w:p w14:paraId="62F86476" w14:textId="042F2964"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w:t>
            </w:r>
          </w:p>
        </w:tc>
      </w:tr>
      <w:tr w:rsidR="00E70636" w:rsidRPr="00606C66" w14:paraId="29DC3D72" w14:textId="77777777" w:rsidTr="002A3DAD">
        <w:trPr>
          <w:trHeight w:val="300"/>
        </w:trPr>
        <w:tc>
          <w:tcPr>
            <w:tcW w:w="4819" w:type="dxa"/>
            <w:tcBorders>
              <w:top w:val="nil"/>
              <w:left w:val="nil"/>
              <w:bottom w:val="nil"/>
              <w:right w:val="nil"/>
            </w:tcBorders>
            <w:shd w:val="clear" w:color="auto" w:fill="auto"/>
            <w:vAlign w:val="bottom"/>
            <w:hideMark/>
          </w:tcPr>
          <w:p w14:paraId="304CBD4C" w14:textId="77777777" w:rsidR="00E70636" w:rsidRPr="00606C66" w:rsidRDefault="00E70636" w:rsidP="00E70636">
            <w:pPr>
              <w:jc w:val="left"/>
              <w:rPr>
                <w:rFonts w:eastAsia="Times New Roman" w:cs="Calibri"/>
                <w:color w:val="000000"/>
                <w:sz w:val="16"/>
                <w:szCs w:val="16"/>
                <w:lang w:eastAsia="en-US"/>
              </w:rPr>
            </w:pPr>
            <w:r w:rsidRPr="00606C66">
              <w:rPr>
                <w:rFonts w:eastAsia="Times New Roman" w:cs="Calibri"/>
                <w:color w:val="000000"/>
                <w:sz w:val="16"/>
                <w:szCs w:val="16"/>
                <w:lang w:eastAsia="en-US"/>
              </w:rPr>
              <w:t>Digitalizzazione del patrimonio culturale Lombardo (Biblioteca Digitale Lombarda)</w:t>
            </w:r>
          </w:p>
        </w:tc>
        <w:tc>
          <w:tcPr>
            <w:tcW w:w="1389" w:type="dxa"/>
            <w:tcBorders>
              <w:top w:val="nil"/>
              <w:left w:val="nil"/>
              <w:bottom w:val="nil"/>
              <w:right w:val="nil"/>
            </w:tcBorders>
            <w:shd w:val="clear" w:color="auto" w:fill="auto"/>
            <w:noWrap/>
            <w:vAlign w:val="bottom"/>
            <w:hideMark/>
          </w:tcPr>
          <w:p w14:paraId="0B06E1F5"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3.251.363,36</w:t>
            </w:r>
          </w:p>
        </w:tc>
        <w:tc>
          <w:tcPr>
            <w:tcW w:w="1389" w:type="dxa"/>
            <w:tcBorders>
              <w:top w:val="nil"/>
              <w:left w:val="nil"/>
              <w:bottom w:val="nil"/>
              <w:right w:val="nil"/>
            </w:tcBorders>
            <w:shd w:val="clear" w:color="auto" w:fill="auto"/>
            <w:noWrap/>
            <w:vAlign w:val="bottom"/>
            <w:hideMark/>
          </w:tcPr>
          <w:p w14:paraId="22172336"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2.714.213,90</w:t>
            </w:r>
          </w:p>
        </w:tc>
        <w:tc>
          <w:tcPr>
            <w:tcW w:w="1134" w:type="dxa"/>
            <w:tcBorders>
              <w:top w:val="nil"/>
              <w:left w:val="nil"/>
              <w:bottom w:val="nil"/>
              <w:right w:val="nil"/>
            </w:tcBorders>
            <w:shd w:val="clear" w:color="auto" w:fill="auto"/>
            <w:noWrap/>
            <w:vAlign w:val="bottom"/>
            <w:hideMark/>
          </w:tcPr>
          <w:p w14:paraId="6CAE92B9"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83,48%</w:t>
            </w:r>
          </w:p>
        </w:tc>
        <w:tc>
          <w:tcPr>
            <w:tcW w:w="1020" w:type="dxa"/>
            <w:tcBorders>
              <w:top w:val="nil"/>
              <w:left w:val="nil"/>
              <w:bottom w:val="nil"/>
              <w:right w:val="nil"/>
            </w:tcBorders>
            <w:shd w:val="clear" w:color="auto" w:fill="auto"/>
            <w:noWrap/>
            <w:vAlign w:val="bottom"/>
            <w:hideMark/>
          </w:tcPr>
          <w:p w14:paraId="003FC7AF" w14:textId="2053A5E4"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w:t>
            </w:r>
          </w:p>
        </w:tc>
      </w:tr>
      <w:tr w:rsidR="00E70636" w:rsidRPr="00606C66" w14:paraId="292CECC2" w14:textId="77777777" w:rsidTr="002A3DAD">
        <w:trPr>
          <w:trHeight w:val="300"/>
        </w:trPr>
        <w:tc>
          <w:tcPr>
            <w:tcW w:w="4819" w:type="dxa"/>
            <w:tcBorders>
              <w:top w:val="nil"/>
              <w:left w:val="nil"/>
              <w:bottom w:val="nil"/>
              <w:right w:val="nil"/>
            </w:tcBorders>
            <w:shd w:val="clear" w:color="auto" w:fill="auto"/>
            <w:vAlign w:val="bottom"/>
            <w:hideMark/>
          </w:tcPr>
          <w:p w14:paraId="012E1317" w14:textId="77777777" w:rsidR="00E70636" w:rsidRPr="00606C66" w:rsidRDefault="00E70636" w:rsidP="00E70636">
            <w:pPr>
              <w:jc w:val="left"/>
              <w:rPr>
                <w:rFonts w:eastAsia="Times New Roman" w:cs="Calibri"/>
                <w:color w:val="000000"/>
                <w:sz w:val="16"/>
                <w:szCs w:val="16"/>
                <w:lang w:eastAsia="en-US"/>
              </w:rPr>
            </w:pPr>
            <w:r w:rsidRPr="00606C66">
              <w:rPr>
                <w:rFonts w:eastAsia="Times New Roman" w:cs="Calibri"/>
                <w:color w:val="000000"/>
                <w:sz w:val="16"/>
                <w:szCs w:val="16"/>
                <w:lang w:eastAsia="en-US"/>
              </w:rPr>
              <w:t xml:space="preserve">Formazione operatori polizia Brescia Piattaforma specifica </w:t>
            </w:r>
            <w:proofErr w:type="spellStart"/>
            <w:r w:rsidRPr="00606C66">
              <w:rPr>
                <w:rFonts w:eastAsia="Times New Roman" w:cs="Calibri"/>
                <w:color w:val="000000"/>
                <w:sz w:val="16"/>
                <w:szCs w:val="16"/>
                <w:lang w:eastAsia="en-US"/>
              </w:rPr>
              <w:t>bn</w:t>
            </w:r>
            <w:proofErr w:type="spellEnd"/>
            <w:r w:rsidRPr="00606C66">
              <w:rPr>
                <w:rFonts w:eastAsia="Times New Roman" w:cs="Calibri"/>
                <w:color w:val="000000"/>
                <w:sz w:val="16"/>
                <w:szCs w:val="16"/>
                <w:lang w:eastAsia="en-US"/>
              </w:rPr>
              <w:t xml:space="preserve"> 3423 </w:t>
            </w:r>
          </w:p>
        </w:tc>
        <w:tc>
          <w:tcPr>
            <w:tcW w:w="1389" w:type="dxa"/>
            <w:tcBorders>
              <w:top w:val="nil"/>
              <w:left w:val="nil"/>
              <w:bottom w:val="nil"/>
              <w:right w:val="nil"/>
            </w:tcBorders>
            <w:shd w:val="clear" w:color="auto" w:fill="auto"/>
            <w:noWrap/>
            <w:vAlign w:val="bottom"/>
            <w:hideMark/>
          </w:tcPr>
          <w:p w14:paraId="5F9EFE98"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68.927,00</w:t>
            </w:r>
          </w:p>
        </w:tc>
        <w:tc>
          <w:tcPr>
            <w:tcW w:w="1389" w:type="dxa"/>
            <w:tcBorders>
              <w:top w:val="nil"/>
              <w:left w:val="nil"/>
              <w:bottom w:val="nil"/>
              <w:right w:val="nil"/>
            </w:tcBorders>
            <w:shd w:val="clear" w:color="auto" w:fill="auto"/>
            <w:noWrap/>
            <w:vAlign w:val="bottom"/>
            <w:hideMark/>
          </w:tcPr>
          <w:p w14:paraId="7199F19F"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68.927,00</w:t>
            </w:r>
          </w:p>
        </w:tc>
        <w:tc>
          <w:tcPr>
            <w:tcW w:w="1134" w:type="dxa"/>
            <w:tcBorders>
              <w:top w:val="nil"/>
              <w:left w:val="nil"/>
              <w:bottom w:val="nil"/>
              <w:right w:val="nil"/>
            </w:tcBorders>
            <w:shd w:val="clear" w:color="auto" w:fill="auto"/>
            <w:noWrap/>
            <w:vAlign w:val="bottom"/>
            <w:hideMark/>
          </w:tcPr>
          <w:p w14:paraId="39D7555A"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14F22973" w14:textId="440FD706"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w:t>
            </w:r>
          </w:p>
        </w:tc>
      </w:tr>
      <w:tr w:rsidR="00E70636" w:rsidRPr="00606C66" w14:paraId="66EF052C" w14:textId="77777777" w:rsidTr="002A3DAD">
        <w:trPr>
          <w:trHeight w:val="300"/>
        </w:trPr>
        <w:tc>
          <w:tcPr>
            <w:tcW w:w="4819" w:type="dxa"/>
            <w:tcBorders>
              <w:top w:val="nil"/>
              <w:left w:val="nil"/>
              <w:bottom w:val="nil"/>
              <w:right w:val="nil"/>
            </w:tcBorders>
            <w:shd w:val="clear" w:color="auto" w:fill="auto"/>
            <w:vAlign w:val="bottom"/>
            <w:hideMark/>
          </w:tcPr>
          <w:p w14:paraId="3B8388FF" w14:textId="77777777" w:rsidR="00E70636" w:rsidRPr="00606C66" w:rsidRDefault="00E70636" w:rsidP="00E70636">
            <w:pPr>
              <w:jc w:val="left"/>
              <w:rPr>
                <w:rFonts w:eastAsia="Times New Roman" w:cs="Calibri"/>
                <w:color w:val="000000"/>
                <w:sz w:val="16"/>
                <w:szCs w:val="16"/>
                <w:lang w:eastAsia="en-US"/>
              </w:rPr>
            </w:pPr>
            <w:r w:rsidRPr="00606C66">
              <w:rPr>
                <w:rFonts w:eastAsia="Times New Roman" w:cs="Calibri"/>
                <w:color w:val="000000"/>
                <w:sz w:val="16"/>
                <w:szCs w:val="16"/>
                <w:lang w:eastAsia="en-US"/>
              </w:rPr>
              <w:t xml:space="preserve">Formazione operatori polizia Progetto CAMPUS </w:t>
            </w:r>
            <w:proofErr w:type="spellStart"/>
            <w:r w:rsidRPr="00606C66">
              <w:rPr>
                <w:rFonts w:eastAsia="Times New Roman" w:cs="Calibri"/>
                <w:color w:val="000000"/>
                <w:sz w:val="16"/>
                <w:szCs w:val="16"/>
                <w:lang w:eastAsia="en-US"/>
              </w:rPr>
              <w:t>Bn</w:t>
            </w:r>
            <w:proofErr w:type="spellEnd"/>
            <w:r w:rsidRPr="00606C66">
              <w:rPr>
                <w:rFonts w:eastAsia="Times New Roman" w:cs="Calibri"/>
                <w:color w:val="000000"/>
                <w:sz w:val="16"/>
                <w:szCs w:val="16"/>
                <w:lang w:eastAsia="en-US"/>
              </w:rPr>
              <w:t xml:space="preserve"> 2242   </w:t>
            </w:r>
          </w:p>
        </w:tc>
        <w:tc>
          <w:tcPr>
            <w:tcW w:w="1389" w:type="dxa"/>
            <w:tcBorders>
              <w:top w:val="nil"/>
              <w:left w:val="nil"/>
              <w:bottom w:val="nil"/>
              <w:right w:val="nil"/>
            </w:tcBorders>
            <w:shd w:val="clear" w:color="auto" w:fill="auto"/>
            <w:noWrap/>
            <w:vAlign w:val="bottom"/>
            <w:hideMark/>
          </w:tcPr>
          <w:p w14:paraId="402B7328"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290.290,51</w:t>
            </w:r>
          </w:p>
        </w:tc>
        <w:tc>
          <w:tcPr>
            <w:tcW w:w="1389" w:type="dxa"/>
            <w:tcBorders>
              <w:top w:val="nil"/>
              <w:left w:val="nil"/>
              <w:bottom w:val="nil"/>
              <w:right w:val="nil"/>
            </w:tcBorders>
            <w:shd w:val="clear" w:color="auto" w:fill="auto"/>
            <w:noWrap/>
            <w:vAlign w:val="bottom"/>
            <w:hideMark/>
          </w:tcPr>
          <w:p w14:paraId="5DED9B2C"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290.290,51</w:t>
            </w:r>
          </w:p>
        </w:tc>
        <w:tc>
          <w:tcPr>
            <w:tcW w:w="1134" w:type="dxa"/>
            <w:tcBorders>
              <w:top w:val="nil"/>
              <w:left w:val="nil"/>
              <w:bottom w:val="nil"/>
              <w:right w:val="nil"/>
            </w:tcBorders>
            <w:shd w:val="clear" w:color="auto" w:fill="auto"/>
            <w:noWrap/>
            <w:vAlign w:val="bottom"/>
            <w:hideMark/>
          </w:tcPr>
          <w:p w14:paraId="7F66D86C"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2789A797" w14:textId="2EB8C7B0"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w:t>
            </w:r>
          </w:p>
        </w:tc>
      </w:tr>
      <w:tr w:rsidR="00E70636" w:rsidRPr="00606C66" w14:paraId="4F66EF43" w14:textId="77777777" w:rsidTr="002A3DAD">
        <w:trPr>
          <w:trHeight w:val="300"/>
        </w:trPr>
        <w:tc>
          <w:tcPr>
            <w:tcW w:w="4819" w:type="dxa"/>
            <w:tcBorders>
              <w:top w:val="nil"/>
              <w:left w:val="nil"/>
              <w:bottom w:val="nil"/>
              <w:right w:val="nil"/>
            </w:tcBorders>
            <w:shd w:val="clear" w:color="auto" w:fill="auto"/>
            <w:vAlign w:val="bottom"/>
            <w:hideMark/>
          </w:tcPr>
          <w:p w14:paraId="7AA66776" w14:textId="77777777" w:rsidR="00E70636" w:rsidRPr="00606C66" w:rsidRDefault="00E70636" w:rsidP="00E70636">
            <w:pPr>
              <w:jc w:val="left"/>
              <w:rPr>
                <w:rFonts w:eastAsia="Times New Roman" w:cs="Calibri"/>
                <w:color w:val="000000"/>
                <w:sz w:val="16"/>
                <w:szCs w:val="16"/>
                <w:lang w:eastAsia="en-US"/>
              </w:rPr>
            </w:pPr>
            <w:r w:rsidRPr="00606C66">
              <w:rPr>
                <w:rFonts w:eastAsia="Times New Roman" w:cs="Calibri"/>
                <w:color w:val="000000"/>
                <w:sz w:val="16"/>
                <w:szCs w:val="16"/>
                <w:lang w:eastAsia="en-US"/>
              </w:rPr>
              <w:t xml:space="preserve">FORMEZ PA </w:t>
            </w:r>
            <w:proofErr w:type="spellStart"/>
            <w:r w:rsidRPr="00606C66">
              <w:rPr>
                <w:rFonts w:eastAsia="Times New Roman" w:cs="Calibri"/>
                <w:color w:val="000000"/>
                <w:sz w:val="16"/>
                <w:szCs w:val="16"/>
                <w:lang w:eastAsia="en-US"/>
              </w:rPr>
              <w:t>bn</w:t>
            </w:r>
            <w:proofErr w:type="spellEnd"/>
            <w:r w:rsidRPr="00606C66">
              <w:rPr>
                <w:rFonts w:eastAsia="Times New Roman" w:cs="Calibri"/>
                <w:color w:val="000000"/>
                <w:sz w:val="16"/>
                <w:szCs w:val="16"/>
                <w:lang w:eastAsia="en-US"/>
              </w:rPr>
              <w:t xml:space="preserve"> 3603 </w:t>
            </w:r>
          </w:p>
        </w:tc>
        <w:tc>
          <w:tcPr>
            <w:tcW w:w="1389" w:type="dxa"/>
            <w:tcBorders>
              <w:top w:val="nil"/>
              <w:left w:val="nil"/>
              <w:bottom w:val="nil"/>
              <w:right w:val="nil"/>
            </w:tcBorders>
            <w:shd w:val="clear" w:color="auto" w:fill="auto"/>
            <w:noWrap/>
            <w:vAlign w:val="bottom"/>
            <w:hideMark/>
          </w:tcPr>
          <w:p w14:paraId="5CDC0B15"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1.162.080,42</w:t>
            </w:r>
          </w:p>
        </w:tc>
        <w:tc>
          <w:tcPr>
            <w:tcW w:w="1389" w:type="dxa"/>
            <w:tcBorders>
              <w:top w:val="nil"/>
              <w:left w:val="nil"/>
              <w:bottom w:val="nil"/>
              <w:right w:val="nil"/>
            </w:tcBorders>
            <w:shd w:val="clear" w:color="auto" w:fill="auto"/>
            <w:noWrap/>
            <w:vAlign w:val="bottom"/>
            <w:hideMark/>
          </w:tcPr>
          <w:p w14:paraId="00A21028"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1.162.080,42</w:t>
            </w:r>
          </w:p>
        </w:tc>
        <w:tc>
          <w:tcPr>
            <w:tcW w:w="1134" w:type="dxa"/>
            <w:tcBorders>
              <w:top w:val="nil"/>
              <w:left w:val="nil"/>
              <w:bottom w:val="nil"/>
              <w:right w:val="nil"/>
            </w:tcBorders>
            <w:shd w:val="clear" w:color="auto" w:fill="auto"/>
            <w:noWrap/>
            <w:vAlign w:val="bottom"/>
            <w:hideMark/>
          </w:tcPr>
          <w:p w14:paraId="645274BE"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100,00%</w:t>
            </w:r>
          </w:p>
        </w:tc>
        <w:tc>
          <w:tcPr>
            <w:tcW w:w="1020" w:type="dxa"/>
            <w:tcBorders>
              <w:top w:val="nil"/>
              <w:left w:val="nil"/>
              <w:bottom w:val="nil"/>
              <w:right w:val="nil"/>
            </w:tcBorders>
            <w:shd w:val="clear" w:color="auto" w:fill="auto"/>
            <w:noWrap/>
            <w:vAlign w:val="bottom"/>
            <w:hideMark/>
          </w:tcPr>
          <w:p w14:paraId="4A558F4A" w14:textId="01D181DC"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w:t>
            </w:r>
          </w:p>
        </w:tc>
      </w:tr>
      <w:tr w:rsidR="00E70636" w:rsidRPr="00606C66" w14:paraId="280B00E2" w14:textId="77777777" w:rsidTr="002A3DAD">
        <w:trPr>
          <w:trHeight w:val="300"/>
        </w:trPr>
        <w:tc>
          <w:tcPr>
            <w:tcW w:w="4819" w:type="dxa"/>
            <w:tcBorders>
              <w:top w:val="nil"/>
              <w:left w:val="nil"/>
              <w:bottom w:val="nil"/>
              <w:right w:val="nil"/>
            </w:tcBorders>
            <w:shd w:val="clear" w:color="auto" w:fill="auto"/>
            <w:vAlign w:val="bottom"/>
            <w:hideMark/>
          </w:tcPr>
          <w:p w14:paraId="3AF5ADF7" w14:textId="77777777" w:rsidR="00E70636" w:rsidRPr="00606C66" w:rsidRDefault="00E70636" w:rsidP="00E70636">
            <w:pPr>
              <w:jc w:val="left"/>
              <w:rPr>
                <w:rFonts w:eastAsia="Times New Roman" w:cs="Calibri"/>
                <w:color w:val="000000"/>
                <w:sz w:val="16"/>
                <w:szCs w:val="16"/>
                <w:lang w:eastAsia="en-US"/>
              </w:rPr>
            </w:pPr>
            <w:r w:rsidRPr="00606C66">
              <w:rPr>
                <w:rFonts w:eastAsia="Times New Roman" w:cs="Calibri"/>
                <w:color w:val="000000"/>
                <w:sz w:val="16"/>
                <w:szCs w:val="16"/>
                <w:lang w:eastAsia="en-US"/>
              </w:rPr>
              <w:t xml:space="preserve">Lombardia Europa 2020 </w:t>
            </w:r>
            <w:proofErr w:type="spellStart"/>
            <w:r w:rsidRPr="00606C66">
              <w:rPr>
                <w:rFonts w:eastAsia="Times New Roman" w:cs="Calibri"/>
                <w:color w:val="000000"/>
                <w:sz w:val="16"/>
                <w:szCs w:val="16"/>
                <w:lang w:eastAsia="en-US"/>
              </w:rPr>
              <w:t>bn</w:t>
            </w:r>
            <w:proofErr w:type="spellEnd"/>
            <w:r w:rsidRPr="00606C66">
              <w:rPr>
                <w:rFonts w:eastAsia="Times New Roman" w:cs="Calibri"/>
                <w:color w:val="000000"/>
                <w:sz w:val="16"/>
                <w:szCs w:val="16"/>
                <w:lang w:eastAsia="en-US"/>
              </w:rPr>
              <w:t xml:space="preserve"> 4362</w:t>
            </w:r>
          </w:p>
        </w:tc>
        <w:tc>
          <w:tcPr>
            <w:tcW w:w="1389" w:type="dxa"/>
            <w:tcBorders>
              <w:top w:val="nil"/>
              <w:left w:val="nil"/>
              <w:bottom w:val="nil"/>
              <w:right w:val="nil"/>
            </w:tcBorders>
            <w:shd w:val="clear" w:color="auto" w:fill="auto"/>
            <w:noWrap/>
            <w:vAlign w:val="bottom"/>
            <w:hideMark/>
          </w:tcPr>
          <w:p w14:paraId="7E1FA149"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2.000.000,00</w:t>
            </w:r>
          </w:p>
        </w:tc>
        <w:tc>
          <w:tcPr>
            <w:tcW w:w="1389" w:type="dxa"/>
            <w:tcBorders>
              <w:top w:val="nil"/>
              <w:left w:val="nil"/>
              <w:bottom w:val="nil"/>
              <w:right w:val="nil"/>
            </w:tcBorders>
            <w:shd w:val="clear" w:color="auto" w:fill="auto"/>
            <w:noWrap/>
            <w:vAlign w:val="bottom"/>
            <w:hideMark/>
          </w:tcPr>
          <w:p w14:paraId="1E7B7571"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hideMark/>
          </w:tcPr>
          <w:p w14:paraId="015536B6"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3D20A29C" w14:textId="5D6F7D02"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w:t>
            </w:r>
          </w:p>
        </w:tc>
      </w:tr>
      <w:tr w:rsidR="00E70636" w:rsidRPr="00606C66" w14:paraId="5DC93725" w14:textId="77777777" w:rsidTr="002A3DAD">
        <w:trPr>
          <w:trHeight w:val="300"/>
        </w:trPr>
        <w:tc>
          <w:tcPr>
            <w:tcW w:w="4819" w:type="dxa"/>
            <w:tcBorders>
              <w:top w:val="nil"/>
              <w:left w:val="nil"/>
              <w:bottom w:val="nil"/>
              <w:right w:val="nil"/>
            </w:tcBorders>
            <w:shd w:val="clear" w:color="auto" w:fill="auto"/>
            <w:vAlign w:val="bottom"/>
            <w:hideMark/>
          </w:tcPr>
          <w:p w14:paraId="492DA49C" w14:textId="77777777" w:rsidR="00E70636" w:rsidRPr="00606C66" w:rsidRDefault="00E70636" w:rsidP="00E70636">
            <w:pPr>
              <w:jc w:val="left"/>
              <w:rPr>
                <w:rFonts w:eastAsia="Times New Roman" w:cs="Calibri"/>
                <w:color w:val="000000"/>
                <w:sz w:val="16"/>
                <w:szCs w:val="16"/>
                <w:lang w:eastAsia="en-US"/>
              </w:rPr>
            </w:pPr>
            <w:r w:rsidRPr="00606C66">
              <w:rPr>
                <w:rFonts w:eastAsia="Times New Roman" w:cs="Calibri"/>
                <w:color w:val="000000"/>
                <w:sz w:val="16"/>
                <w:szCs w:val="16"/>
                <w:lang w:eastAsia="en-US"/>
              </w:rPr>
              <w:t>Piano di coaching del personale dei CPI di R.L. (CPI2) (Formez)</w:t>
            </w:r>
          </w:p>
        </w:tc>
        <w:tc>
          <w:tcPr>
            <w:tcW w:w="1389" w:type="dxa"/>
            <w:tcBorders>
              <w:top w:val="nil"/>
              <w:left w:val="nil"/>
              <w:bottom w:val="nil"/>
              <w:right w:val="nil"/>
            </w:tcBorders>
            <w:shd w:val="clear" w:color="auto" w:fill="auto"/>
            <w:noWrap/>
            <w:vAlign w:val="bottom"/>
            <w:hideMark/>
          </w:tcPr>
          <w:p w14:paraId="7710CB96"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2.000.000,00</w:t>
            </w:r>
          </w:p>
        </w:tc>
        <w:tc>
          <w:tcPr>
            <w:tcW w:w="1389" w:type="dxa"/>
            <w:tcBorders>
              <w:top w:val="nil"/>
              <w:left w:val="nil"/>
              <w:bottom w:val="nil"/>
              <w:right w:val="nil"/>
            </w:tcBorders>
            <w:shd w:val="clear" w:color="auto" w:fill="auto"/>
            <w:noWrap/>
            <w:vAlign w:val="bottom"/>
            <w:hideMark/>
          </w:tcPr>
          <w:p w14:paraId="5A5F2E4E"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hideMark/>
          </w:tcPr>
          <w:p w14:paraId="10804712"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24334420" w14:textId="191B9664"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w:t>
            </w:r>
          </w:p>
        </w:tc>
      </w:tr>
      <w:tr w:rsidR="00E70636" w:rsidRPr="00606C66" w14:paraId="08E0AE21" w14:textId="77777777" w:rsidTr="002A3DAD">
        <w:trPr>
          <w:trHeight w:val="300"/>
        </w:trPr>
        <w:tc>
          <w:tcPr>
            <w:tcW w:w="4819" w:type="dxa"/>
            <w:tcBorders>
              <w:top w:val="nil"/>
              <w:left w:val="nil"/>
              <w:bottom w:val="nil"/>
              <w:right w:val="nil"/>
            </w:tcBorders>
            <w:shd w:val="clear" w:color="auto" w:fill="auto"/>
            <w:vAlign w:val="bottom"/>
            <w:hideMark/>
          </w:tcPr>
          <w:p w14:paraId="0B557723" w14:textId="77777777" w:rsidR="00E70636" w:rsidRPr="00606C66" w:rsidRDefault="00E70636" w:rsidP="00E70636">
            <w:pPr>
              <w:jc w:val="left"/>
              <w:rPr>
                <w:rFonts w:eastAsia="Times New Roman" w:cs="Calibri"/>
                <w:color w:val="000000"/>
                <w:sz w:val="16"/>
                <w:szCs w:val="16"/>
                <w:lang w:eastAsia="en-US"/>
              </w:rPr>
            </w:pPr>
            <w:r w:rsidRPr="00606C66">
              <w:rPr>
                <w:rFonts w:eastAsia="Times New Roman" w:cs="Calibri"/>
                <w:color w:val="000000"/>
                <w:sz w:val="16"/>
                <w:szCs w:val="16"/>
                <w:lang w:eastAsia="en-US"/>
              </w:rPr>
              <w:t>Rafforzamento competenze per contrastare riciclaggio e corruzione nella PA (ANCI)</w:t>
            </w:r>
          </w:p>
        </w:tc>
        <w:tc>
          <w:tcPr>
            <w:tcW w:w="1389" w:type="dxa"/>
            <w:tcBorders>
              <w:top w:val="nil"/>
              <w:left w:val="nil"/>
              <w:bottom w:val="nil"/>
              <w:right w:val="nil"/>
            </w:tcBorders>
            <w:shd w:val="clear" w:color="auto" w:fill="auto"/>
            <w:noWrap/>
            <w:vAlign w:val="bottom"/>
            <w:hideMark/>
          </w:tcPr>
          <w:p w14:paraId="68C83462"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500.000,00</w:t>
            </w:r>
          </w:p>
        </w:tc>
        <w:tc>
          <w:tcPr>
            <w:tcW w:w="1389" w:type="dxa"/>
            <w:tcBorders>
              <w:top w:val="nil"/>
              <w:left w:val="nil"/>
              <w:bottom w:val="nil"/>
              <w:right w:val="nil"/>
            </w:tcBorders>
            <w:shd w:val="clear" w:color="auto" w:fill="auto"/>
            <w:noWrap/>
            <w:vAlign w:val="bottom"/>
            <w:hideMark/>
          </w:tcPr>
          <w:p w14:paraId="638E760E"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hideMark/>
          </w:tcPr>
          <w:p w14:paraId="6B53EAD9"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0D657907" w14:textId="52652A95"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w:t>
            </w:r>
          </w:p>
        </w:tc>
      </w:tr>
      <w:tr w:rsidR="00E70636" w:rsidRPr="00606C66" w14:paraId="68FCB786" w14:textId="77777777" w:rsidTr="002A3DAD">
        <w:trPr>
          <w:trHeight w:val="600"/>
        </w:trPr>
        <w:tc>
          <w:tcPr>
            <w:tcW w:w="4819" w:type="dxa"/>
            <w:tcBorders>
              <w:top w:val="nil"/>
              <w:left w:val="nil"/>
              <w:bottom w:val="nil"/>
              <w:right w:val="nil"/>
            </w:tcBorders>
            <w:shd w:val="clear" w:color="auto" w:fill="auto"/>
            <w:vAlign w:val="bottom"/>
            <w:hideMark/>
          </w:tcPr>
          <w:p w14:paraId="2E84DE63" w14:textId="77777777" w:rsidR="00E70636" w:rsidRPr="00606C66" w:rsidRDefault="00E70636" w:rsidP="00E70636">
            <w:pPr>
              <w:jc w:val="left"/>
              <w:rPr>
                <w:rFonts w:eastAsia="Times New Roman" w:cs="Calibri"/>
                <w:color w:val="000000"/>
                <w:sz w:val="16"/>
                <w:szCs w:val="16"/>
                <w:lang w:eastAsia="en-US"/>
              </w:rPr>
            </w:pPr>
            <w:r w:rsidRPr="00606C66">
              <w:rPr>
                <w:rFonts w:eastAsia="Times New Roman" w:cs="Calibri"/>
                <w:color w:val="000000"/>
                <w:sz w:val="16"/>
                <w:szCs w:val="16"/>
                <w:lang w:eastAsia="en-US"/>
              </w:rPr>
              <w:t>Rafforzamento delle competenze per efficientare le attività di reclutamento e potenziare la qualità dei servizi del sociale nei comuni (ANCI)</w:t>
            </w:r>
          </w:p>
        </w:tc>
        <w:tc>
          <w:tcPr>
            <w:tcW w:w="1389" w:type="dxa"/>
            <w:tcBorders>
              <w:top w:val="nil"/>
              <w:left w:val="nil"/>
              <w:bottom w:val="nil"/>
              <w:right w:val="nil"/>
            </w:tcBorders>
            <w:shd w:val="clear" w:color="auto" w:fill="auto"/>
            <w:noWrap/>
            <w:vAlign w:val="bottom"/>
            <w:hideMark/>
          </w:tcPr>
          <w:p w14:paraId="3A5450DC"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1.350.000,00</w:t>
            </w:r>
          </w:p>
        </w:tc>
        <w:tc>
          <w:tcPr>
            <w:tcW w:w="1389" w:type="dxa"/>
            <w:tcBorders>
              <w:top w:val="nil"/>
              <w:left w:val="nil"/>
              <w:bottom w:val="nil"/>
              <w:right w:val="nil"/>
            </w:tcBorders>
            <w:shd w:val="clear" w:color="auto" w:fill="auto"/>
            <w:noWrap/>
            <w:vAlign w:val="bottom"/>
            <w:hideMark/>
          </w:tcPr>
          <w:p w14:paraId="4FAEDA0B"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hideMark/>
          </w:tcPr>
          <w:p w14:paraId="01EFB4D6"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63F92B3D" w14:textId="0E1F6F12"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w:t>
            </w:r>
          </w:p>
        </w:tc>
      </w:tr>
      <w:tr w:rsidR="00E70636" w:rsidRPr="00606C66" w14:paraId="42625033" w14:textId="77777777" w:rsidTr="002A3DAD">
        <w:trPr>
          <w:trHeight w:val="300"/>
        </w:trPr>
        <w:tc>
          <w:tcPr>
            <w:tcW w:w="4819" w:type="dxa"/>
            <w:tcBorders>
              <w:top w:val="nil"/>
              <w:left w:val="nil"/>
              <w:bottom w:val="nil"/>
              <w:right w:val="nil"/>
            </w:tcBorders>
            <w:shd w:val="clear" w:color="auto" w:fill="auto"/>
            <w:vAlign w:val="bottom"/>
            <w:hideMark/>
          </w:tcPr>
          <w:p w14:paraId="421983E5" w14:textId="77777777" w:rsidR="00E70636" w:rsidRPr="00606C66" w:rsidRDefault="00E70636" w:rsidP="00E70636">
            <w:pPr>
              <w:jc w:val="left"/>
              <w:rPr>
                <w:rFonts w:eastAsia="Times New Roman" w:cs="Calibri"/>
                <w:color w:val="000000"/>
                <w:sz w:val="16"/>
                <w:szCs w:val="16"/>
                <w:lang w:eastAsia="en-US"/>
              </w:rPr>
            </w:pPr>
            <w:r w:rsidRPr="00606C66">
              <w:rPr>
                <w:rFonts w:eastAsia="Times New Roman" w:cs="Calibri"/>
                <w:color w:val="000000"/>
                <w:sz w:val="16"/>
                <w:szCs w:val="16"/>
                <w:lang w:eastAsia="en-US"/>
              </w:rPr>
              <w:t>Sistema Informatico Unico di Accreditamento - SIUA (ARIA)</w:t>
            </w:r>
          </w:p>
        </w:tc>
        <w:tc>
          <w:tcPr>
            <w:tcW w:w="1389" w:type="dxa"/>
            <w:tcBorders>
              <w:top w:val="nil"/>
              <w:left w:val="nil"/>
              <w:bottom w:val="nil"/>
              <w:right w:val="nil"/>
            </w:tcBorders>
            <w:shd w:val="clear" w:color="auto" w:fill="auto"/>
            <w:noWrap/>
            <w:vAlign w:val="bottom"/>
            <w:hideMark/>
          </w:tcPr>
          <w:p w14:paraId="67E5B777"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950.000,00</w:t>
            </w:r>
          </w:p>
        </w:tc>
        <w:tc>
          <w:tcPr>
            <w:tcW w:w="1389" w:type="dxa"/>
            <w:tcBorders>
              <w:top w:val="nil"/>
              <w:left w:val="nil"/>
              <w:bottom w:val="nil"/>
              <w:right w:val="nil"/>
            </w:tcBorders>
            <w:shd w:val="clear" w:color="auto" w:fill="auto"/>
            <w:noWrap/>
            <w:vAlign w:val="bottom"/>
            <w:hideMark/>
          </w:tcPr>
          <w:p w14:paraId="72BC30CF"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449.999,96</w:t>
            </w:r>
          </w:p>
        </w:tc>
        <w:tc>
          <w:tcPr>
            <w:tcW w:w="1134" w:type="dxa"/>
            <w:tcBorders>
              <w:top w:val="nil"/>
              <w:left w:val="nil"/>
              <w:bottom w:val="nil"/>
              <w:right w:val="nil"/>
            </w:tcBorders>
            <w:shd w:val="clear" w:color="auto" w:fill="auto"/>
            <w:noWrap/>
            <w:vAlign w:val="bottom"/>
            <w:hideMark/>
          </w:tcPr>
          <w:p w14:paraId="38A97A93"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47,37%</w:t>
            </w:r>
          </w:p>
        </w:tc>
        <w:tc>
          <w:tcPr>
            <w:tcW w:w="1020" w:type="dxa"/>
            <w:tcBorders>
              <w:top w:val="nil"/>
              <w:left w:val="nil"/>
              <w:bottom w:val="nil"/>
              <w:right w:val="nil"/>
            </w:tcBorders>
            <w:shd w:val="clear" w:color="auto" w:fill="auto"/>
            <w:noWrap/>
            <w:vAlign w:val="bottom"/>
            <w:hideMark/>
          </w:tcPr>
          <w:p w14:paraId="58D0192A" w14:textId="66F4D051"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w:t>
            </w:r>
          </w:p>
        </w:tc>
      </w:tr>
      <w:tr w:rsidR="00E70636" w:rsidRPr="00606C66" w14:paraId="66857240" w14:textId="77777777" w:rsidTr="002A3DAD">
        <w:trPr>
          <w:trHeight w:val="300"/>
        </w:trPr>
        <w:tc>
          <w:tcPr>
            <w:tcW w:w="4819" w:type="dxa"/>
            <w:tcBorders>
              <w:top w:val="nil"/>
              <w:left w:val="nil"/>
              <w:bottom w:val="nil"/>
              <w:right w:val="nil"/>
            </w:tcBorders>
            <w:shd w:val="clear" w:color="auto" w:fill="auto"/>
            <w:vAlign w:val="bottom"/>
            <w:hideMark/>
          </w:tcPr>
          <w:p w14:paraId="50AB9C9A" w14:textId="77777777" w:rsidR="00E70636" w:rsidRPr="00606C66" w:rsidRDefault="00E70636" w:rsidP="00E70636">
            <w:pPr>
              <w:jc w:val="left"/>
              <w:rPr>
                <w:rFonts w:eastAsia="Times New Roman" w:cs="Calibri"/>
                <w:color w:val="000000"/>
                <w:sz w:val="16"/>
                <w:szCs w:val="16"/>
                <w:lang w:eastAsia="en-US"/>
              </w:rPr>
            </w:pPr>
            <w:r w:rsidRPr="00606C66">
              <w:rPr>
                <w:rFonts w:eastAsia="Times New Roman" w:cs="Calibri"/>
                <w:color w:val="000000"/>
                <w:sz w:val="16"/>
                <w:szCs w:val="16"/>
                <w:lang w:eastAsia="en-US"/>
              </w:rPr>
              <w:t>Valorizzazione DB Topografico</w:t>
            </w:r>
          </w:p>
        </w:tc>
        <w:tc>
          <w:tcPr>
            <w:tcW w:w="1389" w:type="dxa"/>
            <w:tcBorders>
              <w:top w:val="nil"/>
              <w:left w:val="nil"/>
              <w:bottom w:val="nil"/>
              <w:right w:val="nil"/>
            </w:tcBorders>
            <w:shd w:val="clear" w:color="auto" w:fill="auto"/>
            <w:noWrap/>
            <w:vAlign w:val="bottom"/>
            <w:hideMark/>
          </w:tcPr>
          <w:p w14:paraId="62A3A53F"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700.000,00</w:t>
            </w:r>
          </w:p>
        </w:tc>
        <w:tc>
          <w:tcPr>
            <w:tcW w:w="1389" w:type="dxa"/>
            <w:tcBorders>
              <w:top w:val="nil"/>
              <w:left w:val="nil"/>
              <w:bottom w:val="nil"/>
              <w:right w:val="nil"/>
            </w:tcBorders>
            <w:shd w:val="clear" w:color="auto" w:fill="auto"/>
            <w:noWrap/>
            <w:vAlign w:val="bottom"/>
            <w:hideMark/>
          </w:tcPr>
          <w:p w14:paraId="3B0751E8"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0,00</w:t>
            </w:r>
          </w:p>
        </w:tc>
        <w:tc>
          <w:tcPr>
            <w:tcW w:w="1134" w:type="dxa"/>
            <w:tcBorders>
              <w:top w:val="nil"/>
              <w:left w:val="nil"/>
              <w:bottom w:val="nil"/>
              <w:right w:val="nil"/>
            </w:tcBorders>
            <w:shd w:val="clear" w:color="auto" w:fill="auto"/>
            <w:noWrap/>
            <w:vAlign w:val="bottom"/>
            <w:hideMark/>
          </w:tcPr>
          <w:p w14:paraId="22DDF9F7"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0,00%</w:t>
            </w:r>
          </w:p>
        </w:tc>
        <w:tc>
          <w:tcPr>
            <w:tcW w:w="1020" w:type="dxa"/>
            <w:tcBorders>
              <w:top w:val="nil"/>
              <w:left w:val="nil"/>
              <w:bottom w:val="nil"/>
              <w:right w:val="nil"/>
            </w:tcBorders>
            <w:shd w:val="clear" w:color="auto" w:fill="auto"/>
            <w:noWrap/>
            <w:vAlign w:val="bottom"/>
            <w:hideMark/>
          </w:tcPr>
          <w:p w14:paraId="38CB338D" w14:textId="58E897E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w:t>
            </w:r>
          </w:p>
        </w:tc>
      </w:tr>
      <w:tr w:rsidR="00E70636" w:rsidRPr="00606C66" w14:paraId="08BF5B39" w14:textId="77777777" w:rsidTr="00EA0726">
        <w:trPr>
          <w:trHeight w:val="600"/>
        </w:trPr>
        <w:tc>
          <w:tcPr>
            <w:tcW w:w="4819" w:type="dxa"/>
            <w:tcBorders>
              <w:top w:val="nil"/>
              <w:left w:val="nil"/>
              <w:bottom w:val="single" w:sz="4" w:space="0" w:color="305496"/>
              <w:right w:val="nil"/>
            </w:tcBorders>
            <w:shd w:val="clear" w:color="auto" w:fill="auto"/>
            <w:vAlign w:val="bottom"/>
            <w:hideMark/>
          </w:tcPr>
          <w:p w14:paraId="287CECC6" w14:textId="77777777" w:rsidR="00E70636" w:rsidRPr="00606C66" w:rsidRDefault="00E70636" w:rsidP="00E70636">
            <w:pPr>
              <w:jc w:val="left"/>
              <w:rPr>
                <w:rFonts w:eastAsia="Times New Roman" w:cs="Calibri"/>
                <w:color w:val="000000"/>
                <w:sz w:val="16"/>
                <w:szCs w:val="16"/>
                <w:lang w:eastAsia="en-US"/>
              </w:rPr>
            </w:pPr>
            <w:r w:rsidRPr="00606C66">
              <w:rPr>
                <w:rFonts w:eastAsia="Times New Roman" w:cs="Calibri"/>
                <w:color w:val="000000"/>
                <w:sz w:val="16"/>
                <w:szCs w:val="16"/>
                <w:lang w:eastAsia="en-US"/>
              </w:rPr>
              <w:t>valorizzazione di documenti digitali di biblioteche e archivi lombardi attraverso lo sviluppo di competenze per la costruzione di nuovi percorsi didattici</w:t>
            </w:r>
          </w:p>
        </w:tc>
        <w:tc>
          <w:tcPr>
            <w:tcW w:w="1389" w:type="dxa"/>
            <w:tcBorders>
              <w:top w:val="nil"/>
              <w:left w:val="nil"/>
              <w:bottom w:val="single" w:sz="4" w:space="0" w:color="305496"/>
              <w:right w:val="nil"/>
            </w:tcBorders>
            <w:shd w:val="clear" w:color="auto" w:fill="auto"/>
            <w:noWrap/>
            <w:vAlign w:val="bottom"/>
            <w:hideMark/>
          </w:tcPr>
          <w:p w14:paraId="5B943481"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1.423.000,00</w:t>
            </w:r>
          </w:p>
        </w:tc>
        <w:tc>
          <w:tcPr>
            <w:tcW w:w="1389" w:type="dxa"/>
            <w:tcBorders>
              <w:top w:val="nil"/>
              <w:left w:val="nil"/>
              <w:bottom w:val="single" w:sz="4" w:space="0" w:color="305496"/>
              <w:right w:val="nil"/>
            </w:tcBorders>
            <w:shd w:val="clear" w:color="auto" w:fill="auto"/>
            <w:noWrap/>
            <w:vAlign w:val="bottom"/>
            <w:hideMark/>
          </w:tcPr>
          <w:p w14:paraId="5FAF2B21"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0,00</w:t>
            </w:r>
          </w:p>
        </w:tc>
        <w:tc>
          <w:tcPr>
            <w:tcW w:w="1134" w:type="dxa"/>
            <w:tcBorders>
              <w:top w:val="nil"/>
              <w:left w:val="nil"/>
              <w:bottom w:val="single" w:sz="4" w:space="0" w:color="305496"/>
              <w:right w:val="nil"/>
            </w:tcBorders>
            <w:shd w:val="clear" w:color="auto" w:fill="auto"/>
            <w:noWrap/>
            <w:vAlign w:val="bottom"/>
            <w:hideMark/>
          </w:tcPr>
          <w:p w14:paraId="5E166AE7" w14:textId="77777777"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0,00%</w:t>
            </w:r>
          </w:p>
        </w:tc>
        <w:tc>
          <w:tcPr>
            <w:tcW w:w="1020" w:type="dxa"/>
            <w:tcBorders>
              <w:top w:val="nil"/>
              <w:left w:val="nil"/>
              <w:bottom w:val="single" w:sz="4" w:space="0" w:color="305496"/>
              <w:right w:val="nil"/>
            </w:tcBorders>
            <w:shd w:val="clear" w:color="auto" w:fill="auto"/>
            <w:noWrap/>
            <w:vAlign w:val="bottom"/>
            <w:hideMark/>
          </w:tcPr>
          <w:p w14:paraId="1D0FF890" w14:textId="6E186902" w:rsidR="00E70636" w:rsidRPr="00606C66" w:rsidRDefault="00E70636" w:rsidP="00033A16">
            <w:pPr>
              <w:jc w:val="right"/>
              <w:rPr>
                <w:rFonts w:eastAsia="Times New Roman" w:cs="Calibri"/>
                <w:color w:val="000000"/>
                <w:sz w:val="16"/>
                <w:szCs w:val="16"/>
                <w:lang w:eastAsia="en-US"/>
              </w:rPr>
            </w:pPr>
            <w:r w:rsidRPr="00606C66">
              <w:rPr>
                <w:rFonts w:eastAsia="Times New Roman" w:cs="Calibri"/>
                <w:color w:val="000000"/>
                <w:sz w:val="16"/>
                <w:szCs w:val="16"/>
                <w:lang w:eastAsia="en-US"/>
              </w:rPr>
              <w:t>1</w:t>
            </w:r>
          </w:p>
        </w:tc>
      </w:tr>
    </w:tbl>
    <w:p w14:paraId="301B41F2" w14:textId="77777777" w:rsidR="006B6747" w:rsidRDefault="006B6747" w:rsidP="006B6747">
      <w:pPr>
        <w:rPr>
          <w:sz w:val="18"/>
          <w:szCs w:val="18"/>
        </w:rPr>
      </w:pPr>
      <w:r>
        <w:rPr>
          <w:sz w:val="18"/>
          <w:szCs w:val="18"/>
        </w:rPr>
        <w:t>Fonte: Dati di monitoraggio forniti da Regione Lombardia aggiornati al 31.12.2020.</w:t>
      </w:r>
    </w:p>
    <w:p w14:paraId="20BDA926" w14:textId="77777777" w:rsidR="00481DF0" w:rsidRDefault="00481DF0" w:rsidP="00566B57"/>
    <w:p w14:paraId="270ECE2E" w14:textId="77777777" w:rsidR="0086197B" w:rsidRDefault="0086197B" w:rsidP="0086197B"/>
    <w:p w14:paraId="7E08771A" w14:textId="77777777" w:rsidR="009F64DC" w:rsidRDefault="009F64DC" w:rsidP="0086197B"/>
    <w:p w14:paraId="25CE09B9" w14:textId="77777777" w:rsidR="0086197B" w:rsidRDefault="0086197B" w:rsidP="0086197B">
      <w:pPr>
        <w:pStyle w:val="Titolo4"/>
      </w:pPr>
      <w:r>
        <w:t>Realizzazioni e risultati</w:t>
      </w:r>
    </w:p>
    <w:p w14:paraId="6C57B99F" w14:textId="77777777" w:rsidR="00624B2A" w:rsidRPr="00624B2A" w:rsidRDefault="00624B2A" w:rsidP="00624B2A"/>
    <w:p w14:paraId="7C790A89" w14:textId="77777777" w:rsidR="00227AF3" w:rsidRDefault="00E341C5" w:rsidP="00927832">
      <w:r>
        <w:t>Le due tabelle successive riportano gli indicatori di output e risultato per l’Asse IV del POR FSE. Nel complesso l</w:t>
      </w:r>
      <w:r w:rsidR="00227AF3">
        <w:t>e</w:t>
      </w:r>
      <w:r w:rsidR="00B97770">
        <w:t xml:space="preserve"> misure adottate nel contesto dell’Asse IV </w:t>
      </w:r>
      <w:r>
        <w:t xml:space="preserve">dimostrano un buono stato di avanzamento. </w:t>
      </w:r>
      <w:r w:rsidR="00EB25F2">
        <w:t xml:space="preserve">Nello specifico le azioni volte a migliorare </w:t>
      </w:r>
      <w:r w:rsidR="008D5028">
        <w:t>la capacità amministrativa</w:t>
      </w:r>
      <w:r w:rsidR="000868FA">
        <w:t xml:space="preserve">, oltre a caratterizzarsi per una buona performance finanziaria, </w:t>
      </w:r>
      <w:r w:rsidR="008D5028">
        <w:t xml:space="preserve">si dimostrano efficaci in quanto la totalità delle </w:t>
      </w:r>
      <w:r w:rsidR="008D5028" w:rsidRPr="008D5028">
        <w:t>P</w:t>
      </w:r>
      <w:r w:rsidR="008D5028">
        <w:t>A</w:t>
      </w:r>
      <w:r w:rsidR="008D5028" w:rsidRPr="008D5028">
        <w:t xml:space="preserve"> beneficiarie al termine dell'intervento </w:t>
      </w:r>
      <w:r w:rsidR="009F64DC">
        <w:t>ritiene di aver</w:t>
      </w:r>
      <w:r w:rsidR="008D5028" w:rsidRPr="008D5028">
        <w:t xml:space="preserve"> migliorato la propria capacità</w:t>
      </w:r>
      <w:r w:rsidR="008D5028">
        <w:t xml:space="preserve">. </w:t>
      </w:r>
      <w:r w:rsidR="002F7DD1">
        <w:t xml:space="preserve">Tuttavia, </w:t>
      </w:r>
      <w:r w:rsidR="008D5028">
        <w:t>gli interventi volti a migliorare l’utilizzo di strumenti IT per l’interoperabilità delle banche dati in materia ambientale (d2.1)</w:t>
      </w:r>
      <w:r w:rsidR="002F7DD1">
        <w:t>, pur avendo</w:t>
      </w:r>
      <w:r w:rsidR="008D5028">
        <w:t xml:space="preserve"> interessato più PA</w:t>
      </w:r>
      <w:r w:rsidR="00D37540">
        <w:t xml:space="preserve"> di quanto inizialmente programmato</w:t>
      </w:r>
      <w:r w:rsidR="002F7DD1">
        <w:t>,</w:t>
      </w:r>
      <w:r w:rsidR="008D5028">
        <w:t xml:space="preserve"> non hanno portato </w:t>
      </w:r>
      <w:r w:rsidR="002F7DD1">
        <w:t xml:space="preserve">ancora </w:t>
      </w:r>
      <w:r w:rsidR="00375316">
        <w:t>a</w:t>
      </w:r>
      <w:r w:rsidR="008D5028">
        <w:t>i risultati sperati. Infatti,</w:t>
      </w:r>
      <w:r w:rsidR="00AE16DF">
        <w:t xml:space="preserve"> al termine di questi interventi,</w:t>
      </w:r>
      <w:r w:rsidR="008D5028">
        <w:t xml:space="preserve"> solamente il 18% delle PA </w:t>
      </w:r>
      <w:r w:rsidR="00D37540">
        <w:t>è</w:t>
      </w:r>
      <w:r w:rsidR="008D5028">
        <w:t xml:space="preserve"> in grado di utilizzare </w:t>
      </w:r>
      <w:r w:rsidR="00020990">
        <w:t>i sistemi oggetto di intervento</w:t>
      </w:r>
      <w:r w:rsidR="00AE16DF">
        <w:t>, un valore ancora distante dal target del 90% fissato per il 2023.</w:t>
      </w:r>
    </w:p>
    <w:p w14:paraId="4A961AB0" w14:textId="77777777" w:rsidR="00227AF3" w:rsidRDefault="00227AF3" w:rsidP="00927832"/>
    <w:p w14:paraId="7B8AA195" w14:textId="77777777" w:rsidR="00927832" w:rsidRPr="00927832" w:rsidRDefault="00927832" w:rsidP="00DF11B7">
      <w:pPr>
        <w:pStyle w:val="Didascalia"/>
      </w:pPr>
      <w:r w:rsidRPr="002515F0">
        <w:t>Tabella 6. Indicatori di output selezionati F</w:t>
      </w:r>
      <w:r>
        <w:t>SE</w:t>
      </w:r>
      <w:r w:rsidRPr="002515F0">
        <w:t xml:space="preserve"> – Area </w:t>
      </w:r>
      <w:r>
        <w:t>istituzionale</w:t>
      </w:r>
    </w:p>
    <w:tbl>
      <w:tblPr>
        <w:tblW w:w="0" w:type="auto"/>
        <w:tblLayout w:type="fixed"/>
        <w:tblCellMar>
          <w:left w:w="28" w:type="dxa"/>
          <w:right w:w="0" w:type="dxa"/>
        </w:tblCellMar>
        <w:tblLook w:val="04A0" w:firstRow="1" w:lastRow="0" w:firstColumn="1" w:lastColumn="0" w:noHBand="0" w:noVBand="1"/>
      </w:tblPr>
      <w:tblGrid>
        <w:gridCol w:w="426"/>
        <w:gridCol w:w="850"/>
        <w:gridCol w:w="2552"/>
        <w:gridCol w:w="708"/>
        <w:gridCol w:w="567"/>
        <w:gridCol w:w="567"/>
        <w:gridCol w:w="851"/>
        <w:gridCol w:w="597"/>
        <w:gridCol w:w="679"/>
        <w:gridCol w:w="581"/>
        <w:gridCol w:w="630"/>
        <w:gridCol w:w="630"/>
      </w:tblGrid>
      <w:tr w:rsidR="00BB3870" w:rsidRPr="00D722E8" w14:paraId="3A4B5614" w14:textId="77777777" w:rsidTr="009F64DC">
        <w:trPr>
          <w:trHeight w:val="528"/>
        </w:trPr>
        <w:tc>
          <w:tcPr>
            <w:tcW w:w="426" w:type="dxa"/>
            <w:tcBorders>
              <w:top w:val="nil"/>
              <w:left w:val="nil"/>
              <w:bottom w:val="nil"/>
              <w:right w:val="nil"/>
            </w:tcBorders>
            <w:shd w:val="clear" w:color="auto" w:fill="669748" w:themeFill="accent2" w:themeFillShade="BF"/>
            <w:tcMar>
              <w:right w:w="28" w:type="dxa"/>
            </w:tcMar>
            <w:vAlign w:val="center"/>
            <w:hideMark/>
          </w:tcPr>
          <w:p w14:paraId="1065D48E" w14:textId="77777777" w:rsidR="00BB3870" w:rsidRPr="00624B2A" w:rsidRDefault="00BB3870" w:rsidP="00D722E8">
            <w:pPr>
              <w:jc w:val="left"/>
              <w:rPr>
                <w:rFonts w:eastAsia="Times New Roman" w:cs="Calibri"/>
                <w:b/>
                <w:bCs/>
                <w:color w:val="FFFFFF"/>
                <w:sz w:val="16"/>
                <w:szCs w:val="16"/>
                <w:lang w:eastAsia="it-IT"/>
              </w:rPr>
            </w:pPr>
            <w:r w:rsidRPr="00624B2A">
              <w:rPr>
                <w:rFonts w:eastAsia="Times New Roman" w:cs="Calibri"/>
                <w:b/>
                <w:bCs/>
                <w:color w:val="FFFFFF"/>
                <w:sz w:val="16"/>
                <w:szCs w:val="16"/>
                <w:lang w:eastAsia="it-IT"/>
              </w:rPr>
              <w:t>PI</w:t>
            </w:r>
          </w:p>
        </w:tc>
        <w:tc>
          <w:tcPr>
            <w:tcW w:w="850" w:type="dxa"/>
            <w:tcBorders>
              <w:top w:val="nil"/>
              <w:left w:val="nil"/>
              <w:bottom w:val="nil"/>
              <w:right w:val="nil"/>
            </w:tcBorders>
            <w:shd w:val="clear" w:color="auto" w:fill="669748" w:themeFill="accent2" w:themeFillShade="BF"/>
            <w:tcMar>
              <w:right w:w="28" w:type="dxa"/>
            </w:tcMar>
            <w:vAlign w:val="center"/>
            <w:hideMark/>
          </w:tcPr>
          <w:p w14:paraId="2D981624" w14:textId="77777777" w:rsidR="00BB3870" w:rsidRPr="00624B2A" w:rsidRDefault="00BB3870" w:rsidP="00D722E8">
            <w:pPr>
              <w:jc w:val="left"/>
              <w:rPr>
                <w:rFonts w:eastAsia="Times New Roman" w:cs="Calibri"/>
                <w:b/>
                <w:bCs/>
                <w:color w:val="FFFFFF"/>
                <w:sz w:val="16"/>
                <w:szCs w:val="16"/>
                <w:lang w:eastAsia="it-IT"/>
              </w:rPr>
            </w:pPr>
            <w:r w:rsidRPr="00624B2A">
              <w:rPr>
                <w:rFonts w:eastAsia="Times New Roman" w:cs="Calibri"/>
                <w:b/>
                <w:bCs/>
                <w:color w:val="FFFFFF"/>
                <w:sz w:val="16"/>
                <w:szCs w:val="16"/>
                <w:lang w:eastAsia="it-IT"/>
              </w:rPr>
              <w:t>Codice indicatore</w:t>
            </w:r>
          </w:p>
        </w:tc>
        <w:tc>
          <w:tcPr>
            <w:tcW w:w="2552" w:type="dxa"/>
            <w:tcBorders>
              <w:top w:val="nil"/>
              <w:left w:val="nil"/>
              <w:bottom w:val="nil"/>
              <w:right w:val="nil"/>
            </w:tcBorders>
            <w:shd w:val="clear" w:color="auto" w:fill="669748" w:themeFill="accent2" w:themeFillShade="BF"/>
            <w:tcMar>
              <w:right w:w="28" w:type="dxa"/>
            </w:tcMar>
            <w:vAlign w:val="center"/>
            <w:hideMark/>
          </w:tcPr>
          <w:p w14:paraId="3E9632A7" w14:textId="77777777" w:rsidR="00BB3870" w:rsidRPr="00624B2A" w:rsidRDefault="00BB3870" w:rsidP="00D722E8">
            <w:pPr>
              <w:jc w:val="left"/>
              <w:rPr>
                <w:rFonts w:eastAsia="Times New Roman" w:cs="Calibri"/>
                <w:b/>
                <w:bCs/>
                <w:color w:val="FFFFFF"/>
                <w:sz w:val="16"/>
                <w:szCs w:val="16"/>
                <w:lang w:eastAsia="it-IT"/>
              </w:rPr>
            </w:pPr>
            <w:r w:rsidRPr="00624B2A">
              <w:rPr>
                <w:rFonts w:eastAsia="Times New Roman" w:cs="Calibri"/>
                <w:b/>
                <w:bCs/>
                <w:color w:val="FFFFFF"/>
                <w:sz w:val="16"/>
                <w:szCs w:val="16"/>
                <w:lang w:eastAsia="it-IT"/>
              </w:rPr>
              <w:t>Indicatore di output</w:t>
            </w:r>
          </w:p>
        </w:tc>
        <w:tc>
          <w:tcPr>
            <w:tcW w:w="1842" w:type="dxa"/>
            <w:gridSpan w:val="3"/>
            <w:tcBorders>
              <w:top w:val="nil"/>
              <w:left w:val="nil"/>
              <w:bottom w:val="nil"/>
              <w:right w:val="nil"/>
            </w:tcBorders>
            <w:shd w:val="clear" w:color="auto" w:fill="669748" w:themeFill="accent2" w:themeFillShade="BF"/>
            <w:tcMar>
              <w:right w:w="28" w:type="dxa"/>
            </w:tcMar>
            <w:vAlign w:val="center"/>
            <w:hideMark/>
          </w:tcPr>
          <w:p w14:paraId="232206C3" w14:textId="77777777" w:rsidR="00BB3870" w:rsidRPr="002B2D4D" w:rsidRDefault="00BB3870" w:rsidP="00D722E8">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A - Valore obiettivo (2023)</w:t>
            </w:r>
          </w:p>
        </w:tc>
        <w:tc>
          <w:tcPr>
            <w:tcW w:w="2127" w:type="dxa"/>
            <w:gridSpan w:val="3"/>
            <w:tcBorders>
              <w:top w:val="nil"/>
              <w:left w:val="nil"/>
              <w:bottom w:val="nil"/>
              <w:right w:val="nil"/>
            </w:tcBorders>
            <w:shd w:val="clear" w:color="auto" w:fill="669748" w:themeFill="accent2" w:themeFillShade="BF"/>
            <w:tcMar>
              <w:right w:w="28" w:type="dxa"/>
            </w:tcMar>
            <w:vAlign w:val="center"/>
          </w:tcPr>
          <w:p w14:paraId="6B6A355D" w14:textId="77777777" w:rsidR="00BB3870" w:rsidRPr="00624B2A" w:rsidRDefault="00BB3870" w:rsidP="00D722E8">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B - Valore 2020</w:t>
            </w:r>
          </w:p>
        </w:tc>
        <w:tc>
          <w:tcPr>
            <w:tcW w:w="1841" w:type="dxa"/>
            <w:gridSpan w:val="3"/>
            <w:tcBorders>
              <w:top w:val="nil"/>
              <w:left w:val="nil"/>
              <w:bottom w:val="nil"/>
              <w:right w:val="nil"/>
            </w:tcBorders>
            <w:shd w:val="clear" w:color="auto" w:fill="669748" w:themeFill="accent2" w:themeFillShade="BF"/>
            <w:tcMar>
              <w:right w:w="28" w:type="dxa"/>
            </w:tcMar>
            <w:vAlign w:val="center"/>
            <w:hideMark/>
          </w:tcPr>
          <w:p w14:paraId="648E1869" w14:textId="77777777" w:rsidR="00BB3870" w:rsidRPr="00624B2A" w:rsidRDefault="00BB3870" w:rsidP="00D722E8">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B/A - Indice di realizzazione</w:t>
            </w:r>
          </w:p>
        </w:tc>
      </w:tr>
      <w:tr w:rsidR="00DF11B7" w:rsidRPr="00D722E8" w14:paraId="34AE2E80" w14:textId="77777777" w:rsidTr="009F64DC">
        <w:trPr>
          <w:trHeight w:val="300"/>
        </w:trPr>
        <w:tc>
          <w:tcPr>
            <w:tcW w:w="426" w:type="dxa"/>
            <w:tcBorders>
              <w:top w:val="nil"/>
              <w:left w:val="nil"/>
              <w:bottom w:val="nil"/>
              <w:right w:val="nil"/>
            </w:tcBorders>
            <w:shd w:val="clear" w:color="auto" w:fill="669748" w:themeFill="accent2" w:themeFillShade="BF"/>
            <w:tcMar>
              <w:right w:w="28" w:type="dxa"/>
            </w:tcMar>
            <w:vAlign w:val="center"/>
            <w:hideMark/>
          </w:tcPr>
          <w:p w14:paraId="77320040" w14:textId="77777777" w:rsidR="00D722E8" w:rsidRPr="00624B2A" w:rsidRDefault="00D722E8" w:rsidP="00D722E8">
            <w:pPr>
              <w:jc w:val="left"/>
              <w:rPr>
                <w:rFonts w:eastAsia="Times New Roman" w:cs="Calibri"/>
                <w:b/>
                <w:bCs/>
                <w:color w:val="FFFFFF"/>
                <w:sz w:val="16"/>
                <w:szCs w:val="16"/>
                <w:lang w:eastAsia="it-IT"/>
              </w:rPr>
            </w:pPr>
            <w:r w:rsidRPr="00624B2A">
              <w:rPr>
                <w:rFonts w:eastAsia="Times New Roman" w:cs="Calibri"/>
                <w:b/>
                <w:bCs/>
                <w:color w:val="FFFFFF"/>
                <w:sz w:val="16"/>
                <w:szCs w:val="16"/>
                <w:lang w:eastAsia="it-IT"/>
              </w:rPr>
              <w:t> </w:t>
            </w:r>
          </w:p>
        </w:tc>
        <w:tc>
          <w:tcPr>
            <w:tcW w:w="850" w:type="dxa"/>
            <w:tcBorders>
              <w:top w:val="nil"/>
              <w:left w:val="nil"/>
              <w:bottom w:val="nil"/>
              <w:right w:val="nil"/>
            </w:tcBorders>
            <w:shd w:val="clear" w:color="auto" w:fill="669748" w:themeFill="accent2" w:themeFillShade="BF"/>
            <w:tcMar>
              <w:right w:w="28" w:type="dxa"/>
            </w:tcMar>
            <w:vAlign w:val="center"/>
            <w:hideMark/>
          </w:tcPr>
          <w:p w14:paraId="54407FED" w14:textId="77777777" w:rsidR="00D722E8" w:rsidRPr="00624B2A" w:rsidRDefault="00D722E8" w:rsidP="00D722E8">
            <w:pPr>
              <w:jc w:val="left"/>
              <w:rPr>
                <w:rFonts w:eastAsia="Times New Roman" w:cs="Calibri"/>
                <w:b/>
                <w:bCs/>
                <w:color w:val="FFFFFF"/>
                <w:sz w:val="16"/>
                <w:szCs w:val="16"/>
                <w:lang w:eastAsia="it-IT"/>
              </w:rPr>
            </w:pPr>
            <w:r w:rsidRPr="00624B2A">
              <w:rPr>
                <w:rFonts w:eastAsia="Times New Roman" w:cs="Calibri"/>
                <w:b/>
                <w:bCs/>
                <w:color w:val="FFFFFF"/>
                <w:sz w:val="16"/>
                <w:szCs w:val="16"/>
                <w:lang w:eastAsia="it-IT"/>
              </w:rPr>
              <w:t> </w:t>
            </w:r>
          </w:p>
        </w:tc>
        <w:tc>
          <w:tcPr>
            <w:tcW w:w="2552" w:type="dxa"/>
            <w:tcBorders>
              <w:top w:val="nil"/>
              <w:left w:val="nil"/>
              <w:bottom w:val="nil"/>
              <w:right w:val="nil"/>
            </w:tcBorders>
            <w:shd w:val="clear" w:color="auto" w:fill="669748" w:themeFill="accent2" w:themeFillShade="BF"/>
            <w:tcMar>
              <w:right w:w="28" w:type="dxa"/>
            </w:tcMar>
            <w:vAlign w:val="center"/>
            <w:hideMark/>
          </w:tcPr>
          <w:p w14:paraId="4978777F" w14:textId="77777777" w:rsidR="00D722E8" w:rsidRPr="00624B2A" w:rsidRDefault="00D722E8" w:rsidP="00D722E8">
            <w:pPr>
              <w:jc w:val="left"/>
              <w:rPr>
                <w:rFonts w:eastAsia="Times New Roman" w:cs="Calibri"/>
                <w:b/>
                <w:bCs/>
                <w:color w:val="FFFFFF"/>
                <w:sz w:val="16"/>
                <w:szCs w:val="16"/>
                <w:lang w:eastAsia="it-IT"/>
              </w:rPr>
            </w:pPr>
            <w:r w:rsidRPr="00624B2A">
              <w:rPr>
                <w:rFonts w:eastAsia="Times New Roman" w:cs="Calibri"/>
                <w:b/>
                <w:bCs/>
                <w:color w:val="FFFFFF"/>
                <w:sz w:val="16"/>
                <w:szCs w:val="16"/>
                <w:lang w:eastAsia="it-IT"/>
              </w:rPr>
              <w:t> </w:t>
            </w:r>
          </w:p>
        </w:tc>
        <w:tc>
          <w:tcPr>
            <w:tcW w:w="708" w:type="dxa"/>
            <w:tcBorders>
              <w:top w:val="nil"/>
              <w:left w:val="nil"/>
              <w:bottom w:val="nil"/>
              <w:right w:val="nil"/>
            </w:tcBorders>
            <w:shd w:val="clear" w:color="auto" w:fill="669748" w:themeFill="accent2" w:themeFillShade="BF"/>
            <w:tcMar>
              <w:right w:w="28" w:type="dxa"/>
            </w:tcMar>
            <w:vAlign w:val="center"/>
            <w:hideMark/>
          </w:tcPr>
          <w:p w14:paraId="2D8D1928" w14:textId="77777777" w:rsidR="00D722E8" w:rsidRPr="00624B2A" w:rsidRDefault="00D722E8" w:rsidP="003270F9">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Totale</w:t>
            </w:r>
          </w:p>
        </w:tc>
        <w:tc>
          <w:tcPr>
            <w:tcW w:w="567" w:type="dxa"/>
            <w:tcBorders>
              <w:top w:val="nil"/>
              <w:left w:val="nil"/>
              <w:bottom w:val="nil"/>
              <w:right w:val="nil"/>
            </w:tcBorders>
            <w:shd w:val="clear" w:color="auto" w:fill="669748" w:themeFill="accent2" w:themeFillShade="BF"/>
            <w:tcMar>
              <w:right w:w="28" w:type="dxa"/>
            </w:tcMar>
            <w:vAlign w:val="center"/>
            <w:hideMark/>
          </w:tcPr>
          <w:p w14:paraId="190ADB17" w14:textId="77777777" w:rsidR="00D722E8" w:rsidRPr="00624B2A" w:rsidRDefault="00D722E8" w:rsidP="003270F9">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Uomini</w:t>
            </w:r>
          </w:p>
        </w:tc>
        <w:tc>
          <w:tcPr>
            <w:tcW w:w="567" w:type="dxa"/>
            <w:tcBorders>
              <w:top w:val="nil"/>
              <w:left w:val="nil"/>
              <w:bottom w:val="nil"/>
              <w:right w:val="nil"/>
            </w:tcBorders>
            <w:shd w:val="clear" w:color="auto" w:fill="669748" w:themeFill="accent2" w:themeFillShade="BF"/>
            <w:tcMar>
              <w:right w:w="28" w:type="dxa"/>
            </w:tcMar>
            <w:vAlign w:val="center"/>
            <w:hideMark/>
          </w:tcPr>
          <w:p w14:paraId="5083C6BD" w14:textId="77777777" w:rsidR="00D722E8" w:rsidRPr="00624B2A" w:rsidRDefault="00D722E8" w:rsidP="003270F9">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Donne</w:t>
            </w:r>
          </w:p>
        </w:tc>
        <w:tc>
          <w:tcPr>
            <w:tcW w:w="851" w:type="dxa"/>
            <w:tcBorders>
              <w:top w:val="nil"/>
              <w:left w:val="nil"/>
              <w:bottom w:val="nil"/>
              <w:right w:val="nil"/>
            </w:tcBorders>
            <w:shd w:val="clear" w:color="auto" w:fill="669748" w:themeFill="accent2" w:themeFillShade="BF"/>
            <w:tcMar>
              <w:right w:w="28" w:type="dxa"/>
            </w:tcMar>
            <w:vAlign w:val="center"/>
            <w:hideMark/>
          </w:tcPr>
          <w:p w14:paraId="6A6C2224" w14:textId="77777777" w:rsidR="00D722E8" w:rsidRPr="00624B2A" w:rsidRDefault="00D722E8" w:rsidP="003270F9">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Totale</w:t>
            </w:r>
          </w:p>
        </w:tc>
        <w:tc>
          <w:tcPr>
            <w:tcW w:w="597" w:type="dxa"/>
            <w:tcBorders>
              <w:top w:val="nil"/>
              <w:left w:val="nil"/>
              <w:bottom w:val="nil"/>
              <w:right w:val="nil"/>
            </w:tcBorders>
            <w:shd w:val="clear" w:color="auto" w:fill="669748" w:themeFill="accent2" w:themeFillShade="BF"/>
            <w:tcMar>
              <w:right w:w="28" w:type="dxa"/>
            </w:tcMar>
            <w:vAlign w:val="center"/>
            <w:hideMark/>
          </w:tcPr>
          <w:p w14:paraId="5166A4FB" w14:textId="77777777" w:rsidR="00D722E8" w:rsidRPr="00624B2A" w:rsidRDefault="00D722E8" w:rsidP="003270F9">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Uomini</w:t>
            </w:r>
          </w:p>
        </w:tc>
        <w:tc>
          <w:tcPr>
            <w:tcW w:w="679" w:type="dxa"/>
            <w:tcBorders>
              <w:top w:val="nil"/>
              <w:left w:val="nil"/>
              <w:bottom w:val="nil"/>
              <w:right w:val="nil"/>
            </w:tcBorders>
            <w:shd w:val="clear" w:color="auto" w:fill="669748" w:themeFill="accent2" w:themeFillShade="BF"/>
            <w:tcMar>
              <w:right w:w="28" w:type="dxa"/>
            </w:tcMar>
            <w:vAlign w:val="center"/>
            <w:hideMark/>
          </w:tcPr>
          <w:p w14:paraId="69D40C38" w14:textId="77777777" w:rsidR="00D722E8" w:rsidRPr="00624B2A" w:rsidRDefault="00D722E8" w:rsidP="003270F9">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Donne</w:t>
            </w:r>
          </w:p>
        </w:tc>
        <w:tc>
          <w:tcPr>
            <w:tcW w:w="581" w:type="dxa"/>
            <w:tcBorders>
              <w:top w:val="nil"/>
              <w:left w:val="nil"/>
              <w:bottom w:val="nil"/>
              <w:right w:val="nil"/>
            </w:tcBorders>
            <w:shd w:val="clear" w:color="auto" w:fill="669748" w:themeFill="accent2" w:themeFillShade="BF"/>
            <w:tcMar>
              <w:right w:w="28" w:type="dxa"/>
            </w:tcMar>
            <w:vAlign w:val="center"/>
            <w:hideMark/>
          </w:tcPr>
          <w:p w14:paraId="06E5B4C9" w14:textId="77777777" w:rsidR="00D722E8" w:rsidRPr="00624B2A" w:rsidRDefault="00D722E8" w:rsidP="003270F9">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Totale</w:t>
            </w:r>
          </w:p>
        </w:tc>
        <w:tc>
          <w:tcPr>
            <w:tcW w:w="630" w:type="dxa"/>
            <w:tcBorders>
              <w:top w:val="nil"/>
              <w:left w:val="nil"/>
              <w:bottom w:val="nil"/>
              <w:right w:val="nil"/>
            </w:tcBorders>
            <w:shd w:val="clear" w:color="auto" w:fill="669748" w:themeFill="accent2" w:themeFillShade="BF"/>
            <w:tcMar>
              <w:right w:w="28" w:type="dxa"/>
            </w:tcMar>
            <w:vAlign w:val="center"/>
            <w:hideMark/>
          </w:tcPr>
          <w:p w14:paraId="355540D6" w14:textId="77777777" w:rsidR="00D722E8" w:rsidRPr="00624B2A" w:rsidRDefault="00D722E8" w:rsidP="003270F9">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Uomini</w:t>
            </w:r>
          </w:p>
        </w:tc>
        <w:tc>
          <w:tcPr>
            <w:tcW w:w="630" w:type="dxa"/>
            <w:tcBorders>
              <w:top w:val="nil"/>
              <w:left w:val="nil"/>
              <w:bottom w:val="nil"/>
              <w:right w:val="nil"/>
            </w:tcBorders>
            <w:shd w:val="clear" w:color="auto" w:fill="669748" w:themeFill="accent2" w:themeFillShade="BF"/>
            <w:tcMar>
              <w:right w:w="28" w:type="dxa"/>
            </w:tcMar>
            <w:vAlign w:val="center"/>
            <w:hideMark/>
          </w:tcPr>
          <w:p w14:paraId="22A525F7" w14:textId="77777777" w:rsidR="00D722E8" w:rsidRPr="00624B2A" w:rsidRDefault="00D722E8" w:rsidP="003270F9">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Donne</w:t>
            </w:r>
          </w:p>
        </w:tc>
      </w:tr>
      <w:tr w:rsidR="00DF11B7" w:rsidRPr="00D722E8" w14:paraId="418B9D5D" w14:textId="77777777" w:rsidTr="009F64DC">
        <w:trPr>
          <w:trHeight w:val="300"/>
        </w:trPr>
        <w:tc>
          <w:tcPr>
            <w:tcW w:w="426" w:type="dxa"/>
            <w:tcBorders>
              <w:top w:val="nil"/>
              <w:left w:val="nil"/>
              <w:bottom w:val="single" w:sz="4" w:space="0" w:color="305496"/>
              <w:right w:val="nil"/>
            </w:tcBorders>
            <w:shd w:val="clear" w:color="000000" w:fill="E7E6E6"/>
            <w:tcMar>
              <w:right w:w="28" w:type="dxa"/>
            </w:tcMar>
            <w:vAlign w:val="bottom"/>
            <w:hideMark/>
          </w:tcPr>
          <w:p w14:paraId="193AC011" w14:textId="77777777" w:rsidR="00D722E8" w:rsidRPr="00624B2A" w:rsidRDefault="00D722E8" w:rsidP="00D722E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Asse IV</w:t>
            </w:r>
          </w:p>
        </w:tc>
        <w:tc>
          <w:tcPr>
            <w:tcW w:w="850" w:type="dxa"/>
            <w:tcBorders>
              <w:top w:val="nil"/>
              <w:left w:val="nil"/>
              <w:bottom w:val="single" w:sz="4" w:space="0" w:color="305496"/>
              <w:right w:val="nil"/>
            </w:tcBorders>
            <w:shd w:val="clear" w:color="000000" w:fill="E7E6E6"/>
            <w:tcMar>
              <w:right w:w="28" w:type="dxa"/>
            </w:tcMar>
            <w:vAlign w:val="bottom"/>
            <w:hideMark/>
          </w:tcPr>
          <w:p w14:paraId="7DE6FE4D" w14:textId="77777777" w:rsidR="00D722E8" w:rsidRPr="00624B2A" w:rsidRDefault="00D722E8" w:rsidP="00D722E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552" w:type="dxa"/>
            <w:tcBorders>
              <w:top w:val="nil"/>
              <w:left w:val="nil"/>
              <w:bottom w:val="single" w:sz="4" w:space="0" w:color="305496"/>
              <w:right w:val="nil"/>
            </w:tcBorders>
            <w:shd w:val="clear" w:color="000000" w:fill="E7E6E6"/>
            <w:tcMar>
              <w:right w:w="28" w:type="dxa"/>
            </w:tcMar>
            <w:vAlign w:val="bottom"/>
            <w:hideMark/>
          </w:tcPr>
          <w:p w14:paraId="21B6BDAB" w14:textId="77777777" w:rsidR="00D722E8" w:rsidRPr="00624B2A" w:rsidRDefault="00D722E8" w:rsidP="00D722E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708" w:type="dxa"/>
            <w:tcBorders>
              <w:top w:val="nil"/>
              <w:left w:val="nil"/>
              <w:bottom w:val="single" w:sz="4" w:space="0" w:color="305496"/>
              <w:right w:val="nil"/>
            </w:tcBorders>
            <w:shd w:val="clear" w:color="000000" w:fill="E7E6E6"/>
            <w:tcMar>
              <w:right w:w="28" w:type="dxa"/>
            </w:tcMar>
            <w:vAlign w:val="bottom"/>
            <w:hideMark/>
          </w:tcPr>
          <w:p w14:paraId="7A971FF6" w14:textId="77777777" w:rsidR="00D722E8" w:rsidRPr="00624B2A" w:rsidRDefault="00D722E8" w:rsidP="00D722E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567" w:type="dxa"/>
            <w:tcBorders>
              <w:top w:val="nil"/>
              <w:left w:val="nil"/>
              <w:bottom w:val="single" w:sz="4" w:space="0" w:color="305496"/>
              <w:right w:val="nil"/>
            </w:tcBorders>
            <w:shd w:val="clear" w:color="000000" w:fill="E7E6E6"/>
            <w:tcMar>
              <w:right w:w="28" w:type="dxa"/>
            </w:tcMar>
            <w:vAlign w:val="bottom"/>
            <w:hideMark/>
          </w:tcPr>
          <w:p w14:paraId="12B20E37" w14:textId="77777777" w:rsidR="00D722E8" w:rsidRPr="00624B2A" w:rsidRDefault="00D722E8" w:rsidP="00D722E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567" w:type="dxa"/>
            <w:tcBorders>
              <w:top w:val="nil"/>
              <w:left w:val="nil"/>
              <w:bottom w:val="single" w:sz="4" w:space="0" w:color="305496"/>
              <w:right w:val="nil"/>
            </w:tcBorders>
            <w:shd w:val="clear" w:color="000000" w:fill="E7E6E6"/>
            <w:tcMar>
              <w:right w:w="28" w:type="dxa"/>
            </w:tcMar>
            <w:vAlign w:val="bottom"/>
            <w:hideMark/>
          </w:tcPr>
          <w:p w14:paraId="53D8128B" w14:textId="77777777" w:rsidR="00D722E8" w:rsidRPr="00624B2A" w:rsidRDefault="00D722E8" w:rsidP="00D722E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851" w:type="dxa"/>
            <w:tcBorders>
              <w:top w:val="nil"/>
              <w:left w:val="nil"/>
              <w:bottom w:val="single" w:sz="4" w:space="0" w:color="305496"/>
              <w:right w:val="nil"/>
            </w:tcBorders>
            <w:shd w:val="clear" w:color="000000" w:fill="E7E6E6"/>
            <w:tcMar>
              <w:right w:w="28" w:type="dxa"/>
            </w:tcMar>
            <w:vAlign w:val="bottom"/>
            <w:hideMark/>
          </w:tcPr>
          <w:p w14:paraId="234C520A" w14:textId="77777777" w:rsidR="00D722E8" w:rsidRPr="00624B2A" w:rsidRDefault="00D722E8" w:rsidP="00D722E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597" w:type="dxa"/>
            <w:tcBorders>
              <w:top w:val="nil"/>
              <w:left w:val="nil"/>
              <w:bottom w:val="single" w:sz="4" w:space="0" w:color="305496"/>
              <w:right w:val="nil"/>
            </w:tcBorders>
            <w:shd w:val="clear" w:color="000000" w:fill="E7E6E6"/>
            <w:tcMar>
              <w:right w:w="28" w:type="dxa"/>
            </w:tcMar>
            <w:vAlign w:val="bottom"/>
            <w:hideMark/>
          </w:tcPr>
          <w:p w14:paraId="41F4008E" w14:textId="77777777" w:rsidR="00D722E8" w:rsidRPr="00624B2A" w:rsidRDefault="00D722E8" w:rsidP="00D722E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679" w:type="dxa"/>
            <w:tcBorders>
              <w:top w:val="nil"/>
              <w:left w:val="nil"/>
              <w:bottom w:val="single" w:sz="4" w:space="0" w:color="305496"/>
              <w:right w:val="nil"/>
            </w:tcBorders>
            <w:shd w:val="clear" w:color="000000" w:fill="E7E6E6"/>
            <w:tcMar>
              <w:right w:w="28" w:type="dxa"/>
            </w:tcMar>
            <w:vAlign w:val="bottom"/>
            <w:hideMark/>
          </w:tcPr>
          <w:p w14:paraId="48C626E5" w14:textId="77777777" w:rsidR="00D722E8" w:rsidRPr="00624B2A" w:rsidRDefault="00D722E8" w:rsidP="00D722E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581" w:type="dxa"/>
            <w:tcBorders>
              <w:top w:val="nil"/>
              <w:left w:val="nil"/>
              <w:bottom w:val="single" w:sz="4" w:space="0" w:color="305496"/>
              <w:right w:val="nil"/>
            </w:tcBorders>
            <w:shd w:val="clear" w:color="000000" w:fill="E7E6E6"/>
            <w:tcMar>
              <w:right w:w="28" w:type="dxa"/>
            </w:tcMar>
            <w:vAlign w:val="bottom"/>
            <w:hideMark/>
          </w:tcPr>
          <w:p w14:paraId="74CEFAD3" w14:textId="77777777" w:rsidR="00D722E8" w:rsidRPr="00624B2A" w:rsidRDefault="00D722E8" w:rsidP="00D722E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630" w:type="dxa"/>
            <w:tcBorders>
              <w:top w:val="nil"/>
              <w:left w:val="nil"/>
              <w:bottom w:val="single" w:sz="4" w:space="0" w:color="305496"/>
              <w:right w:val="nil"/>
            </w:tcBorders>
            <w:shd w:val="clear" w:color="000000" w:fill="E7E6E6"/>
            <w:tcMar>
              <w:right w:w="28" w:type="dxa"/>
            </w:tcMar>
            <w:vAlign w:val="bottom"/>
            <w:hideMark/>
          </w:tcPr>
          <w:p w14:paraId="43797679" w14:textId="77777777" w:rsidR="00D722E8" w:rsidRPr="00624B2A" w:rsidRDefault="00D722E8" w:rsidP="00D722E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630" w:type="dxa"/>
            <w:tcBorders>
              <w:top w:val="nil"/>
              <w:left w:val="nil"/>
              <w:bottom w:val="single" w:sz="4" w:space="0" w:color="305496"/>
              <w:right w:val="nil"/>
            </w:tcBorders>
            <w:shd w:val="clear" w:color="000000" w:fill="E7E6E6"/>
            <w:tcMar>
              <w:right w:w="28" w:type="dxa"/>
            </w:tcMar>
            <w:vAlign w:val="bottom"/>
            <w:hideMark/>
          </w:tcPr>
          <w:p w14:paraId="25C2E9AF" w14:textId="77777777" w:rsidR="00D722E8" w:rsidRPr="00624B2A" w:rsidRDefault="00D722E8" w:rsidP="00D722E8">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r>
      <w:tr w:rsidR="00DF11B7" w:rsidRPr="00D722E8" w14:paraId="7DE05FA9" w14:textId="77777777" w:rsidTr="009F64DC">
        <w:trPr>
          <w:trHeight w:val="300"/>
        </w:trPr>
        <w:tc>
          <w:tcPr>
            <w:tcW w:w="426" w:type="dxa"/>
            <w:tcBorders>
              <w:top w:val="nil"/>
              <w:left w:val="nil"/>
              <w:bottom w:val="nil"/>
              <w:right w:val="nil"/>
            </w:tcBorders>
            <w:shd w:val="clear" w:color="000000" w:fill="FFFFFF"/>
            <w:noWrap/>
            <w:tcMar>
              <w:right w:w="28" w:type="dxa"/>
            </w:tcMar>
            <w:vAlign w:val="bottom"/>
            <w:hideMark/>
          </w:tcPr>
          <w:p w14:paraId="2420DADE" w14:textId="77777777" w:rsidR="00D722E8" w:rsidRPr="00624B2A" w:rsidRDefault="00D722E8" w:rsidP="00D722E8">
            <w:pPr>
              <w:jc w:val="left"/>
              <w:rPr>
                <w:rFonts w:eastAsia="Times New Roman" w:cs="Calibri"/>
                <w:color w:val="000000"/>
                <w:sz w:val="16"/>
                <w:szCs w:val="16"/>
                <w:lang w:eastAsia="it-IT"/>
              </w:rPr>
            </w:pPr>
            <w:r w:rsidRPr="00624B2A">
              <w:rPr>
                <w:rFonts w:eastAsia="Times New Roman" w:cs="Calibri"/>
                <w:color w:val="000000"/>
                <w:sz w:val="16"/>
                <w:szCs w:val="16"/>
                <w:lang w:eastAsia="it-IT"/>
              </w:rPr>
              <w:t>11i</w:t>
            </w:r>
          </w:p>
        </w:tc>
        <w:tc>
          <w:tcPr>
            <w:tcW w:w="850" w:type="dxa"/>
            <w:tcBorders>
              <w:top w:val="nil"/>
              <w:left w:val="nil"/>
              <w:bottom w:val="nil"/>
              <w:right w:val="nil"/>
            </w:tcBorders>
            <w:shd w:val="clear" w:color="000000" w:fill="FFFFFF"/>
            <w:noWrap/>
            <w:tcMar>
              <w:right w:w="28" w:type="dxa"/>
            </w:tcMar>
            <w:vAlign w:val="bottom"/>
            <w:hideMark/>
          </w:tcPr>
          <w:p w14:paraId="1B794793" w14:textId="77777777" w:rsidR="00D722E8" w:rsidRPr="00624B2A" w:rsidRDefault="00D722E8" w:rsidP="00D722E8">
            <w:pPr>
              <w:jc w:val="left"/>
              <w:rPr>
                <w:rFonts w:eastAsia="Times New Roman" w:cs="Calibri"/>
                <w:color w:val="000000"/>
                <w:sz w:val="16"/>
                <w:szCs w:val="16"/>
                <w:lang w:eastAsia="it-IT"/>
              </w:rPr>
            </w:pPr>
            <w:r w:rsidRPr="00624B2A">
              <w:rPr>
                <w:rFonts w:eastAsia="Times New Roman" w:cs="Calibri"/>
                <w:color w:val="000000"/>
                <w:sz w:val="16"/>
                <w:szCs w:val="16"/>
                <w:lang w:eastAsia="it-IT"/>
              </w:rPr>
              <w:t>CO22</w:t>
            </w:r>
          </w:p>
        </w:tc>
        <w:tc>
          <w:tcPr>
            <w:tcW w:w="2552" w:type="dxa"/>
            <w:tcBorders>
              <w:top w:val="nil"/>
              <w:left w:val="nil"/>
              <w:bottom w:val="nil"/>
              <w:right w:val="nil"/>
            </w:tcBorders>
            <w:shd w:val="clear" w:color="000000" w:fill="FFFFFF"/>
            <w:noWrap/>
            <w:tcMar>
              <w:right w:w="28" w:type="dxa"/>
            </w:tcMar>
            <w:vAlign w:val="bottom"/>
            <w:hideMark/>
          </w:tcPr>
          <w:p w14:paraId="16BB8C7A" w14:textId="77777777" w:rsidR="00D722E8" w:rsidRPr="00624B2A" w:rsidRDefault="00D722E8" w:rsidP="00D722E8">
            <w:pPr>
              <w:jc w:val="left"/>
              <w:rPr>
                <w:rFonts w:eastAsia="Times New Roman" w:cs="Calibri"/>
                <w:color w:val="000000"/>
                <w:sz w:val="16"/>
                <w:szCs w:val="16"/>
                <w:lang w:eastAsia="it-IT"/>
              </w:rPr>
            </w:pPr>
            <w:r w:rsidRPr="00624B2A">
              <w:rPr>
                <w:rFonts w:eastAsia="Times New Roman" w:cs="Calibri"/>
                <w:color w:val="000000"/>
                <w:sz w:val="16"/>
                <w:szCs w:val="16"/>
                <w:lang w:eastAsia="it-IT"/>
              </w:rPr>
              <w:t>Numero di Pubbliche Amministrazioni coinvolte per il miglioramento della capacità amministrativa</w:t>
            </w:r>
          </w:p>
        </w:tc>
        <w:tc>
          <w:tcPr>
            <w:tcW w:w="708" w:type="dxa"/>
            <w:tcBorders>
              <w:top w:val="nil"/>
              <w:left w:val="nil"/>
              <w:bottom w:val="nil"/>
              <w:right w:val="nil"/>
            </w:tcBorders>
            <w:shd w:val="clear" w:color="000000" w:fill="FFFFFF"/>
            <w:noWrap/>
            <w:tcMar>
              <w:right w:w="28" w:type="dxa"/>
            </w:tcMar>
            <w:vAlign w:val="bottom"/>
            <w:hideMark/>
          </w:tcPr>
          <w:p w14:paraId="3408CF08" w14:textId="77777777" w:rsidR="00D722E8" w:rsidRPr="00624B2A" w:rsidRDefault="00D722E8" w:rsidP="00D722E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1.240</w:t>
            </w:r>
          </w:p>
        </w:tc>
        <w:tc>
          <w:tcPr>
            <w:tcW w:w="567" w:type="dxa"/>
            <w:tcBorders>
              <w:top w:val="nil"/>
              <w:left w:val="nil"/>
              <w:bottom w:val="nil"/>
              <w:right w:val="nil"/>
            </w:tcBorders>
            <w:shd w:val="clear" w:color="000000" w:fill="FFFFFF"/>
            <w:noWrap/>
            <w:tcMar>
              <w:right w:w="28" w:type="dxa"/>
            </w:tcMar>
            <w:vAlign w:val="bottom"/>
            <w:hideMark/>
          </w:tcPr>
          <w:p w14:paraId="50FB2DE9" w14:textId="77777777" w:rsidR="00D722E8" w:rsidRPr="00624B2A" w:rsidRDefault="00D722E8" w:rsidP="00624B2A">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r w:rsidR="00181D0D">
              <w:rPr>
                <w:rFonts w:eastAsia="Times New Roman" w:cs="Calibri"/>
                <w:color w:val="000000"/>
                <w:sz w:val="16"/>
                <w:szCs w:val="16"/>
                <w:lang w:eastAsia="it-IT"/>
              </w:rPr>
              <w:t>-</w:t>
            </w:r>
          </w:p>
        </w:tc>
        <w:tc>
          <w:tcPr>
            <w:tcW w:w="567" w:type="dxa"/>
            <w:tcBorders>
              <w:top w:val="nil"/>
              <w:left w:val="nil"/>
              <w:bottom w:val="nil"/>
              <w:right w:val="nil"/>
            </w:tcBorders>
            <w:shd w:val="clear" w:color="000000" w:fill="FFFFFF"/>
            <w:noWrap/>
            <w:tcMar>
              <w:right w:w="28" w:type="dxa"/>
            </w:tcMar>
            <w:vAlign w:val="bottom"/>
            <w:hideMark/>
          </w:tcPr>
          <w:p w14:paraId="4F1D32D6" w14:textId="77777777" w:rsidR="00D722E8" w:rsidRPr="00624B2A" w:rsidRDefault="00181D0D" w:rsidP="00624B2A">
            <w:pPr>
              <w:jc w:val="right"/>
              <w:rPr>
                <w:rFonts w:eastAsia="Times New Roman" w:cs="Calibri"/>
                <w:color w:val="000000"/>
                <w:sz w:val="16"/>
                <w:szCs w:val="16"/>
                <w:lang w:eastAsia="it-IT"/>
              </w:rPr>
            </w:pPr>
            <w:r>
              <w:rPr>
                <w:rFonts w:eastAsia="Times New Roman" w:cs="Calibri"/>
                <w:color w:val="000000"/>
                <w:sz w:val="16"/>
                <w:szCs w:val="16"/>
                <w:lang w:eastAsia="it-IT"/>
              </w:rPr>
              <w:t>-</w:t>
            </w:r>
          </w:p>
        </w:tc>
        <w:tc>
          <w:tcPr>
            <w:tcW w:w="851" w:type="dxa"/>
            <w:tcBorders>
              <w:top w:val="nil"/>
              <w:left w:val="nil"/>
              <w:bottom w:val="nil"/>
              <w:right w:val="nil"/>
            </w:tcBorders>
            <w:shd w:val="clear" w:color="000000" w:fill="FFFFFF"/>
            <w:noWrap/>
            <w:tcMar>
              <w:right w:w="28" w:type="dxa"/>
            </w:tcMar>
            <w:vAlign w:val="bottom"/>
            <w:hideMark/>
          </w:tcPr>
          <w:p w14:paraId="2E342ADD" w14:textId="77777777" w:rsidR="00D722E8" w:rsidRPr="00624B2A" w:rsidRDefault="00D722E8" w:rsidP="002B2D4D">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1.033</w:t>
            </w:r>
          </w:p>
        </w:tc>
        <w:tc>
          <w:tcPr>
            <w:tcW w:w="597" w:type="dxa"/>
            <w:tcBorders>
              <w:top w:val="nil"/>
              <w:left w:val="nil"/>
              <w:bottom w:val="nil"/>
              <w:right w:val="nil"/>
            </w:tcBorders>
            <w:shd w:val="clear" w:color="000000" w:fill="FFFFFF"/>
            <w:noWrap/>
            <w:tcMar>
              <w:right w:w="28" w:type="dxa"/>
            </w:tcMar>
            <w:vAlign w:val="bottom"/>
            <w:hideMark/>
          </w:tcPr>
          <w:p w14:paraId="225D2213" w14:textId="77777777" w:rsidR="00D722E8" w:rsidRPr="00624B2A" w:rsidRDefault="00D722E8" w:rsidP="00624B2A">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r w:rsidR="00181D0D">
              <w:rPr>
                <w:rFonts w:eastAsia="Times New Roman" w:cs="Calibri"/>
                <w:color w:val="000000"/>
                <w:sz w:val="16"/>
                <w:szCs w:val="16"/>
                <w:lang w:eastAsia="it-IT"/>
              </w:rPr>
              <w:t>-</w:t>
            </w:r>
          </w:p>
        </w:tc>
        <w:tc>
          <w:tcPr>
            <w:tcW w:w="679" w:type="dxa"/>
            <w:tcBorders>
              <w:top w:val="nil"/>
              <w:left w:val="nil"/>
              <w:bottom w:val="nil"/>
              <w:right w:val="nil"/>
            </w:tcBorders>
            <w:shd w:val="clear" w:color="000000" w:fill="FFFFFF"/>
            <w:noWrap/>
            <w:tcMar>
              <w:right w:w="28" w:type="dxa"/>
            </w:tcMar>
            <w:vAlign w:val="bottom"/>
            <w:hideMark/>
          </w:tcPr>
          <w:p w14:paraId="69F0F8CF" w14:textId="77777777" w:rsidR="00D722E8" w:rsidRPr="00624B2A" w:rsidRDefault="00D722E8" w:rsidP="00624B2A">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r w:rsidR="00181D0D">
              <w:rPr>
                <w:rFonts w:eastAsia="Times New Roman" w:cs="Calibri"/>
                <w:color w:val="000000"/>
                <w:sz w:val="16"/>
                <w:szCs w:val="16"/>
                <w:lang w:eastAsia="it-IT"/>
              </w:rPr>
              <w:t>-</w:t>
            </w:r>
          </w:p>
        </w:tc>
        <w:tc>
          <w:tcPr>
            <w:tcW w:w="581" w:type="dxa"/>
            <w:tcBorders>
              <w:top w:val="nil"/>
              <w:left w:val="nil"/>
              <w:bottom w:val="nil"/>
              <w:right w:val="nil"/>
            </w:tcBorders>
            <w:shd w:val="clear" w:color="000000" w:fill="FFFFFF"/>
            <w:noWrap/>
            <w:tcMar>
              <w:right w:w="28" w:type="dxa"/>
            </w:tcMar>
            <w:vAlign w:val="bottom"/>
            <w:hideMark/>
          </w:tcPr>
          <w:p w14:paraId="5C860918" w14:textId="77777777" w:rsidR="00D722E8" w:rsidRPr="00624B2A" w:rsidRDefault="00D722E8" w:rsidP="002B2D4D">
            <w:pPr>
              <w:jc w:val="right"/>
              <w:rPr>
                <w:rFonts w:eastAsia="Times New Roman" w:cs="Calibri"/>
                <w:color w:val="000000"/>
                <w:sz w:val="16"/>
                <w:szCs w:val="16"/>
                <w:lang w:eastAsia="it-IT"/>
              </w:rPr>
            </w:pPr>
            <w:r w:rsidRPr="00624B2A">
              <w:rPr>
                <w:rFonts w:eastAsia="Times New Roman" w:cs="Calibri"/>
                <w:color w:val="000000"/>
                <w:sz w:val="16"/>
                <w:szCs w:val="16"/>
                <w:lang w:eastAsia="it-IT"/>
              </w:rPr>
              <w:t>83%</w:t>
            </w:r>
          </w:p>
        </w:tc>
        <w:tc>
          <w:tcPr>
            <w:tcW w:w="630" w:type="dxa"/>
            <w:tcBorders>
              <w:top w:val="nil"/>
              <w:left w:val="nil"/>
              <w:bottom w:val="nil"/>
              <w:right w:val="nil"/>
            </w:tcBorders>
            <w:shd w:val="clear" w:color="000000" w:fill="FFFFFF"/>
            <w:noWrap/>
            <w:tcMar>
              <w:right w:w="28" w:type="dxa"/>
            </w:tcMar>
            <w:vAlign w:val="bottom"/>
            <w:hideMark/>
          </w:tcPr>
          <w:p w14:paraId="1D17CD24" w14:textId="77777777" w:rsidR="00D722E8" w:rsidRPr="00624B2A" w:rsidRDefault="00D722E8" w:rsidP="00624B2A">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r w:rsidR="00181D0D">
              <w:rPr>
                <w:rFonts w:eastAsia="Times New Roman" w:cs="Calibri"/>
                <w:color w:val="000000"/>
                <w:sz w:val="16"/>
                <w:szCs w:val="16"/>
                <w:lang w:eastAsia="it-IT"/>
              </w:rPr>
              <w:t>-</w:t>
            </w:r>
          </w:p>
        </w:tc>
        <w:tc>
          <w:tcPr>
            <w:tcW w:w="630" w:type="dxa"/>
            <w:tcBorders>
              <w:top w:val="nil"/>
              <w:left w:val="nil"/>
              <w:bottom w:val="nil"/>
              <w:right w:val="nil"/>
            </w:tcBorders>
            <w:shd w:val="clear" w:color="000000" w:fill="FFFFFF"/>
            <w:noWrap/>
            <w:tcMar>
              <w:right w:w="28" w:type="dxa"/>
            </w:tcMar>
            <w:vAlign w:val="bottom"/>
            <w:hideMark/>
          </w:tcPr>
          <w:p w14:paraId="35259560" w14:textId="77777777" w:rsidR="00D722E8" w:rsidRPr="00624B2A" w:rsidRDefault="00D722E8" w:rsidP="00624B2A">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r w:rsidR="00181D0D">
              <w:rPr>
                <w:rFonts w:eastAsia="Times New Roman" w:cs="Calibri"/>
                <w:color w:val="000000"/>
                <w:sz w:val="16"/>
                <w:szCs w:val="16"/>
                <w:lang w:eastAsia="it-IT"/>
              </w:rPr>
              <w:t>-</w:t>
            </w:r>
          </w:p>
        </w:tc>
      </w:tr>
      <w:tr w:rsidR="00DF11B7" w:rsidRPr="00D722E8" w14:paraId="497AE49F" w14:textId="77777777" w:rsidTr="009F64DC">
        <w:trPr>
          <w:trHeight w:val="300"/>
        </w:trPr>
        <w:tc>
          <w:tcPr>
            <w:tcW w:w="426" w:type="dxa"/>
            <w:tcBorders>
              <w:top w:val="nil"/>
              <w:left w:val="nil"/>
              <w:bottom w:val="nil"/>
              <w:right w:val="nil"/>
            </w:tcBorders>
            <w:shd w:val="clear" w:color="000000" w:fill="FFFFFF"/>
            <w:noWrap/>
            <w:tcMar>
              <w:right w:w="28" w:type="dxa"/>
            </w:tcMar>
            <w:vAlign w:val="bottom"/>
            <w:hideMark/>
          </w:tcPr>
          <w:p w14:paraId="23C2C3CB" w14:textId="77777777" w:rsidR="00D722E8" w:rsidRPr="00624B2A" w:rsidRDefault="00D722E8" w:rsidP="00D722E8">
            <w:pPr>
              <w:jc w:val="left"/>
              <w:rPr>
                <w:rFonts w:eastAsia="Times New Roman" w:cs="Calibri"/>
                <w:color w:val="000000"/>
                <w:sz w:val="16"/>
                <w:szCs w:val="16"/>
                <w:lang w:eastAsia="it-IT"/>
              </w:rPr>
            </w:pPr>
            <w:r w:rsidRPr="00624B2A">
              <w:rPr>
                <w:rFonts w:eastAsia="Times New Roman" w:cs="Calibri"/>
                <w:color w:val="000000"/>
                <w:sz w:val="16"/>
                <w:szCs w:val="16"/>
                <w:lang w:eastAsia="it-IT"/>
              </w:rPr>
              <w:t>11i</w:t>
            </w:r>
          </w:p>
        </w:tc>
        <w:tc>
          <w:tcPr>
            <w:tcW w:w="850" w:type="dxa"/>
            <w:tcBorders>
              <w:top w:val="nil"/>
              <w:left w:val="nil"/>
              <w:bottom w:val="nil"/>
              <w:right w:val="nil"/>
            </w:tcBorders>
            <w:shd w:val="clear" w:color="000000" w:fill="FFFFFF"/>
            <w:noWrap/>
            <w:tcMar>
              <w:right w:w="28" w:type="dxa"/>
            </w:tcMar>
            <w:vAlign w:val="bottom"/>
            <w:hideMark/>
          </w:tcPr>
          <w:p w14:paraId="01DDFDB8" w14:textId="77777777" w:rsidR="00D722E8" w:rsidRPr="00624B2A" w:rsidRDefault="00D722E8" w:rsidP="00D722E8">
            <w:pPr>
              <w:jc w:val="left"/>
              <w:rPr>
                <w:rFonts w:eastAsia="Times New Roman" w:cs="Calibri"/>
                <w:color w:val="000000"/>
                <w:sz w:val="16"/>
                <w:szCs w:val="16"/>
                <w:lang w:eastAsia="it-IT"/>
              </w:rPr>
            </w:pPr>
            <w:r w:rsidRPr="00624B2A">
              <w:rPr>
                <w:rFonts w:eastAsia="Times New Roman" w:cs="Calibri"/>
                <w:color w:val="000000"/>
                <w:sz w:val="16"/>
                <w:szCs w:val="16"/>
                <w:lang w:eastAsia="it-IT"/>
              </w:rPr>
              <w:t>d2.1</w:t>
            </w:r>
          </w:p>
        </w:tc>
        <w:tc>
          <w:tcPr>
            <w:tcW w:w="2552" w:type="dxa"/>
            <w:tcBorders>
              <w:top w:val="nil"/>
              <w:left w:val="nil"/>
              <w:bottom w:val="nil"/>
              <w:right w:val="nil"/>
            </w:tcBorders>
            <w:shd w:val="clear" w:color="000000" w:fill="FFFFFF"/>
            <w:noWrap/>
            <w:tcMar>
              <w:right w:w="28" w:type="dxa"/>
            </w:tcMar>
            <w:vAlign w:val="bottom"/>
            <w:hideMark/>
          </w:tcPr>
          <w:p w14:paraId="3C5B2D72" w14:textId="77777777" w:rsidR="00D722E8" w:rsidRPr="00624B2A" w:rsidRDefault="00D722E8" w:rsidP="00D722E8">
            <w:pPr>
              <w:jc w:val="left"/>
              <w:rPr>
                <w:rFonts w:eastAsia="Times New Roman" w:cs="Calibri"/>
                <w:color w:val="000000"/>
                <w:sz w:val="16"/>
                <w:szCs w:val="16"/>
                <w:lang w:eastAsia="it-IT"/>
              </w:rPr>
            </w:pPr>
            <w:r w:rsidRPr="00624B2A">
              <w:rPr>
                <w:rFonts w:eastAsia="Times New Roman" w:cs="Calibri"/>
                <w:color w:val="000000"/>
                <w:sz w:val="16"/>
                <w:szCs w:val="16"/>
                <w:lang w:eastAsia="it-IT"/>
              </w:rPr>
              <w:t>Numero di amministrazioni che ricevono supporto per migliorare l'utilizzo di strumenti IT per l'interoperabilità delle banche dati in materia ambientale</w:t>
            </w:r>
          </w:p>
        </w:tc>
        <w:tc>
          <w:tcPr>
            <w:tcW w:w="708" w:type="dxa"/>
            <w:tcBorders>
              <w:top w:val="nil"/>
              <w:left w:val="nil"/>
              <w:bottom w:val="nil"/>
              <w:right w:val="nil"/>
            </w:tcBorders>
            <w:shd w:val="clear" w:color="000000" w:fill="FFFFFF"/>
            <w:noWrap/>
            <w:tcMar>
              <w:right w:w="28" w:type="dxa"/>
            </w:tcMar>
            <w:vAlign w:val="bottom"/>
            <w:hideMark/>
          </w:tcPr>
          <w:p w14:paraId="10EB51B3" w14:textId="77777777" w:rsidR="00D722E8" w:rsidRPr="00624B2A" w:rsidRDefault="00D722E8" w:rsidP="00D722E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200</w:t>
            </w:r>
          </w:p>
        </w:tc>
        <w:tc>
          <w:tcPr>
            <w:tcW w:w="567" w:type="dxa"/>
            <w:tcBorders>
              <w:top w:val="nil"/>
              <w:left w:val="nil"/>
              <w:bottom w:val="nil"/>
              <w:right w:val="nil"/>
            </w:tcBorders>
            <w:shd w:val="clear" w:color="000000" w:fill="FFFFFF"/>
            <w:noWrap/>
            <w:tcMar>
              <w:right w:w="28" w:type="dxa"/>
            </w:tcMar>
            <w:vAlign w:val="bottom"/>
            <w:hideMark/>
          </w:tcPr>
          <w:p w14:paraId="2EA9FDFF" w14:textId="77777777" w:rsidR="00D722E8" w:rsidRPr="00624B2A" w:rsidRDefault="00D722E8" w:rsidP="00624B2A">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r w:rsidR="00181D0D">
              <w:rPr>
                <w:rFonts w:eastAsia="Times New Roman" w:cs="Calibri"/>
                <w:color w:val="000000"/>
                <w:sz w:val="16"/>
                <w:szCs w:val="16"/>
                <w:lang w:eastAsia="it-IT"/>
              </w:rPr>
              <w:t>-</w:t>
            </w:r>
          </w:p>
        </w:tc>
        <w:tc>
          <w:tcPr>
            <w:tcW w:w="567" w:type="dxa"/>
            <w:tcBorders>
              <w:top w:val="nil"/>
              <w:left w:val="nil"/>
              <w:bottom w:val="nil"/>
              <w:right w:val="nil"/>
            </w:tcBorders>
            <w:shd w:val="clear" w:color="000000" w:fill="FFFFFF"/>
            <w:noWrap/>
            <w:tcMar>
              <w:right w:w="28" w:type="dxa"/>
            </w:tcMar>
            <w:vAlign w:val="bottom"/>
            <w:hideMark/>
          </w:tcPr>
          <w:p w14:paraId="4A81DB6E" w14:textId="77777777" w:rsidR="00D722E8" w:rsidRPr="00624B2A" w:rsidRDefault="00D722E8" w:rsidP="00624B2A">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r w:rsidR="00181D0D">
              <w:rPr>
                <w:rFonts w:eastAsia="Times New Roman" w:cs="Calibri"/>
                <w:color w:val="000000"/>
                <w:sz w:val="16"/>
                <w:szCs w:val="16"/>
                <w:lang w:eastAsia="it-IT"/>
              </w:rPr>
              <w:t>-</w:t>
            </w:r>
          </w:p>
        </w:tc>
        <w:tc>
          <w:tcPr>
            <w:tcW w:w="851" w:type="dxa"/>
            <w:tcBorders>
              <w:top w:val="nil"/>
              <w:left w:val="nil"/>
              <w:bottom w:val="nil"/>
              <w:right w:val="nil"/>
            </w:tcBorders>
            <w:shd w:val="clear" w:color="000000" w:fill="FFFFFF"/>
            <w:noWrap/>
            <w:tcMar>
              <w:right w:w="28" w:type="dxa"/>
            </w:tcMar>
            <w:vAlign w:val="bottom"/>
            <w:hideMark/>
          </w:tcPr>
          <w:p w14:paraId="72CBE2D9" w14:textId="77777777" w:rsidR="00D722E8" w:rsidRPr="00624B2A" w:rsidRDefault="00D722E8" w:rsidP="002B2D4D">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382</w:t>
            </w:r>
          </w:p>
        </w:tc>
        <w:tc>
          <w:tcPr>
            <w:tcW w:w="597" w:type="dxa"/>
            <w:tcBorders>
              <w:top w:val="nil"/>
              <w:left w:val="nil"/>
              <w:bottom w:val="nil"/>
              <w:right w:val="nil"/>
            </w:tcBorders>
            <w:shd w:val="clear" w:color="000000" w:fill="FFFFFF"/>
            <w:noWrap/>
            <w:tcMar>
              <w:right w:w="28" w:type="dxa"/>
            </w:tcMar>
            <w:vAlign w:val="bottom"/>
            <w:hideMark/>
          </w:tcPr>
          <w:p w14:paraId="12CAA183" w14:textId="77777777" w:rsidR="00D722E8" w:rsidRPr="00624B2A" w:rsidRDefault="00D722E8" w:rsidP="00624B2A">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r w:rsidR="00181D0D">
              <w:rPr>
                <w:rFonts w:eastAsia="Times New Roman" w:cs="Calibri"/>
                <w:color w:val="000000"/>
                <w:sz w:val="16"/>
                <w:szCs w:val="16"/>
                <w:lang w:eastAsia="it-IT"/>
              </w:rPr>
              <w:t>-</w:t>
            </w:r>
          </w:p>
        </w:tc>
        <w:tc>
          <w:tcPr>
            <w:tcW w:w="679" w:type="dxa"/>
            <w:tcBorders>
              <w:top w:val="nil"/>
              <w:left w:val="nil"/>
              <w:bottom w:val="nil"/>
              <w:right w:val="nil"/>
            </w:tcBorders>
            <w:shd w:val="clear" w:color="000000" w:fill="FFFFFF"/>
            <w:noWrap/>
            <w:tcMar>
              <w:right w:w="28" w:type="dxa"/>
            </w:tcMar>
            <w:vAlign w:val="bottom"/>
            <w:hideMark/>
          </w:tcPr>
          <w:p w14:paraId="02A2C9AD" w14:textId="77777777" w:rsidR="00D722E8" w:rsidRPr="00624B2A" w:rsidRDefault="00D722E8" w:rsidP="00624B2A">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r w:rsidR="00181D0D">
              <w:rPr>
                <w:rFonts w:eastAsia="Times New Roman" w:cs="Calibri"/>
                <w:color w:val="000000"/>
                <w:sz w:val="16"/>
                <w:szCs w:val="16"/>
                <w:lang w:eastAsia="it-IT"/>
              </w:rPr>
              <w:t>-</w:t>
            </w:r>
          </w:p>
        </w:tc>
        <w:tc>
          <w:tcPr>
            <w:tcW w:w="581" w:type="dxa"/>
            <w:tcBorders>
              <w:top w:val="nil"/>
              <w:left w:val="nil"/>
              <w:bottom w:val="nil"/>
              <w:right w:val="nil"/>
            </w:tcBorders>
            <w:shd w:val="clear" w:color="000000" w:fill="FFFFFF"/>
            <w:noWrap/>
            <w:tcMar>
              <w:right w:w="28" w:type="dxa"/>
            </w:tcMar>
            <w:vAlign w:val="bottom"/>
            <w:hideMark/>
          </w:tcPr>
          <w:p w14:paraId="3A1FB655" w14:textId="77777777" w:rsidR="00D722E8" w:rsidRPr="00624B2A" w:rsidRDefault="00D722E8" w:rsidP="002B2D4D">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191%</w:t>
            </w:r>
          </w:p>
        </w:tc>
        <w:tc>
          <w:tcPr>
            <w:tcW w:w="630" w:type="dxa"/>
            <w:tcBorders>
              <w:top w:val="nil"/>
              <w:left w:val="nil"/>
              <w:bottom w:val="nil"/>
              <w:right w:val="nil"/>
            </w:tcBorders>
            <w:shd w:val="clear" w:color="000000" w:fill="FFFFFF"/>
            <w:noWrap/>
            <w:tcMar>
              <w:right w:w="28" w:type="dxa"/>
            </w:tcMar>
            <w:vAlign w:val="bottom"/>
            <w:hideMark/>
          </w:tcPr>
          <w:p w14:paraId="6DA2B578" w14:textId="77777777" w:rsidR="00D722E8" w:rsidRPr="00624B2A" w:rsidRDefault="00D722E8" w:rsidP="00624B2A">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r w:rsidR="00181D0D">
              <w:rPr>
                <w:rFonts w:eastAsia="Times New Roman" w:cs="Calibri"/>
                <w:color w:val="000000"/>
                <w:sz w:val="16"/>
                <w:szCs w:val="16"/>
                <w:lang w:eastAsia="it-IT"/>
              </w:rPr>
              <w:t>-</w:t>
            </w:r>
          </w:p>
        </w:tc>
        <w:tc>
          <w:tcPr>
            <w:tcW w:w="630" w:type="dxa"/>
            <w:tcBorders>
              <w:top w:val="nil"/>
              <w:left w:val="nil"/>
              <w:bottom w:val="nil"/>
              <w:right w:val="nil"/>
            </w:tcBorders>
            <w:shd w:val="clear" w:color="000000" w:fill="FFFFFF"/>
            <w:noWrap/>
            <w:tcMar>
              <w:right w:w="28" w:type="dxa"/>
            </w:tcMar>
            <w:vAlign w:val="bottom"/>
            <w:hideMark/>
          </w:tcPr>
          <w:p w14:paraId="16189E3A" w14:textId="77777777" w:rsidR="00D722E8" w:rsidRPr="00624B2A" w:rsidRDefault="00181D0D" w:rsidP="00624B2A">
            <w:pPr>
              <w:jc w:val="right"/>
              <w:rPr>
                <w:rFonts w:eastAsia="Times New Roman" w:cs="Calibri"/>
                <w:color w:val="000000"/>
                <w:sz w:val="16"/>
                <w:szCs w:val="16"/>
                <w:lang w:eastAsia="it-IT"/>
              </w:rPr>
            </w:pPr>
            <w:r>
              <w:rPr>
                <w:rFonts w:eastAsia="Times New Roman" w:cs="Calibri"/>
                <w:color w:val="000000"/>
                <w:sz w:val="16"/>
                <w:szCs w:val="16"/>
                <w:lang w:eastAsia="it-IT"/>
              </w:rPr>
              <w:t>-</w:t>
            </w:r>
            <w:r w:rsidR="00D722E8" w:rsidRPr="00624B2A">
              <w:rPr>
                <w:rFonts w:eastAsia="Times New Roman" w:cs="Calibri"/>
                <w:color w:val="000000"/>
                <w:sz w:val="16"/>
                <w:szCs w:val="16"/>
                <w:lang w:eastAsia="it-IT"/>
              </w:rPr>
              <w:t> </w:t>
            </w:r>
          </w:p>
        </w:tc>
      </w:tr>
      <w:tr w:rsidR="00DF11B7" w:rsidRPr="00D722E8" w14:paraId="74E587E1" w14:textId="77777777" w:rsidTr="009F64DC">
        <w:trPr>
          <w:trHeight w:val="300"/>
        </w:trPr>
        <w:tc>
          <w:tcPr>
            <w:tcW w:w="426" w:type="dxa"/>
            <w:tcBorders>
              <w:top w:val="nil"/>
              <w:left w:val="nil"/>
              <w:bottom w:val="nil"/>
              <w:right w:val="nil"/>
            </w:tcBorders>
            <w:shd w:val="clear" w:color="000000" w:fill="FFFFFF"/>
            <w:noWrap/>
            <w:tcMar>
              <w:right w:w="28" w:type="dxa"/>
            </w:tcMar>
            <w:vAlign w:val="bottom"/>
            <w:hideMark/>
          </w:tcPr>
          <w:p w14:paraId="0AA18188" w14:textId="77777777" w:rsidR="00D722E8" w:rsidRPr="00624B2A" w:rsidRDefault="00D722E8" w:rsidP="00D722E8">
            <w:pPr>
              <w:jc w:val="left"/>
              <w:rPr>
                <w:rFonts w:eastAsia="Times New Roman" w:cs="Calibri"/>
                <w:color w:val="000000"/>
                <w:sz w:val="16"/>
                <w:szCs w:val="16"/>
                <w:lang w:eastAsia="it-IT"/>
              </w:rPr>
            </w:pPr>
            <w:r w:rsidRPr="00624B2A">
              <w:rPr>
                <w:rFonts w:eastAsia="Times New Roman" w:cs="Calibri"/>
                <w:color w:val="000000"/>
                <w:sz w:val="16"/>
                <w:szCs w:val="16"/>
                <w:lang w:eastAsia="it-IT"/>
              </w:rPr>
              <w:t>11i</w:t>
            </w:r>
          </w:p>
        </w:tc>
        <w:tc>
          <w:tcPr>
            <w:tcW w:w="850" w:type="dxa"/>
            <w:tcBorders>
              <w:top w:val="nil"/>
              <w:left w:val="nil"/>
              <w:bottom w:val="nil"/>
              <w:right w:val="nil"/>
            </w:tcBorders>
            <w:shd w:val="clear" w:color="000000" w:fill="FFFFFF"/>
            <w:noWrap/>
            <w:tcMar>
              <w:right w:w="28" w:type="dxa"/>
            </w:tcMar>
            <w:vAlign w:val="bottom"/>
            <w:hideMark/>
          </w:tcPr>
          <w:p w14:paraId="70F2E2BE" w14:textId="77777777" w:rsidR="00D722E8" w:rsidRPr="00624B2A" w:rsidRDefault="00D722E8" w:rsidP="00D722E8">
            <w:pPr>
              <w:jc w:val="left"/>
              <w:rPr>
                <w:rFonts w:eastAsia="Times New Roman" w:cs="Calibri"/>
                <w:color w:val="000000"/>
                <w:sz w:val="16"/>
                <w:szCs w:val="16"/>
                <w:lang w:eastAsia="it-IT"/>
              </w:rPr>
            </w:pPr>
            <w:r w:rsidRPr="00624B2A">
              <w:rPr>
                <w:rFonts w:eastAsia="Times New Roman" w:cs="Calibri"/>
                <w:color w:val="000000"/>
                <w:sz w:val="16"/>
                <w:szCs w:val="16"/>
                <w:lang w:eastAsia="it-IT"/>
              </w:rPr>
              <w:t>d2.4</w:t>
            </w:r>
          </w:p>
        </w:tc>
        <w:tc>
          <w:tcPr>
            <w:tcW w:w="2552" w:type="dxa"/>
            <w:tcBorders>
              <w:top w:val="nil"/>
              <w:left w:val="nil"/>
              <w:bottom w:val="nil"/>
              <w:right w:val="nil"/>
            </w:tcBorders>
            <w:shd w:val="clear" w:color="000000" w:fill="FFFFFF"/>
            <w:noWrap/>
            <w:tcMar>
              <w:right w:w="28" w:type="dxa"/>
            </w:tcMar>
            <w:vAlign w:val="bottom"/>
            <w:hideMark/>
          </w:tcPr>
          <w:p w14:paraId="30F196E6" w14:textId="77777777" w:rsidR="00D722E8" w:rsidRPr="00624B2A" w:rsidRDefault="00D722E8" w:rsidP="00D722E8">
            <w:pPr>
              <w:jc w:val="left"/>
              <w:rPr>
                <w:rFonts w:eastAsia="Times New Roman" w:cs="Calibri"/>
                <w:color w:val="000000"/>
                <w:sz w:val="16"/>
                <w:szCs w:val="16"/>
                <w:lang w:eastAsia="it-IT"/>
              </w:rPr>
            </w:pPr>
            <w:r w:rsidRPr="00624B2A">
              <w:rPr>
                <w:rFonts w:eastAsia="Times New Roman" w:cs="Calibri"/>
                <w:color w:val="000000"/>
                <w:sz w:val="16"/>
                <w:szCs w:val="16"/>
                <w:lang w:eastAsia="it-IT"/>
              </w:rPr>
              <w:t>Numero di operatori di polizia locale partecipanti ad iniziative di training sul tema sicurezza e prevenzione anche in relazione ad Expo 2015</w:t>
            </w:r>
          </w:p>
        </w:tc>
        <w:tc>
          <w:tcPr>
            <w:tcW w:w="708" w:type="dxa"/>
            <w:tcBorders>
              <w:top w:val="nil"/>
              <w:left w:val="nil"/>
              <w:bottom w:val="nil"/>
              <w:right w:val="nil"/>
            </w:tcBorders>
            <w:shd w:val="clear" w:color="000000" w:fill="FFFFFF"/>
            <w:noWrap/>
            <w:tcMar>
              <w:right w:w="28" w:type="dxa"/>
            </w:tcMar>
            <w:vAlign w:val="bottom"/>
            <w:hideMark/>
          </w:tcPr>
          <w:p w14:paraId="3F36C368" w14:textId="77777777" w:rsidR="00D722E8" w:rsidRPr="00624B2A" w:rsidRDefault="00D722E8" w:rsidP="00D722E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3.458</w:t>
            </w:r>
          </w:p>
        </w:tc>
        <w:tc>
          <w:tcPr>
            <w:tcW w:w="567" w:type="dxa"/>
            <w:tcBorders>
              <w:top w:val="nil"/>
              <w:left w:val="nil"/>
              <w:bottom w:val="nil"/>
              <w:right w:val="nil"/>
            </w:tcBorders>
            <w:shd w:val="clear" w:color="000000" w:fill="FFFFFF"/>
            <w:noWrap/>
            <w:tcMar>
              <w:right w:w="28" w:type="dxa"/>
            </w:tcMar>
            <w:vAlign w:val="bottom"/>
            <w:hideMark/>
          </w:tcPr>
          <w:p w14:paraId="32F33C0E" w14:textId="77777777" w:rsidR="00D722E8" w:rsidRPr="00624B2A" w:rsidRDefault="00D722E8" w:rsidP="002B2D4D">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2.423</w:t>
            </w:r>
          </w:p>
        </w:tc>
        <w:tc>
          <w:tcPr>
            <w:tcW w:w="567" w:type="dxa"/>
            <w:tcBorders>
              <w:top w:val="nil"/>
              <w:left w:val="nil"/>
              <w:bottom w:val="nil"/>
              <w:right w:val="nil"/>
            </w:tcBorders>
            <w:shd w:val="clear" w:color="000000" w:fill="FFFFFF"/>
            <w:noWrap/>
            <w:tcMar>
              <w:right w:w="28" w:type="dxa"/>
            </w:tcMar>
            <w:vAlign w:val="bottom"/>
            <w:hideMark/>
          </w:tcPr>
          <w:p w14:paraId="3853C5AB" w14:textId="77777777" w:rsidR="00D722E8" w:rsidRPr="00624B2A" w:rsidRDefault="00D722E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1.035</w:t>
            </w:r>
          </w:p>
        </w:tc>
        <w:tc>
          <w:tcPr>
            <w:tcW w:w="851" w:type="dxa"/>
            <w:tcBorders>
              <w:top w:val="nil"/>
              <w:left w:val="nil"/>
              <w:bottom w:val="nil"/>
              <w:right w:val="nil"/>
            </w:tcBorders>
            <w:shd w:val="clear" w:color="000000" w:fill="FFFFFF"/>
            <w:noWrap/>
            <w:tcMar>
              <w:right w:w="28" w:type="dxa"/>
            </w:tcMar>
            <w:vAlign w:val="bottom"/>
            <w:hideMark/>
          </w:tcPr>
          <w:p w14:paraId="00D31022" w14:textId="77777777" w:rsidR="00D722E8" w:rsidRPr="00624B2A" w:rsidRDefault="00D722E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3.458</w:t>
            </w:r>
          </w:p>
        </w:tc>
        <w:tc>
          <w:tcPr>
            <w:tcW w:w="597" w:type="dxa"/>
            <w:tcBorders>
              <w:top w:val="nil"/>
              <w:left w:val="nil"/>
              <w:bottom w:val="nil"/>
              <w:right w:val="nil"/>
            </w:tcBorders>
            <w:shd w:val="clear" w:color="000000" w:fill="FFFFFF"/>
            <w:noWrap/>
            <w:tcMar>
              <w:right w:w="28" w:type="dxa"/>
            </w:tcMar>
            <w:vAlign w:val="bottom"/>
            <w:hideMark/>
          </w:tcPr>
          <w:p w14:paraId="3C1EA81E" w14:textId="77777777" w:rsidR="00D722E8" w:rsidRPr="00624B2A" w:rsidRDefault="00D722E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2.423</w:t>
            </w:r>
          </w:p>
        </w:tc>
        <w:tc>
          <w:tcPr>
            <w:tcW w:w="679" w:type="dxa"/>
            <w:tcBorders>
              <w:top w:val="nil"/>
              <w:left w:val="nil"/>
              <w:bottom w:val="nil"/>
              <w:right w:val="nil"/>
            </w:tcBorders>
            <w:shd w:val="clear" w:color="000000" w:fill="FFFFFF"/>
            <w:noWrap/>
            <w:tcMar>
              <w:right w:w="28" w:type="dxa"/>
            </w:tcMar>
            <w:vAlign w:val="bottom"/>
            <w:hideMark/>
          </w:tcPr>
          <w:p w14:paraId="7F24507A" w14:textId="77777777" w:rsidR="00D722E8" w:rsidRPr="00624B2A" w:rsidRDefault="00D722E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1.035</w:t>
            </w:r>
          </w:p>
        </w:tc>
        <w:tc>
          <w:tcPr>
            <w:tcW w:w="581" w:type="dxa"/>
            <w:tcBorders>
              <w:top w:val="nil"/>
              <w:left w:val="nil"/>
              <w:bottom w:val="nil"/>
              <w:right w:val="nil"/>
            </w:tcBorders>
            <w:shd w:val="clear" w:color="000000" w:fill="FFFFFF"/>
            <w:noWrap/>
            <w:tcMar>
              <w:right w:w="28" w:type="dxa"/>
            </w:tcMar>
            <w:vAlign w:val="bottom"/>
            <w:hideMark/>
          </w:tcPr>
          <w:p w14:paraId="2F304BDC" w14:textId="77777777" w:rsidR="00D722E8" w:rsidRPr="00624B2A" w:rsidRDefault="00D722E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100%</w:t>
            </w:r>
          </w:p>
        </w:tc>
        <w:tc>
          <w:tcPr>
            <w:tcW w:w="630" w:type="dxa"/>
            <w:tcBorders>
              <w:top w:val="nil"/>
              <w:left w:val="nil"/>
              <w:bottom w:val="nil"/>
              <w:right w:val="nil"/>
            </w:tcBorders>
            <w:shd w:val="clear" w:color="000000" w:fill="FFFFFF"/>
            <w:noWrap/>
            <w:tcMar>
              <w:right w:w="28" w:type="dxa"/>
            </w:tcMar>
            <w:vAlign w:val="bottom"/>
            <w:hideMark/>
          </w:tcPr>
          <w:p w14:paraId="6ADB145B" w14:textId="77777777" w:rsidR="00D722E8" w:rsidRPr="00624B2A" w:rsidRDefault="00D722E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100%</w:t>
            </w:r>
          </w:p>
        </w:tc>
        <w:tc>
          <w:tcPr>
            <w:tcW w:w="630" w:type="dxa"/>
            <w:tcBorders>
              <w:top w:val="nil"/>
              <w:left w:val="nil"/>
              <w:bottom w:val="nil"/>
              <w:right w:val="nil"/>
            </w:tcBorders>
            <w:shd w:val="clear" w:color="000000" w:fill="FFFFFF"/>
            <w:noWrap/>
            <w:tcMar>
              <w:right w:w="28" w:type="dxa"/>
            </w:tcMar>
            <w:vAlign w:val="bottom"/>
            <w:hideMark/>
          </w:tcPr>
          <w:p w14:paraId="71A8D44D" w14:textId="77777777" w:rsidR="00D722E8" w:rsidRPr="00624B2A" w:rsidRDefault="00D722E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100%</w:t>
            </w:r>
          </w:p>
        </w:tc>
      </w:tr>
      <w:tr w:rsidR="00DF11B7" w:rsidRPr="00D722E8" w14:paraId="29EACE5B" w14:textId="77777777" w:rsidTr="009F64DC">
        <w:trPr>
          <w:trHeight w:val="300"/>
        </w:trPr>
        <w:tc>
          <w:tcPr>
            <w:tcW w:w="426" w:type="dxa"/>
            <w:tcBorders>
              <w:top w:val="nil"/>
              <w:left w:val="nil"/>
              <w:bottom w:val="nil"/>
              <w:right w:val="nil"/>
            </w:tcBorders>
            <w:shd w:val="clear" w:color="000000" w:fill="FFFFFF"/>
            <w:noWrap/>
            <w:tcMar>
              <w:right w:w="28" w:type="dxa"/>
            </w:tcMar>
            <w:vAlign w:val="bottom"/>
            <w:hideMark/>
          </w:tcPr>
          <w:p w14:paraId="249AB0F6" w14:textId="77777777" w:rsidR="00D722E8" w:rsidRPr="00624B2A" w:rsidRDefault="00D722E8" w:rsidP="00D722E8">
            <w:pPr>
              <w:jc w:val="left"/>
              <w:rPr>
                <w:rFonts w:eastAsia="Times New Roman" w:cs="Calibri"/>
                <w:color w:val="000000"/>
                <w:sz w:val="16"/>
                <w:szCs w:val="16"/>
                <w:lang w:eastAsia="it-IT"/>
              </w:rPr>
            </w:pPr>
            <w:r w:rsidRPr="00624B2A">
              <w:rPr>
                <w:rFonts w:eastAsia="Times New Roman" w:cs="Calibri"/>
                <w:color w:val="000000"/>
                <w:sz w:val="16"/>
                <w:szCs w:val="16"/>
                <w:lang w:eastAsia="it-IT"/>
              </w:rPr>
              <w:t>11i</w:t>
            </w:r>
          </w:p>
        </w:tc>
        <w:tc>
          <w:tcPr>
            <w:tcW w:w="850" w:type="dxa"/>
            <w:tcBorders>
              <w:top w:val="nil"/>
              <w:left w:val="nil"/>
              <w:bottom w:val="nil"/>
              <w:right w:val="nil"/>
            </w:tcBorders>
            <w:shd w:val="clear" w:color="000000" w:fill="FFFFFF"/>
            <w:noWrap/>
            <w:tcMar>
              <w:right w:w="28" w:type="dxa"/>
            </w:tcMar>
            <w:vAlign w:val="bottom"/>
            <w:hideMark/>
          </w:tcPr>
          <w:p w14:paraId="5D838856" w14:textId="77777777" w:rsidR="00D722E8" w:rsidRPr="00624B2A" w:rsidRDefault="00D722E8" w:rsidP="00D722E8">
            <w:pPr>
              <w:jc w:val="left"/>
              <w:rPr>
                <w:rFonts w:eastAsia="Times New Roman" w:cs="Calibri"/>
                <w:color w:val="000000"/>
                <w:sz w:val="16"/>
                <w:szCs w:val="16"/>
                <w:lang w:eastAsia="it-IT"/>
              </w:rPr>
            </w:pPr>
            <w:r w:rsidRPr="00624B2A">
              <w:rPr>
                <w:rFonts w:eastAsia="Times New Roman" w:cs="Calibri"/>
                <w:color w:val="000000"/>
                <w:sz w:val="16"/>
                <w:szCs w:val="16"/>
                <w:lang w:eastAsia="it-IT"/>
              </w:rPr>
              <w:t>d2.5</w:t>
            </w:r>
          </w:p>
        </w:tc>
        <w:tc>
          <w:tcPr>
            <w:tcW w:w="2552" w:type="dxa"/>
            <w:tcBorders>
              <w:top w:val="nil"/>
              <w:left w:val="nil"/>
              <w:bottom w:val="nil"/>
              <w:right w:val="nil"/>
            </w:tcBorders>
            <w:shd w:val="clear" w:color="000000" w:fill="FFFFFF"/>
            <w:noWrap/>
            <w:tcMar>
              <w:right w:w="28" w:type="dxa"/>
            </w:tcMar>
            <w:vAlign w:val="bottom"/>
            <w:hideMark/>
          </w:tcPr>
          <w:p w14:paraId="1A122336" w14:textId="77777777" w:rsidR="00D722E8" w:rsidRPr="00624B2A" w:rsidRDefault="00D722E8" w:rsidP="00D722E8">
            <w:pPr>
              <w:jc w:val="left"/>
              <w:rPr>
                <w:rFonts w:eastAsia="Times New Roman" w:cs="Calibri"/>
                <w:color w:val="000000"/>
                <w:sz w:val="16"/>
                <w:szCs w:val="16"/>
                <w:lang w:eastAsia="it-IT"/>
              </w:rPr>
            </w:pPr>
            <w:r w:rsidRPr="00624B2A">
              <w:rPr>
                <w:rFonts w:eastAsia="Times New Roman" w:cs="Calibri"/>
                <w:color w:val="000000"/>
                <w:sz w:val="16"/>
                <w:szCs w:val="16"/>
                <w:lang w:eastAsia="it-IT"/>
              </w:rPr>
              <w:t>Numero di sistemi informativi della pubblica amministrazione che ricevono supporto per migliorare gli strumenti IT per l'interoperabilità delle banche dati relative a Formazione, Istruzione, Lavoro e Servizi Sociali</w:t>
            </w:r>
          </w:p>
        </w:tc>
        <w:tc>
          <w:tcPr>
            <w:tcW w:w="708" w:type="dxa"/>
            <w:tcBorders>
              <w:top w:val="nil"/>
              <w:left w:val="nil"/>
              <w:bottom w:val="nil"/>
              <w:right w:val="nil"/>
            </w:tcBorders>
            <w:shd w:val="clear" w:color="000000" w:fill="FFFFFF"/>
            <w:noWrap/>
            <w:tcMar>
              <w:right w:w="28" w:type="dxa"/>
            </w:tcMar>
            <w:vAlign w:val="bottom"/>
            <w:hideMark/>
          </w:tcPr>
          <w:p w14:paraId="44DD8B89" w14:textId="77777777" w:rsidR="00D722E8" w:rsidRPr="00624B2A" w:rsidRDefault="00D722E8" w:rsidP="00D722E8">
            <w:pPr>
              <w:jc w:val="right"/>
              <w:rPr>
                <w:rFonts w:eastAsia="Times New Roman" w:cs="Calibri"/>
                <w:color w:val="000000"/>
                <w:sz w:val="16"/>
                <w:szCs w:val="16"/>
                <w:lang w:eastAsia="it-IT"/>
              </w:rPr>
            </w:pPr>
            <w:r w:rsidRPr="00624B2A">
              <w:rPr>
                <w:rFonts w:eastAsia="Times New Roman" w:cs="Calibri"/>
                <w:color w:val="000000"/>
                <w:sz w:val="16"/>
                <w:szCs w:val="16"/>
                <w:lang w:eastAsia="it-IT"/>
              </w:rPr>
              <w:t>6</w:t>
            </w:r>
          </w:p>
        </w:tc>
        <w:tc>
          <w:tcPr>
            <w:tcW w:w="567" w:type="dxa"/>
            <w:tcBorders>
              <w:top w:val="nil"/>
              <w:left w:val="nil"/>
              <w:bottom w:val="nil"/>
              <w:right w:val="nil"/>
            </w:tcBorders>
            <w:shd w:val="clear" w:color="000000" w:fill="FFFFFF"/>
            <w:noWrap/>
            <w:tcMar>
              <w:right w:w="28" w:type="dxa"/>
            </w:tcMar>
            <w:vAlign w:val="bottom"/>
            <w:hideMark/>
          </w:tcPr>
          <w:p w14:paraId="023ED41A" w14:textId="77777777" w:rsidR="00D722E8" w:rsidRPr="00624B2A" w:rsidRDefault="00D722E8" w:rsidP="00624B2A">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r w:rsidR="00181D0D">
              <w:rPr>
                <w:rFonts w:eastAsia="Times New Roman" w:cs="Calibri"/>
                <w:color w:val="000000"/>
                <w:sz w:val="16"/>
                <w:szCs w:val="16"/>
                <w:lang w:eastAsia="it-IT"/>
              </w:rPr>
              <w:t>-</w:t>
            </w:r>
          </w:p>
        </w:tc>
        <w:tc>
          <w:tcPr>
            <w:tcW w:w="567" w:type="dxa"/>
            <w:tcBorders>
              <w:top w:val="nil"/>
              <w:left w:val="nil"/>
              <w:bottom w:val="nil"/>
              <w:right w:val="nil"/>
            </w:tcBorders>
            <w:shd w:val="clear" w:color="000000" w:fill="FFFFFF"/>
            <w:noWrap/>
            <w:tcMar>
              <w:right w:w="28" w:type="dxa"/>
            </w:tcMar>
            <w:vAlign w:val="bottom"/>
            <w:hideMark/>
          </w:tcPr>
          <w:p w14:paraId="3F5B87F1" w14:textId="77777777" w:rsidR="00D722E8" w:rsidRPr="00624B2A" w:rsidRDefault="00D722E8" w:rsidP="00624B2A">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r w:rsidR="00181D0D">
              <w:rPr>
                <w:rFonts w:eastAsia="Times New Roman" w:cs="Calibri"/>
                <w:color w:val="000000"/>
                <w:sz w:val="16"/>
                <w:szCs w:val="16"/>
                <w:lang w:eastAsia="it-IT"/>
              </w:rPr>
              <w:t>-</w:t>
            </w:r>
          </w:p>
        </w:tc>
        <w:tc>
          <w:tcPr>
            <w:tcW w:w="851" w:type="dxa"/>
            <w:tcBorders>
              <w:top w:val="nil"/>
              <w:left w:val="nil"/>
              <w:bottom w:val="nil"/>
              <w:right w:val="nil"/>
            </w:tcBorders>
            <w:shd w:val="clear" w:color="000000" w:fill="FFFFFF"/>
            <w:noWrap/>
            <w:tcMar>
              <w:right w:w="28" w:type="dxa"/>
            </w:tcMar>
            <w:vAlign w:val="bottom"/>
            <w:hideMark/>
          </w:tcPr>
          <w:p w14:paraId="357AFF9F" w14:textId="77777777" w:rsidR="00D722E8" w:rsidRPr="00624B2A" w:rsidRDefault="00D722E8" w:rsidP="002B2D4D">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w:t>
            </w:r>
          </w:p>
        </w:tc>
        <w:tc>
          <w:tcPr>
            <w:tcW w:w="597" w:type="dxa"/>
            <w:tcBorders>
              <w:top w:val="nil"/>
              <w:left w:val="nil"/>
              <w:bottom w:val="nil"/>
              <w:right w:val="nil"/>
            </w:tcBorders>
            <w:shd w:val="clear" w:color="000000" w:fill="FFFFFF"/>
            <w:noWrap/>
            <w:tcMar>
              <w:right w:w="28" w:type="dxa"/>
            </w:tcMar>
            <w:vAlign w:val="bottom"/>
            <w:hideMark/>
          </w:tcPr>
          <w:p w14:paraId="4AAD43CA" w14:textId="77777777" w:rsidR="00D722E8" w:rsidRPr="00624B2A" w:rsidRDefault="00D722E8" w:rsidP="00624B2A">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r w:rsidR="00181D0D">
              <w:rPr>
                <w:rFonts w:eastAsia="Times New Roman" w:cs="Calibri"/>
                <w:color w:val="000000"/>
                <w:sz w:val="16"/>
                <w:szCs w:val="16"/>
                <w:lang w:eastAsia="it-IT"/>
              </w:rPr>
              <w:t>-</w:t>
            </w:r>
          </w:p>
        </w:tc>
        <w:tc>
          <w:tcPr>
            <w:tcW w:w="679" w:type="dxa"/>
            <w:tcBorders>
              <w:top w:val="nil"/>
              <w:left w:val="nil"/>
              <w:bottom w:val="nil"/>
              <w:right w:val="nil"/>
            </w:tcBorders>
            <w:shd w:val="clear" w:color="000000" w:fill="FFFFFF"/>
            <w:noWrap/>
            <w:tcMar>
              <w:right w:w="28" w:type="dxa"/>
            </w:tcMar>
            <w:vAlign w:val="bottom"/>
            <w:hideMark/>
          </w:tcPr>
          <w:p w14:paraId="740E6BBB" w14:textId="77777777" w:rsidR="00D722E8" w:rsidRPr="00624B2A" w:rsidRDefault="00D722E8" w:rsidP="00624B2A">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r w:rsidR="00181D0D">
              <w:rPr>
                <w:rFonts w:eastAsia="Times New Roman" w:cs="Calibri"/>
                <w:color w:val="000000"/>
                <w:sz w:val="16"/>
                <w:szCs w:val="16"/>
                <w:lang w:eastAsia="it-IT"/>
              </w:rPr>
              <w:t>-</w:t>
            </w:r>
          </w:p>
        </w:tc>
        <w:tc>
          <w:tcPr>
            <w:tcW w:w="581" w:type="dxa"/>
            <w:tcBorders>
              <w:top w:val="nil"/>
              <w:left w:val="nil"/>
              <w:bottom w:val="nil"/>
              <w:right w:val="nil"/>
            </w:tcBorders>
            <w:shd w:val="clear" w:color="000000" w:fill="FFFFFF"/>
            <w:noWrap/>
            <w:tcMar>
              <w:right w:w="28" w:type="dxa"/>
            </w:tcMar>
            <w:vAlign w:val="bottom"/>
            <w:hideMark/>
          </w:tcPr>
          <w:p w14:paraId="6847CC7B" w14:textId="77777777" w:rsidR="00D722E8" w:rsidRPr="00624B2A" w:rsidRDefault="00D722E8" w:rsidP="002B2D4D">
            <w:pPr>
              <w:jc w:val="right"/>
              <w:rPr>
                <w:rFonts w:eastAsia="Times New Roman" w:cs="Calibri"/>
                <w:color w:val="000000"/>
                <w:sz w:val="16"/>
                <w:szCs w:val="16"/>
                <w:lang w:eastAsia="it-IT"/>
              </w:rPr>
            </w:pPr>
            <w:r w:rsidRPr="00624B2A">
              <w:rPr>
                <w:rFonts w:eastAsia="Times New Roman" w:cs="Calibri"/>
                <w:color w:val="000000"/>
                <w:sz w:val="16"/>
                <w:szCs w:val="16"/>
                <w:lang w:eastAsia="it-IT"/>
              </w:rPr>
              <w:t>50%</w:t>
            </w:r>
          </w:p>
        </w:tc>
        <w:tc>
          <w:tcPr>
            <w:tcW w:w="630" w:type="dxa"/>
            <w:tcBorders>
              <w:top w:val="nil"/>
              <w:left w:val="nil"/>
              <w:bottom w:val="nil"/>
              <w:right w:val="nil"/>
            </w:tcBorders>
            <w:shd w:val="clear" w:color="000000" w:fill="FFFFFF"/>
            <w:noWrap/>
            <w:tcMar>
              <w:right w:w="28" w:type="dxa"/>
            </w:tcMar>
            <w:vAlign w:val="bottom"/>
            <w:hideMark/>
          </w:tcPr>
          <w:p w14:paraId="257C8C16" w14:textId="77777777" w:rsidR="00D722E8" w:rsidRPr="00624B2A" w:rsidRDefault="00181D0D" w:rsidP="00624B2A">
            <w:pPr>
              <w:jc w:val="right"/>
              <w:rPr>
                <w:rFonts w:eastAsia="Times New Roman" w:cs="Calibri"/>
                <w:color w:val="000000"/>
                <w:sz w:val="16"/>
                <w:szCs w:val="16"/>
                <w:lang w:eastAsia="it-IT"/>
              </w:rPr>
            </w:pPr>
            <w:r>
              <w:rPr>
                <w:rFonts w:eastAsia="Times New Roman" w:cs="Calibri"/>
                <w:color w:val="000000"/>
                <w:sz w:val="16"/>
                <w:szCs w:val="16"/>
                <w:lang w:eastAsia="it-IT"/>
              </w:rPr>
              <w:t>-</w:t>
            </w:r>
            <w:r w:rsidR="00D722E8" w:rsidRPr="00624B2A">
              <w:rPr>
                <w:rFonts w:eastAsia="Times New Roman" w:cs="Calibri"/>
                <w:color w:val="000000"/>
                <w:sz w:val="16"/>
                <w:szCs w:val="16"/>
                <w:lang w:eastAsia="it-IT"/>
              </w:rPr>
              <w:t> </w:t>
            </w:r>
          </w:p>
        </w:tc>
        <w:tc>
          <w:tcPr>
            <w:tcW w:w="630" w:type="dxa"/>
            <w:tcBorders>
              <w:top w:val="nil"/>
              <w:left w:val="nil"/>
              <w:bottom w:val="nil"/>
              <w:right w:val="nil"/>
            </w:tcBorders>
            <w:shd w:val="clear" w:color="000000" w:fill="FFFFFF"/>
            <w:noWrap/>
            <w:tcMar>
              <w:right w:w="28" w:type="dxa"/>
            </w:tcMar>
            <w:vAlign w:val="bottom"/>
            <w:hideMark/>
          </w:tcPr>
          <w:p w14:paraId="3616F612" w14:textId="77777777" w:rsidR="00D722E8" w:rsidRPr="00624B2A" w:rsidRDefault="00181D0D" w:rsidP="00624B2A">
            <w:pPr>
              <w:jc w:val="right"/>
              <w:rPr>
                <w:rFonts w:eastAsia="Times New Roman" w:cs="Calibri"/>
                <w:color w:val="000000"/>
                <w:sz w:val="16"/>
                <w:szCs w:val="16"/>
                <w:lang w:eastAsia="it-IT"/>
              </w:rPr>
            </w:pPr>
            <w:r>
              <w:rPr>
                <w:rFonts w:eastAsia="Times New Roman" w:cs="Calibri"/>
                <w:color w:val="000000"/>
                <w:sz w:val="16"/>
                <w:szCs w:val="16"/>
                <w:lang w:eastAsia="it-IT"/>
              </w:rPr>
              <w:t>-</w:t>
            </w:r>
          </w:p>
        </w:tc>
      </w:tr>
      <w:tr w:rsidR="00DF11B7" w:rsidRPr="00D722E8" w14:paraId="7E578D69" w14:textId="77777777" w:rsidTr="009F64DC">
        <w:trPr>
          <w:trHeight w:val="300"/>
        </w:trPr>
        <w:tc>
          <w:tcPr>
            <w:tcW w:w="426" w:type="dxa"/>
            <w:tcBorders>
              <w:top w:val="nil"/>
              <w:left w:val="nil"/>
              <w:bottom w:val="single" w:sz="4" w:space="0" w:color="305496"/>
              <w:right w:val="nil"/>
            </w:tcBorders>
            <w:shd w:val="clear" w:color="000000" w:fill="FFFFFF"/>
            <w:noWrap/>
            <w:tcMar>
              <w:right w:w="28" w:type="dxa"/>
            </w:tcMar>
            <w:vAlign w:val="bottom"/>
            <w:hideMark/>
          </w:tcPr>
          <w:p w14:paraId="2FFB4D48" w14:textId="77777777" w:rsidR="00966967" w:rsidRPr="00624B2A" w:rsidRDefault="00966967" w:rsidP="00966967">
            <w:pPr>
              <w:jc w:val="left"/>
              <w:rPr>
                <w:rFonts w:eastAsia="Times New Roman" w:cs="Calibri"/>
                <w:color w:val="000000"/>
                <w:sz w:val="16"/>
                <w:szCs w:val="16"/>
                <w:lang w:eastAsia="it-IT"/>
              </w:rPr>
            </w:pPr>
            <w:r w:rsidRPr="00624B2A">
              <w:rPr>
                <w:rFonts w:eastAsia="Times New Roman" w:cs="Calibri"/>
                <w:color w:val="000000"/>
                <w:sz w:val="16"/>
                <w:szCs w:val="16"/>
                <w:lang w:eastAsia="it-IT"/>
              </w:rPr>
              <w:t>11i</w:t>
            </w:r>
          </w:p>
        </w:tc>
        <w:tc>
          <w:tcPr>
            <w:tcW w:w="850" w:type="dxa"/>
            <w:tcBorders>
              <w:top w:val="nil"/>
              <w:left w:val="nil"/>
              <w:bottom w:val="single" w:sz="4" w:space="0" w:color="305496"/>
              <w:right w:val="nil"/>
            </w:tcBorders>
            <w:shd w:val="clear" w:color="000000" w:fill="FFFFFF"/>
            <w:noWrap/>
            <w:tcMar>
              <w:right w:w="28" w:type="dxa"/>
            </w:tcMar>
            <w:vAlign w:val="bottom"/>
            <w:hideMark/>
          </w:tcPr>
          <w:p w14:paraId="56D07CED" w14:textId="77777777" w:rsidR="00966967" w:rsidRPr="00624B2A" w:rsidRDefault="00966967" w:rsidP="00966967">
            <w:pPr>
              <w:jc w:val="left"/>
              <w:rPr>
                <w:rFonts w:eastAsia="Times New Roman" w:cs="Calibri"/>
                <w:color w:val="000000"/>
                <w:sz w:val="16"/>
                <w:szCs w:val="16"/>
                <w:lang w:eastAsia="it-IT"/>
              </w:rPr>
            </w:pPr>
            <w:r w:rsidRPr="00624B2A">
              <w:rPr>
                <w:rFonts w:eastAsia="Times New Roman" w:cs="Calibri"/>
                <w:color w:val="000000"/>
                <w:sz w:val="16"/>
                <w:szCs w:val="16"/>
                <w:lang w:eastAsia="it-IT"/>
              </w:rPr>
              <w:t>d2.6</w:t>
            </w:r>
          </w:p>
        </w:tc>
        <w:tc>
          <w:tcPr>
            <w:tcW w:w="2552" w:type="dxa"/>
            <w:tcBorders>
              <w:top w:val="nil"/>
              <w:left w:val="nil"/>
              <w:bottom w:val="single" w:sz="4" w:space="0" w:color="305496"/>
              <w:right w:val="nil"/>
            </w:tcBorders>
            <w:shd w:val="clear" w:color="000000" w:fill="FFFFFF"/>
            <w:noWrap/>
            <w:tcMar>
              <w:right w:w="28" w:type="dxa"/>
            </w:tcMar>
            <w:vAlign w:val="bottom"/>
            <w:hideMark/>
          </w:tcPr>
          <w:p w14:paraId="17556BAA" w14:textId="77777777" w:rsidR="00966967" w:rsidRPr="00624B2A" w:rsidRDefault="00966967" w:rsidP="00966967">
            <w:pPr>
              <w:jc w:val="left"/>
              <w:rPr>
                <w:rFonts w:eastAsia="Times New Roman" w:cs="Calibri"/>
                <w:color w:val="000000"/>
                <w:sz w:val="16"/>
                <w:szCs w:val="16"/>
                <w:lang w:eastAsia="it-IT"/>
              </w:rPr>
            </w:pPr>
            <w:r w:rsidRPr="00624B2A">
              <w:rPr>
                <w:rFonts w:eastAsia="Times New Roman" w:cs="Calibri"/>
                <w:color w:val="000000"/>
                <w:sz w:val="16"/>
                <w:szCs w:val="16"/>
                <w:lang w:eastAsia="it-IT"/>
              </w:rPr>
              <w:t>Numero di pagine del patrimonio   culturale rese disponibili in formato digitale</w:t>
            </w:r>
          </w:p>
        </w:tc>
        <w:tc>
          <w:tcPr>
            <w:tcW w:w="708" w:type="dxa"/>
            <w:tcBorders>
              <w:top w:val="nil"/>
              <w:left w:val="nil"/>
              <w:bottom w:val="single" w:sz="4" w:space="0" w:color="305496"/>
              <w:right w:val="nil"/>
            </w:tcBorders>
            <w:shd w:val="clear" w:color="000000" w:fill="FFFFFF"/>
            <w:noWrap/>
            <w:tcMar>
              <w:right w:w="28" w:type="dxa"/>
            </w:tcMar>
            <w:vAlign w:val="bottom"/>
            <w:hideMark/>
          </w:tcPr>
          <w:p w14:paraId="43100AE3" w14:textId="77777777" w:rsidR="00966967" w:rsidRPr="00624B2A" w:rsidRDefault="00966967" w:rsidP="0096696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5.500.000</w:t>
            </w:r>
          </w:p>
        </w:tc>
        <w:tc>
          <w:tcPr>
            <w:tcW w:w="567" w:type="dxa"/>
            <w:tcBorders>
              <w:top w:val="nil"/>
              <w:left w:val="nil"/>
              <w:bottom w:val="single" w:sz="4" w:space="0" w:color="305496"/>
              <w:right w:val="nil"/>
            </w:tcBorders>
            <w:shd w:val="clear" w:color="000000" w:fill="FFFFFF"/>
            <w:noWrap/>
            <w:tcMar>
              <w:right w:w="28" w:type="dxa"/>
            </w:tcMar>
            <w:vAlign w:val="bottom"/>
            <w:hideMark/>
          </w:tcPr>
          <w:p w14:paraId="597E6DCC" w14:textId="77777777" w:rsidR="00966967" w:rsidRPr="00624B2A" w:rsidRDefault="00966967" w:rsidP="00624B2A">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r>
              <w:rPr>
                <w:rFonts w:eastAsia="Times New Roman" w:cs="Calibri"/>
                <w:color w:val="000000"/>
                <w:sz w:val="16"/>
                <w:szCs w:val="16"/>
                <w:lang w:eastAsia="it-IT"/>
              </w:rPr>
              <w:t>-</w:t>
            </w:r>
          </w:p>
        </w:tc>
        <w:tc>
          <w:tcPr>
            <w:tcW w:w="567" w:type="dxa"/>
            <w:tcBorders>
              <w:top w:val="nil"/>
              <w:left w:val="nil"/>
              <w:bottom w:val="single" w:sz="4" w:space="0" w:color="305496"/>
              <w:right w:val="nil"/>
            </w:tcBorders>
            <w:shd w:val="clear" w:color="000000" w:fill="FFFFFF"/>
            <w:noWrap/>
            <w:tcMar>
              <w:right w:w="28" w:type="dxa"/>
            </w:tcMar>
            <w:vAlign w:val="bottom"/>
            <w:hideMark/>
          </w:tcPr>
          <w:p w14:paraId="624701F3" w14:textId="77777777" w:rsidR="00966967" w:rsidRPr="00624B2A" w:rsidRDefault="00966967" w:rsidP="00624B2A">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r>
              <w:rPr>
                <w:rFonts w:eastAsia="Times New Roman" w:cs="Calibri"/>
                <w:color w:val="000000"/>
                <w:sz w:val="16"/>
                <w:szCs w:val="16"/>
                <w:lang w:eastAsia="it-IT"/>
              </w:rPr>
              <w:t>-</w:t>
            </w:r>
          </w:p>
        </w:tc>
        <w:tc>
          <w:tcPr>
            <w:tcW w:w="851" w:type="dxa"/>
            <w:tcBorders>
              <w:top w:val="nil"/>
              <w:left w:val="nil"/>
              <w:bottom w:val="single" w:sz="4" w:space="0" w:color="305496"/>
              <w:right w:val="nil"/>
            </w:tcBorders>
            <w:shd w:val="clear" w:color="000000" w:fill="FFFFFF"/>
            <w:noWrap/>
            <w:tcMar>
              <w:right w:w="28" w:type="dxa"/>
            </w:tcMar>
            <w:vAlign w:val="bottom"/>
            <w:hideMark/>
          </w:tcPr>
          <w:p w14:paraId="5922B51F" w14:textId="77777777" w:rsidR="00966967" w:rsidRPr="00624B2A" w:rsidRDefault="00966967" w:rsidP="00966967">
            <w:pPr>
              <w:jc w:val="right"/>
              <w:rPr>
                <w:rFonts w:eastAsia="Times New Roman" w:cs="Calibri"/>
                <w:color w:val="000000"/>
                <w:sz w:val="16"/>
                <w:szCs w:val="16"/>
                <w:lang w:eastAsia="it-IT"/>
              </w:rPr>
            </w:pPr>
            <w:r w:rsidRPr="00624B2A">
              <w:rPr>
                <w:rFonts w:eastAsia="Times New Roman" w:cs="Calibri"/>
                <w:color w:val="000000"/>
                <w:sz w:val="16"/>
                <w:szCs w:val="16"/>
                <w:lang w:eastAsia="it-IT"/>
              </w:rPr>
              <w:t>3.648.558</w:t>
            </w:r>
          </w:p>
        </w:tc>
        <w:tc>
          <w:tcPr>
            <w:tcW w:w="597" w:type="dxa"/>
            <w:tcBorders>
              <w:top w:val="nil"/>
              <w:left w:val="nil"/>
              <w:bottom w:val="single" w:sz="4" w:space="0" w:color="305496"/>
              <w:right w:val="nil"/>
            </w:tcBorders>
            <w:shd w:val="clear" w:color="000000" w:fill="FFFFFF"/>
            <w:noWrap/>
            <w:tcMar>
              <w:right w:w="28" w:type="dxa"/>
            </w:tcMar>
            <w:vAlign w:val="bottom"/>
            <w:hideMark/>
          </w:tcPr>
          <w:p w14:paraId="238B4B0B" w14:textId="77777777" w:rsidR="00966967" w:rsidRPr="00624B2A" w:rsidRDefault="00966967" w:rsidP="00624B2A">
            <w:pPr>
              <w:jc w:val="right"/>
              <w:rPr>
                <w:rFonts w:eastAsia="Times New Roman" w:cs="Calibri"/>
                <w:color w:val="000000"/>
                <w:sz w:val="16"/>
                <w:szCs w:val="16"/>
                <w:lang w:eastAsia="it-IT"/>
              </w:rPr>
            </w:pPr>
            <w:r w:rsidRPr="00D32A81">
              <w:rPr>
                <w:rFonts w:eastAsia="Times New Roman" w:cs="Calibri"/>
                <w:color w:val="000000"/>
                <w:sz w:val="16"/>
                <w:szCs w:val="16"/>
                <w:lang w:eastAsia="it-IT"/>
              </w:rPr>
              <w:t> </w:t>
            </w:r>
            <w:r>
              <w:rPr>
                <w:rFonts w:eastAsia="Times New Roman" w:cs="Calibri"/>
                <w:color w:val="000000"/>
                <w:sz w:val="16"/>
                <w:szCs w:val="16"/>
                <w:lang w:eastAsia="it-IT"/>
              </w:rPr>
              <w:t>-</w:t>
            </w:r>
          </w:p>
        </w:tc>
        <w:tc>
          <w:tcPr>
            <w:tcW w:w="679" w:type="dxa"/>
            <w:tcBorders>
              <w:top w:val="nil"/>
              <w:left w:val="nil"/>
              <w:bottom w:val="single" w:sz="4" w:space="0" w:color="305496"/>
              <w:right w:val="nil"/>
            </w:tcBorders>
            <w:shd w:val="clear" w:color="000000" w:fill="FFFFFF"/>
            <w:noWrap/>
            <w:tcMar>
              <w:right w:w="28" w:type="dxa"/>
            </w:tcMar>
            <w:vAlign w:val="bottom"/>
            <w:hideMark/>
          </w:tcPr>
          <w:p w14:paraId="31CAA43D" w14:textId="77777777" w:rsidR="00966967" w:rsidRPr="00624B2A" w:rsidRDefault="00966967" w:rsidP="00624B2A">
            <w:pPr>
              <w:jc w:val="right"/>
              <w:rPr>
                <w:rFonts w:eastAsia="Times New Roman" w:cs="Calibri"/>
                <w:color w:val="000000"/>
                <w:sz w:val="16"/>
                <w:szCs w:val="16"/>
                <w:lang w:eastAsia="it-IT"/>
              </w:rPr>
            </w:pPr>
            <w:r w:rsidRPr="00D32A81">
              <w:rPr>
                <w:rFonts w:eastAsia="Times New Roman" w:cs="Calibri"/>
                <w:color w:val="000000"/>
                <w:sz w:val="16"/>
                <w:szCs w:val="16"/>
                <w:lang w:eastAsia="it-IT"/>
              </w:rPr>
              <w:t> </w:t>
            </w:r>
            <w:r>
              <w:rPr>
                <w:rFonts w:eastAsia="Times New Roman" w:cs="Calibri"/>
                <w:color w:val="000000"/>
                <w:sz w:val="16"/>
                <w:szCs w:val="16"/>
                <w:lang w:eastAsia="it-IT"/>
              </w:rPr>
              <w:t>-</w:t>
            </w:r>
          </w:p>
        </w:tc>
        <w:tc>
          <w:tcPr>
            <w:tcW w:w="581" w:type="dxa"/>
            <w:tcBorders>
              <w:top w:val="nil"/>
              <w:left w:val="nil"/>
              <w:bottom w:val="single" w:sz="4" w:space="0" w:color="305496"/>
              <w:right w:val="nil"/>
            </w:tcBorders>
            <w:shd w:val="clear" w:color="000000" w:fill="FFFFFF"/>
            <w:noWrap/>
            <w:tcMar>
              <w:right w:w="28" w:type="dxa"/>
            </w:tcMar>
            <w:vAlign w:val="bottom"/>
            <w:hideMark/>
          </w:tcPr>
          <w:p w14:paraId="460B7753" w14:textId="77777777" w:rsidR="00966967" w:rsidRPr="00624B2A" w:rsidRDefault="00966967" w:rsidP="002B2D4D">
            <w:pPr>
              <w:jc w:val="right"/>
              <w:rPr>
                <w:rFonts w:eastAsia="Times New Roman" w:cs="Calibri"/>
                <w:color w:val="000000"/>
                <w:sz w:val="16"/>
                <w:szCs w:val="16"/>
                <w:lang w:eastAsia="it-IT"/>
              </w:rPr>
            </w:pPr>
            <w:r w:rsidRPr="00624B2A">
              <w:rPr>
                <w:rFonts w:eastAsia="Times New Roman" w:cs="Calibri"/>
                <w:color w:val="000000"/>
                <w:sz w:val="16"/>
                <w:szCs w:val="16"/>
                <w:lang w:eastAsia="it-IT"/>
              </w:rPr>
              <w:t>66%</w:t>
            </w:r>
          </w:p>
        </w:tc>
        <w:tc>
          <w:tcPr>
            <w:tcW w:w="630" w:type="dxa"/>
            <w:tcBorders>
              <w:top w:val="nil"/>
              <w:left w:val="nil"/>
              <w:bottom w:val="single" w:sz="4" w:space="0" w:color="305496"/>
              <w:right w:val="nil"/>
            </w:tcBorders>
            <w:shd w:val="clear" w:color="000000" w:fill="FFFFFF"/>
            <w:noWrap/>
            <w:tcMar>
              <w:right w:w="28" w:type="dxa"/>
            </w:tcMar>
            <w:vAlign w:val="bottom"/>
            <w:hideMark/>
          </w:tcPr>
          <w:p w14:paraId="40ED89B6" w14:textId="77777777" w:rsidR="00966967" w:rsidRPr="00624B2A" w:rsidRDefault="00966967" w:rsidP="00624B2A">
            <w:pPr>
              <w:jc w:val="right"/>
              <w:rPr>
                <w:rFonts w:eastAsia="Times New Roman" w:cs="Calibri"/>
                <w:color w:val="000000"/>
                <w:sz w:val="16"/>
                <w:szCs w:val="16"/>
                <w:lang w:eastAsia="it-IT"/>
              </w:rPr>
            </w:pPr>
            <w:r w:rsidRPr="00D32A81">
              <w:rPr>
                <w:rFonts w:eastAsia="Times New Roman" w:cs="Calibri"/>
                <w:color w:val="000000"/>
                <w:sz w:val="16"/>
                <w:szCs w:val="16"/>
                <w:lang w:eastAsia="it-IT"/>
              </w:rPr>
              <w:t> </w:t>
            </w:r>
            <w:r>
              <w:rPr>
                <w:rFonts w:eastAsia="Times New Roman" w:cs="Calibri"/>
                <w:color w:val="000000"/>
                <w:sz w:val="16"/>
                <w:szCs w:val="16"/>
                <w:lang w:eastAsia="it-IT"/>
              </w:rPr>
              <w:t>-</w:t>
            </w:r>
          </w:p>
        </w:tc>
        <w:tc>
          <w:tcPr>
            <w:tcW w:w="630" w:type="dxa"/>
            <w:tcBorders>
              <w:top w:val="nil"/>
              <w:left w:val="nil"/>
              <w:bottom w:val="single" w:sz="4" w:space="0" w:color="305496"/>
              <w:right w:val="nil"/>
            </w:tcBorders>
            <w:shd w:val="clear" w:color="000000" w:fill="FFFFFF"/>
            <w:noWrap/>
            <w:tcMar>
              <w:right w:w="28" w:type="dxa"/>
            </w:tcMar>
            <w:vAlign w:val="bottom"/>
            <w:hideMark/>
          </w:tcPr>
          <w:p w14:paraId="73C8EDCB" w14:textId="77777777" w:rsidR="00966967" w:rsidRPr="00624B2A" w:rsidRDefault="00966967" w:rsidP="00624B2A">
            <w:pPr>
              <w:jc w:val="right"/>
              <w:rPr>
                <w:rFonts w:eastAsia="Times New Roman" w:cs="Calibri"/>
                <w:color w:val="000000"/>
                <w:sz w:val="16"/>
                <w:szCs w:val="16"/>
                <w:lang w:eastAsia="it-IT"/>
              </w:rPr>
            </w:pPr>
            <w:r w:rsidRPr="00D32A81">
              <w:rPr>
                <w:rFonts w:eastAsia="Times New Roman" w:cs="Calibri"/>
                <w:color w:val="000000"/>
                <w:sz w:val="16"/>
                <w:szCs w:val="16"/>
                <w:lang w:eastAsia="it-IT"/>
              </w:rPr>
              <w:t> </w:t>
            </w:r>
            <w:r>
              <w:rPr>
                <w:rFonts w:eastAsia="Times New Roman" w:cs="Calibri"/>
                <w:color w:val="000000"/>
                <w:sz w:val="16"/>
                <w:szCs w:val="16"/>
                <w:lang w:eastAsia="it-IT"/>
              </w:rPr>
              <w:t>-</w:t>
            </w:r>
          </w:p>
        </w:tc>
      </w:tr>
    </w:tbl>
    <w:p w14:paraId="7FD90155" w14:textId="6FC167E6" w:rsidR="00CD62D2" w:rsidRDefault="00CD62D2" w:rsidP="009F64DC">
      <w:pPr>
        <w:pStyle w:val="Fonte"/>
      </w:pPr>
      <w:r>
        <w:t>Fonte: Rapporto Annuale di Attuazione 2020, dati aggiornati al 31.12.2020.</w:t>
      </w:r>
    </w:p>
    <w:p w14:paraId="69BBD9FD" w14:textId="77777777" w:rsidR="00CF4890" w:rsidRDefault="00CF4890" w:rsidP="00CF4890"/>
    <w:p w14:paraId="43151463" w14:textId="77777777" w:rsidR="00A500D0" w:rsidRDefault="00A500D0" w:rsidP="00A500D0">
      <w:pPr>
        <w:pStyle w:val="Didascalia"/>
      </w:pPr>
      <w:r w:rsidRPr="002515F0">
        <w:t xml:space="preserve">Tabella 6. Indicatori di </w:t>
      </w:r>
      <w:r>
        <w:t>risultato</w:t>
      </w:r>
      <w:r w:rsidRPr="002515F0">
        <w:t xml:space="preserve"> selezionati F</w:t>
      </w:r>
      <w:r>
        <w:t>SE</w:t>
      </w:r>
      <w:r w:rsidRPr="002515F0">
        <w:t xml:space="preserve"> – Area </w:t>
      </w:r>
      <w:r>
        <w:t>istituzionale</w:t>
      </w:r>
    </w:p>
    <w:tbl>
      <w:tblPr>
        <w:tblW w:w="5000" w:type="pct"/>
        <w:tblLayout w:type="fixed"/>
        <w:tblCellMar>
          <w:left w:w="28" w:type="dxa"/>
          <w:right w:w="28" w:type="dxa"/>
        </w:tblCellMar>
        <w:tblLook w:val="04A0" w:firstRow="1" w:lastRow="0" w:firstColumn="1" w:lastColumn="0" w:noHBand="0" w:noVBand="1"/>
      </w:tblPr>
      <w:tblGrid>
        <w:gridCol w:w="367"/>
        <w:gridCol w:w="906"/>
        <w:gridCol w:w="3260"/>
        <w:gridCol w:w="569"/>
        <w:gridCol w:w="567"/>
        <w:gridCol w:w="567"/>
        <w:gridCol w:w="567"/>
        <w:gridCol w:w="567"/>
        <w:gridCol w:w="567"/>
        <w:gridCol w:w="565"/>
        <w:gridCol w:w="567"/>
        <w:gridCol w:w="569"/>
      </w:tblGrid>
      <w:tr w:rsidR="00A35CEC" w:rsidRPr="00A35CEC" w14:paraId="77A53620" w14:textId="77777777" w:rsidTr="009F64DC">
        <w:trPr>
          <w:trHeight w:val="533"/>
        </w:trPr>
        <w:tc>
          <w:tcPr>
            <w:tcW w:w="191" w:type="pct"/>
            <w:tcBorders>
              <w:top w:val="nil"/>
              <w:left w:val="nil"/>
              <w:bottom w:val="nil"/>
              <w:right w:val="nil"/>
            </w:tcBorders>
            <w:shd w:val="clear" w:color="auto" w:fill="669748" w:themeFill="accent2" w:themeFillShade="BF"/>
            <w:vAlign w:val="center"/>
            <w:hideMark/>
          </w:tcPr>
          <w:p w14:paraId="1ABBF335" w14:textId="77777777" w:rsidR="00A35CEC" w:rsidRPr="00624B2A" w:rsidRDefault="00A35CEC" w:rsidP="00A35CEC">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PI</w:t>
            </w:r>
          </w:p>
        </w:tc>
        <w:tc>
          <w:tcPr>
            <w:tcW w:w="470" w:type="pct"/>
            <w:tcBorders>
              <w:top w:val="nil"/>
              <w:left w:val="nil"/>
              <w:bottom w:val="nil"/>
              <w:right w:val="nil"/>
            </w:tcBorders>
            <w:shd w:val="clear" w:color="auto" w:fill="669748" w:themeFill="accent2" w:themeFillShade="BF"/>
            <w:vAlign w:val="center"/>
            <w:hideMark/>
          </w:tcPr>
          <w:p w14:paraId="376DF88B" w14:textId="77777777" w:rsidR="00A35CEC" w:rsidRPr="00624B2A" w:rsidRDefault="00A35CEC" w:rsidP="00A35CEC">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Codice indicatore</w:t>
            </w:r>
          </w:p>
        </w:tc>
        <w:tc>
          <w:tcPr>
            <w:tcW w:w="1691" w:type="pct"/>
            <w:tcBorders>
              <w:top w:val="nil"/>
              <w:left w:val="nil"/>
              <w:bottom w:val="nil"/>
              <w:right w:val="nil"/>
            </w:tcBorders>
            <w:shd w:val="clear" w:color="auto" w:fill="669748" w:themeFill="accent2" w:themeFillShade="BF"/>
            <w:vAlign w:val="center"/>
            <w:hideMark/>
          </w:tcPr>
          <w:p w14:paraId="10E4C07E" w14:textId="77777777" w:rsidR="00A35CEC" w:rsidRPr="00624B2A" w:rsidRDefault="00A35CEC" w:rsidP="00A35CEC">
            <w:pPr>
              <w:jc w:val="left"/>
              <w:rPr>
                <w:rFonts w:eastAsia="Times New Roman" w:cs="Calibri"/>
                <w:b/>
                <w:bCs/>
                <w:color w:val="FFFFFF"/>
                <w:sz w:val="16"/>
                <w:szCs w:val="16"/>
                <w:lang w:eastAsia="it-IT"/>
              </w:rPr>
            </w:pPr>
            <w:r w:rsidRPr="00624B2A">
              <w:rPr>
                <w:rFonts w:eastAsia="Times New Roman" w:cs="Calibri"/>
                <w:b/>
                <w:bCs/>
                <w:color w:val="FFFFFF"/>
                <w:sz w:val="16"/>
                <w:szCs w:val="16"/>
                <w:lang w:eastAsia="it-IT"/>
              </w:rPr>
              <w:t>Indicatore di risultato</w:t>
            </w:r>
          </w:p>
        </w:tc>
        <w:tc>
          <w:tcPr>
            <w:tcW w:w="883" w:type="pct"/>
            <w:gridSpan w:val="3"/>
            <w:tcBorders>
              <w:top w:val="nil"/>
              <w:left w:val="nil"/>
              <w:bottom w:val="nil"/>
              <w:right w:val="nil"/>
            </w:tcBorders>
            <w:shd w:val="clear" w:color="auto" w:fill="669748" w:themeFill="accent2" w:themeFillShade="BF"/>
            <w:vAlign w:val="center"/>
            <w:hideMark/>
          </w:tcPr>
          <w:p w14:paraId="32B96D01" w14:textId="77777777" w:rsidR="00A35CEC" w:rsidRPr="00624B2A" w:rsidRDefault="00A35CEC" w:rsidP="00A35CEC">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A - Valore obiettivo (2023)</w:t>
            </w:r>
          </w:p>
        </w:tc>
        <w:tc>
          <w:tcPr>
            <w:tcW w:w="882" w:type="pct"/>
            <w:gridSpan w:val="3"/>
            <w:tcBorders>
              <w:top w:val="nil"/>
              <w:left w:val="nil"/>
              <w:bottom w:val="nil"/>
              <w:right w:val="nil"/>
            </w:tcBorders>
            <w:shd w:val="clear" w:color="auto" w:fill="669748" w:themeFill="accent2" w:themeFillShade="BF"/>
            <w:vAlign w:val="center"/>
            <w:hideMark/>
          </w:tcPr>
          <w:p w14:paraId="0E9780EE" w14:textId="77777777" w:rsidR="00A35CEC" w:rsidRPr="00624B2A" w:rsidRDefault="00A35CEC" w:rsidP="00A35CEC">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B - Valore 2020</w:t>
            </w:r>
          </w:p>
        </w:tc>
        <w:tc>
          <w:tcPr>
            <w:tcW w:w="882" w:type="pct"/>
            <w:gridSpan w:val="3"/>
            <w:tcBorders>
              <w:top w:val="nil"/>
              <w:left w:val="nil"/>
              <w:bottom w:val="nil"/>
              <w:right w:val="nil"/>
            </w:tcBorders>
            <w:shd w:val="clear" w:color="auto" w:fill="669748" w:themeFill="accent2" w:themeFillShade="BF"/>
            <w:vAlign w:val="center"/>
            <w:hideMark/>
          </w:tcPr>
          <w:p w14:paraId="6539DB76" w14:textId="77777777" w:rsidR="00A35CEC" w:rsidRPr="00624B2A" w:rsidRDefault="00A35CEC" w:rsidP="00A35CEC">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B/A - Indice di realizzaz</w:t>
            </w:r>
            <w:r w:rsidR="006B5A66">
              <w:rPr>
                <w:rFonts w:eastAsia="Times New Roman" w:cs="Calibri"/>
                <w:b/>
                <w:bCs/>
                <w:color w:val="FFFFFF"/>
                <w:sz w:val="16"/>
                <w:szCs w:val="16"/>
                <w:lang w:eastAsia="it-IT"/>
              </w:rPr>
              <w:t>i</w:t>
            </w:r>
            <w:r w:rsidRPr="00624B2A">
              <w:rPr>
                <w:rFonts w:eastAsia="Times New Roman" w:cs="Calibri"/>
                <w:b/>
                <w:bCs/>
                <w:color w:val="FFFFFF"/>
                <w:sz w:val="16"/>
                <w:szCs w:val="16"/>
                <w:lang w:eastAsia="it-IT"/>
              </w:rPr>
              <w:t>one</w:t>
            </w:r>
          </w:p>
        </w:tc>
      </w:tr>
      <w:tr w:rsidR="009F64DC" w:rsidRPr="00A35CEC" w14:paraId="02A92D72" w14:textId="77777777" w:rsidTr="009F64DC">
        <w:trPr>
          <w:trHeight w:val="317"/>
        </w:trPr>
        <w:tc>
          <w:tcPr>
            <w:tcW w:w="191" w:type="pct"/>
            <w:tcBorders>
              <w:top w:val="nil"/>
              <w:left w:val="nil"/>
              <w:bottom w:val="nil"/>
              <w:right w:val="nil"/>
            </w:tcBorders>
            <w:shd w:val="clear" w:color="auto" w:fill="669748" w:themeFill="accent2" w:themeFillShade="BF"/>
            <w:vAlign w:val="center"/>
            <w:hideMark/>
          </w:tcPr>
          <w:p w14:paraId="181A57EC" w14:textId="77777777" w:rsidR="00A35CEC" w:rsidRPr="00624B2A" w:rsidRDefault="00A35CEC" w:rsidP="00A35CEC">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 </w:t>
            </w:r>
          </w:p>
        </w:tc>
        <w:tc>
          <w:tcPr>
            <w:tcW w:w="470" w:type="pct"/>
            <w:tcBorders>
              <w:top w:val="nil"/>
              <w:left w:val="nil"/>
              <w:bottom w:val="nil"/>
              <w:right w:val="nil"/>
            </w:tcBorders>
            <w:shd w:val="clear" w:color="auto" w:fill="669748" w:themeFill="accent2" w:themeFillShade="BF"/>
            <w:vAlign w:val="center"/>
            <w:hideMark/>
          </w:tcPr>
          <w:p w14:paraId="45ABBA99" w14:textId="77777777" w:rsidR="00A35CEC" w:rsidRPr="00624B2A" w:rsidRDefault="00A35CEC" w:rsidP="00A35CEC">
            <w:pPr>
              <w:jc w:val="center"/>
              <w:rPr>
                <w:rFonts w:eastAsia="Times New Roman" w:cs="Calibri"/>
                <w:b/>
                <w:bCs/>
                <w:color w:val="FFFFFF"/>
                <w:sz w:val="16"/>
                <w:szCs w:val="16"/>
                <w:lang w:eastAsia="it-IT"/>
              </w:rPr>
            </w:pPr>
            <w:r w:rsidRPr="00624B2A">
              <w:rPr>
                <w:rFonts w:eastAsia="Times New Roman" w:cs="Calibri"/>
                <w:b/>
                <w:bCs/>
                <w:color w:val="FFFFFF"/>
                <w:sz w:val="16"/>
                <w:szCs w:val="16"/>
                <w:lang w:eastAsia="it-IT"/>
              </w:rPr>
              <w:t> </w:t>
            </w:r>
          </w:p>
        </w:tc>
        <w:tc>
          <w:tcPr>
            <w:tcW w:w="1691" w:type="pct"/>
            <w:tcBorders>
              <w:top w:val="nil"/>
              <w:left w:val="nil"/>
              <w:bottom w:val="nil"/>
              <w:right w:val="nil"/>
            </w:tcBorders>
            <w:shd w:val="clear" w:color="auto" w:fill="669748" w:themeFill="accent2" w:themeFillShade="BF"/>
            <w:vAlign w:val="center"/>
            <w:hideMark/>
          </w:tcPr>
          <w:p w14:paraId="68224C75" w14:textId="77777777" w:rsidR="00A35CEC" w:rsidRPr="00624B2A" w:rsidRDefault="00A35CEC" w:rsidP="00A35CEC">
            <w:pPr>
              <w:jc w:val="left"/>
              <w:rPr>
                <w:rFonts w:eastAsia="Times New Roman" w:cs="Calibri"/>
                <w:b/>
                <w:bCs/>
                <w:color w:val="FFFFFF"/>
                <w:sz w:val="16"/>
                <w:szCs w:val="16"/>
                <w:lang w:eastAsia="it-IT"/>
              </w:rPr>
            </w:pPr>
            <w:r w:rsidRPr="00624B2A">
              <w:rPr>
                <w:rFonts w:eastAsia="Times New Roman" w:cs="Calibri"/>
                <w:b/>
                <w:bCs/>
                <w:color w:val="FFFFFF"/>
                <w:sz w:val="16"/>
                <w:szCs w:val="16"/>
                <w:lang w:eastAsia="it-IT"/>
              </w:rPr>
              <w:t> </w:t>
            </w:r>
          </w:p>
        </w:tc>
        <w:tc>
          <w:tcPr>
            <w:tcW w:w="295" w:type="pct"/>
            <w:tcBorders>
              <w:top w:val="nil"/>
              <w:left w:val="nil"/>
              <w:bottom w:val="nil"/>
              <w:right w:val="nil"/>
            </w:tcBorders>
            <w:shd w:val="clear" w:color="auto" w:fill="669748" w:themeFill="accent2" w:themeFillShade="BF"/>
            <w:vAlign w:val="center"/>
            <w:hideMark/>
          </w:tcPr>
          <w:p w14:paraId="06DC0C49" w14:textId="77777777" w:rsidR="00A35CEC" w:rsidRPr="009F64DC" w:rsidRDefault="00A35CEC" w:rsidP="00A35CEC">
            <w:pPr>
              <w:jc w:val="left"/>
              <w:rPr>
                <w:rFonts w:eastAsia="Times New Roman" w:cs="Calibri"/>
                <w:color w:val="FFFFFF"/>
                <w:sz w:val="16"/>
                <w:szCs w:val="16"/>
                <w:lang w:eastAsia="it-IT"/>
              </w:rPr>
            </w:pPr>
            <w:r w:rsidRPr="009F64DC">
              <w:rPr>
                <w:rFonts w:eastAsia="Times New Roman" w:cs="Calibri"/>
                <w:color w:val="FFFFFF"/>
                <w:sz w:val="16"/>
                <w:szCs w:val="16"/>
                <w:lang w:eastAsia="it-IT"/>
              </w:rPr>
              <w:t>Totale</w:t>
            </w:r>
          </w:p>
        </w:tc>
        <w:tc>
          <w:tcPr>
            <w:tcW w:w="294" w:type="pct"/>
            <w:tcBorders>
              <w:top w:val="nil"/>
              <w:left w:val="nil"/>
              <w:bottom w:val="nil"/>
              <w:right w:val="nil"/>
            </w:tcBorders>
            <w:shd w:val="clear" w:color="auto" w:fill="669748" w:themeFill="accent2" w:themeFillShade="BF"/>
            <w:vAlign w:val="center"/>
            <w:hideMark/>
          </w:tcPr>
          <w:p w14:paraId="42CFEF96" w14:textId="77777777" w:rsidR="00A35CEC" w:rsidRPr="009F64DC" w:rsidRDefault="00A35CEC" w:rsidP="00A35CEC">
            <w:pPr>
              <w:jc w:val="left"/>
              <w:rPr>
                <w:rFonts w:eastAsia="Times New Roman" w:cs="Calibri"/>
                <w:color w:val="FFFFFF"/>
                <w:sz w:val="16"/>
                <w:szCs w:val="16"/>
                <w:lang w:eastAsia="it-IT"/>
              </w:rPr>
            </w:pPr>
            <w:r w:rsidRPr="009F64DC">
              <w:rPr>
                <w:rFonts w:eastAsia="Times New Roman" w:cs="Calibri"/>
                <w:color w:val="FFFFFF"/>
                <w:sz w:val="16"/>
                <w:szCs w:val="16"/>
                <w:lang w:eastAsia="it-IT"/>
              </w:rPr>
              <w:t>Uomini</w:t>
            </w:r>
          </w:p>
        </w:tc>
        <w:tc>
          <w:tcPr>
            <w:tcW w:w="294" w:type="pct"/>
            <w:tcBorders>
              <w:top w:val="nil"/>
              <w:left w:val="nil"/>
              <w:bottom w:val="nil"/>
              <w:right w:val="nil"/>
            </w:tcBorders>
            <w:shd w:val="clear" w:color="auto" w:fill="669748" w:themeFill="accent2" w:themeFillShade="BF"/>
            <w:vAlign w:val="center"/>
            <w:hideMark/>
          </w:tcPr>
          <w:p w14:paraId="3E2727A2" w14:textId="77777777" w:rsidR="00A35CEC" w:rsidRPr="009F64DC" w:rsidRDefault="00A35CEC" w:rsidP="00A35CEC">
            <w:pPr>
              <w:jc w:val="left"/>
              <w:rPr>
                <w:rFonts w:eastAsia="Times New Roman" w:cs="Calibri"/>
                <w:color w:val="FFFFFF"/>
                <w:sz w:val="16"/>
                <w:szCs w:val="16"/>
                <w:lang w:eastAsia="it-IT"/>
              </w:rPr>
            </w:pPr>
            <w:r w:rsidRPr="009F64DC">
              <w:rPr>
                <w:rFonts w:eastAsia="Times New Roman" w:cs="Calibri"/>
                <w:color w:val="FFFFFF"/>
                <w:sz w:val="16"/>
                <w:szCs w:val="16"/>
                <w:lang w:eastAsia="it-IT"/>
              </w:rPr>
              <w:t>Donne</w:t>
            </w:r>
          </w:p>
        </w:tc>
        <w:tc>
          <w:tcPr>
            <w:tcW w:w="294" w:type="pct"/>
            <w:tcBorders>
              <w:top w:val="nil"/>
              <w:left w:val="nil"/>
              <w:bottom w:val="nil"/>
              <w:right w:val="nil"/>
            </w:tcBorders>
            <w:shd w:val="clear" w:color="auto" w:fill="669748" w:themeFill="accent2" w:themeFillShade="BF"/>
            <w:vAlign w:val="center"/>
            <w:hideMark/>
          </w:tcPr>
          <w:p w14:paraId="7F283908" w14:textId="77777777" w:rsidR="00A35CEC" w:rsidRPr="009F64DC" w:rsidRDefault="00A35CEC" w:rsidP="00A35CEC">
            <w:pPr>
              <w:jc w:val="left"/>
              <w:rPr>
                <w:rFonts w:eastAsia="Times New Roman" w:cs="Calibri"/>
                <w:color w:val="FFFFFF"/>
                <w:sz w:val="16"/>
                <w:szCs w:val="16"/>
                <w:lang w:eastAsia="it-IT"/>
              </w:rPr>
            </w:pPr>
            <w:r w:rsidRPr="009F64DC">
              <w:rPr>
                <w:rFonts w:eastAsia="Times New Roman" w:cs="Calibri"/>
                <w:color w:val="FFFFFF"/>
                <w:sz w:val="16"/>
                <w:szCs w:val="16"/>
                <w:lang w:eastAsia="it-IT"/>
              </w:rPr>
              <w:t>Totale</w:t>
            </w:r>
          </w:p>
        </w:tc>
        <w:tc>
          <w:tcPr>
            <w:tcW w:w="294" w:type="pct"/>
            <w:tcBorders>
              <w:top w:val="nil"/>
              <w:left w:val="nil"/>
              <w:bottom w:val="nil"/>
              <w:right w:val="nil"/>
            </w:tcBorders>
            <w:shd w:val="clear" w:color="auto" w:fill="669748" w:themeFill="accent2" w:themeFillShade="BF"/>
            <w:vAlign w:val="center"/>
            <w:hideMark/>
          </w:tcPr>
          <w:p w14:paraId="4520D72D" w14:textId="77777777" w:rsidR="00A35CEC" w:rsidRPr="009F64DC" w:rsidRDefault="00A35CEC" w:rsidP="00A35CEC">
            <w:pPr>
              <w:jc w:val="left"/>
              <w:rPr>
                <w:rFonts w:eastAsia="Times New Roman" w:cs="Calibri"/>
                <w:color w:val="FFFFFF"/>
                <w:sz w:val="16"/>
                <w:szCs w:val="16"/>
                <w:lang w:eastAsia="it-IT"/>
              </w:rPr>
            </w:pPr>
            <w:r w:rsidRPr="009F64DC">
              <w:rPr>
                <w:rFonts w:eastAsia="Times New Roman" w:cs="Calibri"/>
                <w:color w:val="FFFFFF"/>
                <w:sz w:val="16"/>
                <w:szCs w:val="16"/>
                <w:lang w:eastAsia="it-IT"/>
              </w:rPr>
              <w:t>Uomini</w:t>
            </w:r>
          </w:p>
        </w:tc>
        <w:tc>
          <w:tcPr>
            <w:tcW w:w="294" w:type="pct"/>
            <w:tcBorders>
              <w:top w:val="nil"/>
              <w:left w:val="nil"/>
              <w:bottom w:val="nil"/>
              <w:right w:val="nil"/>
            </w:tcBorders>
            <w:shd w:val="clear" w:color="auto" w:fill="669748" w:themeFill="accent2" w:themeFillShade="BF"/>
            <w:vAlign w:val="center"/>
            <w:hideMark/>
          </w:tcPr>
          <w:p w14:paraId="17EBA926" w14:textId="77777777" w:rsidR="00A35CEC" w:rsidRPr="009F64DC" w:rsidRDefault="00A35CEC" w:rsidP="00A35CEC">
            <w:pPr>
              <w:jc w:val="left"/>
              <w:rPr>
                <w:rFonts w:eastAsia="Times New Roman" w:cs="Calibri"/>
                <w:color w:val="FFFFFF"/>
                <w:sz w:val="16"/>
                <w:szCs w:val="16"/>
                <w:lang w:eastAsia="it-IT"/>
              </w:rPr>
            </w:pPr>
            <w:r w:rsidRPr="009F64DC">
              <w:rPr>
                <w:rFonts w:eastAsia="Times New Roman" w:cs="Calibri"/>
                <w:color w:val="FFFFFF"/>
                <w:sz w:val="16"/>
                <w:szCs w:val="16"/>
                <w:lang w:eastAsia="it-IT"/>
              </w:rPr>
              <w:t>Donne</w:t>
            </w:r>
          </w:p>
        </w:tc>
        <w:tc>
          <w:tcPr>
            <w:tcW w:w="293" w:type="pct"/>
            <w:tcBorders>
              <w:top w:val="nil"/>
              <w:left w:val="nil"/>
              <w:bottom w:val="nil"/>
              <w:right w:val="nil"/>
            </w:tcBorders>
            <w:shd w:val="clear" w:color="auto" w:fill="669748" w:themeFill="accent2" w:themeFillShade="BF"/>
            <w:vAlign w:val="center"/>
            <w:hideMark/>
          </w:tcPr>
          <w:p w14:paraId="46C4DB70" w14:textId="77777777" w:rsidR="00A35CEC" w:rsidRPr="009F64DC" w:rsidRDefault="00A35CEC" w:rsidP="00A35CEC">
            <w:pPr>
              <w:jc w:val="left"/>
              <w:rPr>
                <w:rFonts w:eastAsia="Times New Roman" w:cs="Calibri"/>
                <w:color w:val="FFFFFF"/>
                <w:sz w:val="16"/>
                <w:szCs w:val="16"/>
                <w:lang w:eastAsia="it-IT"/>
              </w:rPr>
            </w:pPr>
            <w:r w:rsidRPr="009F64DC">
              <w:rPr>
                <w:rFonts w:eastAsia="Times New Roman" w:cs="Calibri"/>
                <w:color w:val="FFFFFF"/>
                <w:sz w:val="16"/>
                <w:szCs w:val="16"/>
                <w:lang w:eastAsia="it-IT"/>
              </w:rPr>
              <w:t>Totale</w:t>
            </w:r>
          </w:p>
        </w:tc>
        <w:tc>
          <w:tcPr>
            <w:tcW w:w="294" w:type="pct"/>
            <w:tcBorders>
              <w:top w:val="nil"/>
              <w:left w:val="nil"/>
              <w:bottom w:val="nil"/>
              <w:right w:val="nil"/>
            </w:tcBorders>
            <w:shd w:val="clear" w:color="auto" w:fill="669748" w:themeFill="accent2" w:themeFillShade="BF"/>
            <w:vAlign w:val="center"/>
            <w:hideMark/>
          </w:tcPr>
          <w:p w14:paraId="09234037" w14:textId="77777777" w:rsidR="00A35CEC" w:rsidRPr="009F64DC" w:rsidRDefault="00A35CEC" w:rsidP="00A35CEC">
            <w:pPr>
              <w:jc w:val="left"/>
              <w:rPr>
                <w:rFonts w:eastAsia="Times New Roman" w:cs="Calibri"/>
                <w:color w:val="FFFFFF"/>
                <w:sz w:val="16"/>
                <w:szCs w:val="16"/>
                <w:lang w:eastAsia="it-IT"/>
              </w:rPr>
            </w:pPr>
            <w:r w:rsidRPr="009F64DC">
              <w:rPr>
                <w:rFonts w:eastAsia="Times New Roman" w:cs="Calibri"/>
                <w:color w:val="FFFFFF"/>
                <w:sz w:val="16"/>
                <w:szCs w:val="16"/>
                <w:lang w:eastAsia="it-IT"/>
              </w:rPr>
              <w:t>Uomini</w:t>
            </w:r>
          </w:p>
        </w:tc>
        <w:tc>
          <w:tcPr>
            <w:tcW w:w="295" w:type="pct"/>
            <w:tcBorders>
              <w:top w:val="nil"/>
              <w:left w:val="nil"/>
              <w:bottom w:val="nil"/>
              <w:right w:val="nil"/>
            </w:tcBorders>
            <w:shd w:val="clear" w:color="auto" w:fill="669748" w:themeFill="accent2" w:themeFillShade="BF"/>
            <w:vAlign w:val="center"/>
            <w:hideMark/>
          </w:tcPr>
          <w:p w14:paraId="2863405E" w14:textId="77777777" w:rsidR="00A35CEC" w:rsidRPr="009F64DC" w:rsidRDefault="00A35CEC" w:rsidP="00A35CEC">
            <w:pPr>
              <w:jc w:val="left"/>
              <w:rPr>
                <w:rFonts w:eastAsia="Times New Roman" w:cs="Calibri"/>
                <w:color w:val="FFFFFF"/>
                <w:sz w:val="16"/>
                <w:szCs w:val="16"/>
                <w:lang w:eastAsia="it-IT"/>
              </w:rPr>
            </w:pPr>
            <w:r w:rsidRPr="009F64DC">
              <w:rPr>
                <w:rFonts w:eastAsia="Times New Roman" w:cs="Calibri"/>
                <w:color w:val="FFFFFF"/>
                <w:sz w:val="16"/>
                <w:szCs w:val="16"/>
                <w:lang w:eastAsia="it-IT"/>
              </w:rPr>
              <w:t>Donne</w:t>
            </w:r>
          </w:p>
        </w:tc>
      </w:tr>
      <w:tr w:rsidR="009F64DC" w:rsidRPr="00A35CEC" w14:paraId="7EB611E7" w14:textId="77777777" w:rsidTr="009F64DC">
        <w:trPr>
          <w:trHeight w:val="330"/>
        </w:trPr>
        <w:tc>
          <w:tcPr>
            <w:tcW w:w="191" w:type="pct"/>
            <w:tcBorders>
              <w:top w:val="nil"/>
              <w:left w:val="nil"/>
              <w:bottom w:val="nil"/>
              <w:right w:val="nil"/>
            </w:tcBorders>
            <w:shd w:val="clear" w:color="000000" w:fill="E7E6E6"/>
            <w:vAlign w:val="bottom"/>
            <w:hideMark/>
          </w:tcPr>
          <w:p w14:paraId="2F4112FB" w14:textId="77777777" w:rsidR="00A35CEC" w:rsidRPr="00624B2A" w:rsidRDefault="00A35CEC" w:rsidP="00A35CEC">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Asse IV</w:t>
            </w:r>
          </w:p>
        </w:tc>
        <w:tc>
          <w:tcPr>
            <w:tcW w:w="470" w:type="pct"/>
            <w:tcBorders>
              <w:top w:val="nil"/>
              <w:left w:val="nil"/>
              <w:bottom w:val="single" w:sz="4" w:space="0" w:color="305496"/>
              <w:right w:val="nil"/>
            </w:tcBorders>
            <w:shd w:val="clear" w:color="000000" w:fill="E7E6E6"/>
            <w:vAlign w:val="bottom"/>
            <w:hideMark/>
          </w:tcPr>
          <w:p w14:paraId="6E81F33C" w14:textId="77777777" w:rsidR="00A35CEC" w:rsidRPr="00624B2A" w:rsidRDefault="00A35CEC" w:rsidP="00A35CEC">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1691" w:type="pct"/>
            <w:tcBorders>
              <w:top w:val="nil"/>
              <w:left w:val="nil"/>
              <w:bottom w:val="single" w:sz="4" w:space="0" w:color="305496"/>
              <w:right w:val="nil"/>
            </w:tcBorders>
            <w:shd w:val="clear" w:color="000000" w:fill="E7E6E6"/>
            <w:vAlign w:val="bottom"/>
            <w:hideMark/>
          </w:tcPr>
          <w:p w14:paraId="0A5D43A7" w14:textId="77777777" w:rsidR="00A35CEC" w:rsidRPr="00624B2A" w:rsidRDefault="00A35CEC" w:rsidP="00A35CEC">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95" w:type="pct"/>
            <w:tcBorders>
              <w:top w:val="nil"/>
              <w:left w:val="nil"/>
              <w:bottom w:val="single" w:sz="4" w:space="0" w:color="305496"/>
              <w:right w:val="nil"/>
            </w:tcBorders>
            <w:shd w:val="clear" w:color="000000" w:fill="E7E6E6"/>
            <w:vAlign w:val="bottom"/>
            <w:hideMark/>
          </w:tcPr>
          <w:p w14:paraId="36F92513" w14:textId="77777777" w:rsidR="00A35CEC" w:rsidRPr="00624B2A" w:rsidRDefault="00A35CEC" w:rsidP="00A35CEC">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94" w:type="pct"/>
            <w:tcBorders>
              <w:top w:val="nil"/>
              <w:left w:val="nil"/>
              <w:bottom w:val="single" w:sz="4" w:space="0" w:color="305496"/>
              <w:right w:val="nil"/>
            </w:tcBorders>
            <w:shd w:val="clear" w:color="000000" w:fill="E7E6E6"/>
            <w:vAlign w:val="bottom"/>
            <w:hideMark/>
          </w:tcPr>
          <w:p w14:paraId="0F1027B7" w14:textId="77777777" w:rsidR="00A35CEC" w:rsidRPr="00624B2A" w:rsidRDefault="00A35CEC" w:rsidP="00A35CEC">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94" w:type="pct"/>
            <w:tcBorders>
              <w:top w:val="nil"/>
              <w:left w:val="nil"/>
              <w:bottom w:val="single" w:sz="4" w:space="0" w:color="305496"/>
              <w:right w:val="nil"/>
            </w:tcBorders>
            <w:shd w:val="clear" w:color="000000" w:fill="E7E6E6"/>
            <w:vAlign w:val="bottom"/>
            <w:hideMark/>
          </w:tcPr>
          <w:p w14:paraId="79D05AD6" w14:textId="77777777" w:rsidR="00A35CEC" w:rsidRPr="00624B2A" w:rsidRDefault="00A35CEC" w:rsidP="00A35CEC">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94" w:type="pct"/>
            <w:tcBorders>
              <w:top w:val="nil"/>
              <w:left w:val="nil"/>
              <w:bottom w:val="single" w:sz="4" w:space="0" w:color="305496"/>
              <w:right w:val="nil"/>
            </w:tcBorders>
            <w:shd w:val="clear" w:color="000000" w:fill="E7E6E6"/>
            <w:vAlign w:val="bottom"/>
            <w:hideMark/>
          </w:tcPr>
          <w:p w14:paraId="4939CF42" w14:textId="77777777" w:rsidR="00A35CEC" w:rsidRPr="00624B2A" w:rsidRDefault="00A35CEC" w:rsidP="00A35CEC">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94" w:type="pct"/>
            <w:tcBorders>
              <w:top w:val="nil"/>
              <w:left w:val="nil"/>
              <w:bottom w:val="single" w:sz="4" w:space="0" w:color="305496"/>
              <w:right w:val="nil"/>
            </w:tcBorders>
            <w:shd w:val="clear" w:color="000000" w:fill="E7E6E6"/>
            <w:vAlign w:val="bottom"/>
            <w:hideMark/>
          </w:tcPr>
          <w:p w14:paraId="49D0F935" w14:textId="77777777" w:rsidR="00A35CEC" w:rsidRPr="00624B2A" w:rsidRDefault="00A35CEC" w:rsidP="00A35CEC">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94" w:type="pct"/>
            <w:tcBorders>
              <w:top w:val="nil"/>
              <w:left w:val="nil"/>
              <w:bottom w:val="single" w:sz="4" w:space="0" w:color="305496"/>
              <w:right w:val="nil"/>
            </w:tcBorders>
            <w:shd w:val="clear" w:color="000000" w:fill="E7E6E6"/>
            <w:vAlign w:val="bottom"/>
            <w:hideMark/>
          </w:tcPr>
          <w:p w14:paraId="70F5451C" w14:textId="77777777" w:rsidR="00A35CEC" w:rsidRPr="00624B2A" w:rsidRDefault="00A35CEC" w:rsidP="00A35CEC">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93" w:type="pct"/>
            <w:tcBorders>
              <w:top w:val="nil"/>
              <w:left w:val="nil"/>
              <w:bottom w:val="single" w:sz="4" w:space="0" w:color="305496"/>
              <w:right w:val="nil"/>
            </w:tcBorders>
            <w:shd w:val="clear" w:color="000000" w:fill="E7E6E6"/>
            <w:vAlign w:val="bottom"/>
            <w:hideMark/>
          </w:tcPr>
          <w:p w14:paraId="0C6941BB" w14:textId="77777777" w:rsidR="00A35CEC" w:rsidRPr="00624B2A" w:rsidRDefault="00A35CEC" w:rsidP="00A35CEC">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94" w:type="pct"/>
            <w:tcBorders>
              <w:top w:val="nil"/>
              <w:left w:val="nil"/>
              <w:bottom w:val="single" w:sz="4" w:space="0" w:color="305496"/>
              <w:right w:val="nil"/>
            </w:tcBorders>
            <w:shd w:val="clear" w:color="000000" w:fill="E7E6E6"/>
            <w:vAlign w:val="bottom"/>
            <w:hideMark/>
          </w:tcPr>
          <w:p w14:paraId="3D0B4E78" w14:textId="77777777" w:rsidR="00A35CEC" w:rsidRPr="00624B2A" w:rsidRDefault="00A35CEC" w:rsidP="00A35CEC">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c>
          <w:tcPr>
            <w:tcW w:w="295" w:type="pct"/>
            <w:tcBorders>
              <w:top w:val="nil"/>
              <w:left w:val="nil"/>
              <w:bottom w:val="single" w:sz="4" w:space="0" w:color="305496"/>
              <w:right w:val="nil"/>
            </w:tcBorders>
            <w:shd w:val="clear" w:color="000000" w:fill="E7E6E6"/>
            <w:vAlign w:val="bottom"/>
            <w:hideMark/>
          </w:tcPr>
          <w:p w14:paraId="75CE1986" w14:textId="77777777" w:rsidR="00A35CEC" w:rsidRPr="00624B2A" w:rsidRDefault="00A35CEC" w:rsidP="00A35CEC">
            <w:pPr>
              <w:jc w:val="left"/>
              <w:rPr>
                <w:rFonts w:eastAsia="Times New Roman" w:cs="Calibri"/>
                <w:b/>
                <w:bCs/>
                <w:color w:val="000000"/>
                <w:sz w:val="16"/>
                <w:szCs w:val="16"/>
                <w:lang w:eastAsia="it-IT"/>
              </w:rPr>
            </w:pPr>
            <w:r w:rsidRPr="00624B2A">
              <w:rPr>
                <w:rFonts w:eastAsia="Times New Roman" w:cs="Calibri"/>
                <w:b/>
                <w:bCs/>
                <w:color w:val="000000"/>
                <w:sz w:val="16"/>
                <w:szCs w:val="16"/>
                <w:lang w:eastAsia="it-IT"/>
              </w:rPr>
              <w:t> </w:t>
            </w:r>
          </w:p>
        </w:tc>
      </w:tr>
      <w:tr w:rsidR="009F64DC" w:rsidRPr="00A35CEC" w14:paraId="630D134D" w14:textId="77777777" w:rsidTr="00140591">
        <w:trPr>
          <w:trHeight w:val="800"/>
        </w:trPr>
        <w:tc>
          <w:tcPr>
            <w:tcW w:w="191" w:type="pct"/>
            <w:tcBorders>
              <w:top w:val="single" w:sz="4" w:space="0" w:color="305496"/>
              <w:left w:val="nil"/>
              <w:bottom w:val="nil"/>
              <w:right w:val="nil"/>
            </w:tcBorders>
            <w:shd w:val="clear" w:color="auto" w:fill="auto"/>
            <w:noWrap/>
            <w:vAlign w:val="bottom"/>
            <w:hideMark/>
          </w:tcPr>
          <w:p w14:paraId="29D9BE3C" w14:textId="77777777" w:rsidR="00A35CEC" w:rsidRPr="00624B2A" w:rsidRDefault="00A35CEC" w:rsidP="00A35CEC">
            <w:pPr>
              <w:jc w:val="left"/>
              <w:rPr>
                <w:rFonts w:eastAsia="Times New Roman" w:cs="Calibri"/>
                <w:color w:val="000000"/>
                <w:sz w:val="16"/>
                <w:szCs w:val="16"/>
                <w:lang w:eastAsia="it-IT"/>
              </w:rPr>
            </w:pPr>
            <w:r w:rsidRPr="00624B2A">
              <w:rPr>
                <w:rFonts w:eastAsia="Times New Roman" w:cs="Calibri"/>
                <w:color w:val="000000"/>
                <w:sz w:val="16"/>
                <w:szCs w:val="16"/>
                <w:lang w:eastAsia="it-IT"/>
              </w:rPr>
              <w:t>11i</w:t>
            </w:r>
          </w:p>
        </w:tc>
        <w:tc>
          <w:tcPr>
            <w:tcW w:w="470" w:type="pct"/>
            <w:tcBorders>
              <w:top w:val="nil"/>
              <w:left w:val="nil"/>
              <w:bottom w:val="nil"/>
              <w:right w:val="nil"/>
            </w:tcBorders>
            <w:shd w:val="clear" w:color="auto" w:fill="auto"/>
            <w:noWrap/>
            <w:vAlign w:val="bottom"/>
            <w:hideMark/>
          </w:tcPr>
          <w:p w14:paraId="2163CC41" w14:textId="77777777" w:rsidR="00A35CEC" w:rsidRPr="00624B2A" w:rsidRDefault="00A35CEC" w:rsidP="00A35CEC">
            <w:pPr>
              <w:jc w:val="left"/>
              <w:rPr>
                <w:rFonts w:eastAsia="Times New Roman" w:cs="Calibri"/>
                <w:color w:val="000000"/>
                <w:sz w:val="16"/>
                <w:szCs w:val="16"/>
                <w:lang w:eastAsia="it-IT"/>
              </w:rPr>
            </w:pPr>
            <w:r w:rsidRPr="00624B2A">
              <w:rPr>
                <w:rFonts w:eastAsia="Times New Roman" w:cs="Calibri"/>
                <w:color w:val="000000"/>
                <w:sz w:val="16"/>
                <w:szCs w:val="16"/>
                <w:lang w:eastAsia="it-IT"/>
              </w:rPr>
              <w:t>d2.2</w:t>
            </w:r>
          </w:p>
        </w:tc>
        <w:tc>
          <w:tcPr>
            <w:tcW w:w="1691" w:type="pct"/>
            <w:tcBorders>
              <w:top w:val="nil"/>
              <w:left w:val="nil"/>
              <w:bottom w:val="nil"/>
              <w:right w:val="nil"/>
            </w:tcBorders>
            <w:shd w:val="clear" w:color="auto" w:fill="auto"/>
            <w:vAlign w:val="bottom"/>
            <w:hideMark/>
          </w:tcPr>
          <w:p w14:paraId="0C9FA5E5" w14:textId="77777777" w:rsidR="00A35CEC" w:rsidRPr="00624B2A" w:rsidRDefault="00A35CEC" w:rsidP="00A35CEC">
            <w:pPr>
              <w:jc w:val="left"/>
              <w:rPr>
                <w:rFonts w:eastAsia="Times New Roman" w:cs="Calibri"/>
                <w:color w:val="000000"/>
                <w:sz w:val="16"/>
                <w:szCs w:val="16"/>
                <w:lang w:eastAsia="it-IT"/>
              </w:rPr>
            </w:pPr>
            <w:r w:rsidRPr="00624B2A">
              <w:rPr>
                <w:rFonts w:eastAsia="Times New Roman" w:cs="Calibri"/>
                <w:color w:val="000000"/>
                <w:sz w:val="16"/>
                <w:szCs w:val="16"/>
                <w:lang w:eastAsia="it-IT"/>
              </w:rPr>
              <w:t>Amministrazioni che al termine dell'intervento sono in grado di utilizzare strumenti IT per l'interoperabilità delle banche dati in materia ambientale e servizi diversi (%)</w:t>
            </w:r>
          </w:p>
        </w:tc>
        <w:tc>
          <w:tcPr>
            <w:tcW w:w="295" w:type="pct"/>
            <w:tcBorders>
              <w:top w:val="nil"/>
              <w:left w:val="nil"/>
              <w:bottom w:val="nil"/>
              <w:right w:val="nil"/>
            </w:tcBorders>
            <w:shd w:val="clear" w:color="auto" w:fill="auto"/>
            <w:noWrap/>
            <w:vAlign w:val="bottom"/>
            <w:hideMark/>
          </w:tcPr>
          <w:p w14:paraId="63ABF238" w14:textId="77777777" w:rsidR="00A35CEC" w:rsidRPr="00624B2A" w:rsidRDefault="00A35CEC" w:rsidP="00A35CEC">
            <w:pPr>
              <w:jc w:val="right"/>
              <w:rPr>
                <w:rFonts w:eastAsia="Times New Roman" w:cs="Calibri"/>
                <w:sz w:val="16"/>
                <w:szCs w:val="16"/>
                <w:lang w:eastAsia="it-IT"/>
              </w:rPr>
            </w:pPr>
            <w:r w:rsidRPr="00624B2A">
              <w:rPr>
                <w:rFonts w:eastAsia="Times New Roman" w:cs="Calibri"/>
                <w:sz w:val="16"/>
                <w:szCs w:val="16"/>
                <w:lang w:eastAsia="it-IT"/>
              </w:rPr>
              <w:t>90%</w:t>
            </w:r>
          </w:p>
        </w:tc>
        <w:tc>
          <w:tcPr>
            <w:tcW w:w="294" w:type="pct"/>
            <w:tcBorders>
              <w:top w:val="nil"/>
              <w:left w:val="nil"/>
              <w:bottom w:val="nil"/>
              <w:right w:val="nil"/>
            </w:tcBorders>
            <w:shd w:val="clear" w:color="auto" w:fill="auto"/>
            <w:noWrap/>
            <w:vAlign w:val="bottom"/>
            <w:hideMark/>
          </w:tcPr>
          <w:p w14:paraId="567838BE" w14:textId="77777777" w:rsidR="00A35CEC" w:rsidRPr="00624B2A" w:rsidRDefault="00A35CEC" w:rsidP="00A35CEC">
            <w:pPr>
              <w:jc w:val="right"/>
              <w:rPr>
                <w:rFonts w:eastAsia="Times New Roman" w:cs="Calibri"/>
                <w:sz w:val="16"/>
                <w:szCs w:val="16"/>
                <w:lang w:eastAsia="it-IT"/>
              </w:rPr>
            </w:pPr>
            <w:r w:rsidRPr="00624B2A">
              <w:rPr>
                <w:rFonts w:eastAsia="Times New Roman" w:cs="Calibri"/>
                <w:sz w:val="16"/>
                <w:szCs w:val="16"/>
                <w:lang w:eastAsia="it-IT"/>
              </w:rPr>
              <w:t> </w:t>
            </w:r>
          </w:p>
        </w:tc>
        <w:tc>
          <w:tcPr>
            <w:tcW w:w="294" w:type="pct"/>
            <w:tcBorders>
              <w:top w:val="nil"/>
              <w:left w:val="nil"/>
              <w:bottom w:val="nil"/>
              <w:right w:val="nil"/>
            </w:tcBorders>
            <w:shd w:val="clear" w:color="auto" w:fill="auto"/>
            <w:noWrap/>
            <w:vAlign w:val="bottom"/>
            <w:hideMark/>
          </w:tcPr>
          <w:p w14:paraId="5D25A82A" w14:textId="77777777" w:rsidR="00A35CEC" w:rsidRPr="00624B2A" w:rsidRDefault="00A35CEC" w:rsidP="00A35CEC">
            <w:pPr>
              <w:jc w:val="right"/>
              <w:rPr>
                <w:rFonts w:eastAsia="Times New Roman" w:cs="Calibri"/>
                <w:sz w:val="16"/>
                <w:szCs w:val="16"/>
                <w:lang w:eastAsia="it-IT"/>
              </w:rPr>
            </w:pPr>
            <w:r w:rsidRPr="00624B2A">
              <w:rPr>
                <w:rFonts w:eastAsia="Times New Roman" w:cs="Calibri"/>
                <w:sz w:val="16"/>
                <w:szCs w:val="16"/>
                <w:lang w:eastAsia="it-IT"/>
              </w:rPr>
              <w:t> </w:t>
            </w:r>
          </w:p>
        </w:tc>
        <w:tc>
          <w:tcPr>
            <w:tcW w:w="294" w:type="pct"/>
            <w:tcBorders>
              <w:top w:val="nil"/>
              <w:left w:val="nil"/>
              <w:bottom w:val="nil"/>
              <w:right w:val="nil"/>
            </w:tcBorders>
            <w:shd w:val="clear" w:color="auto" w:fill="auto"/>
            <w:vAlign w:val="bottom"/>
            <w:hideMark/>
          </w:tcPr>
          <w:p w14:paraId="08B1369E" w14:textId="77777777" w:rsidR="00A35CEC" w:rsidRPr="00624B2A" w:rsidRDefault="00A35CEC" w:rsidP="00A35CEC">
            <w:pPr>
              <w:jc w:val="right"/>
              <w:rPr>
                <w:rFonts w:eastAsia="Times New Roman" w:cs="Calibri"/>
                <w:color w:val="000000"/>
                <w:sz w:val="16"/>
                <w:szCs w:val="16"/>
                <w:lang w:eastAsia="it-IT"/>
              </w:rPr>
            </w:pPr>
            <w:r w:rsidRPr="00624B2A">
              <w:rPr>
                <w:rFonts w:eastAsia="Times New Roman" w:cs="Calibri"/>
                <w:color w:val="000000"/>
                <w:sz w:val="16"/>
                <w:szCs w:val="16"/>
                <w:lang w:eastAsia="it-IT"/>
              </w:rPr>
              <w:t>18%</w:t>
            </w:r>
          </w:p>
        </w:tc>
        <w:tc>
          <w:tcPr>
            <w:tcW w:w="294" w:type="pct"/>
            <w:tcBorders>
              <w:top w:val="nil"/>
              <w:left w:val="nil"/>
              <w:bottom w:val="nil"/>
              <w:right w:val="nil"/>
            </w:tcBorders>
            <w:shd w:val="clear" w:color="auto" w:fill="auto"/>
            <w:vAlign w:val="bottom"/>
            <w:hideMark/>
          </w:tcPr>
          <w:p w14:paraId="1188F955" w14:textId="77777777" w:rsidR="00A35CEC" w:rsidRPr="00624B2A" w:rsidRDefault="00A35CEC" w:rsidP="00A35CEC">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p>
        </w:tc>
        <w:tc>
          <w:tcPr>
            <w:tcW w:w="294" w:type="pct"/>
            <w:tcBorders>
              <w:top w:val="nil"/>
              <w:left w:val="nil"/>
              <w:bottom w:val="nil"/>
              <w:right w:val="nil"/>
            </w:tcBorders>
            <w:shd w:val="clear" w:color="auto" w:fill="auto"/>
            <w:vAlign w:val="bottom"/>
            <w:hideMark/>
          </w:tcPr>
          <w:p w14:paraId="4ED1F29E" w14:textId="77777777" w:rsidR="00A35CEC" w:rsidRPr="00624B2A" w:rsidRDefault="00A35CEC" w:rsidP="00A35CEC">
            <w:pPr>
              <w:jc w:val="right"/>
              <w:rPr>
                <w:rFonts w:eastAsia="Times New Roman" w:cs="Calibri"/>
                <w:color w:val="000000"/>
                <w:sz w:val="16"/>
                <w:szCs w:val="16"/>
                <w:lang w:eastAsia="it-IT"/>
              </w:rPr>
            </w:pPr>
            <w:r w:rsidRPr="00624B2A">
              <w:rPr>
                <w:rFonts w:eastAsia="Times New Roman" w:cs="Calibri"/>
                <w:color w:val="000000"/>
                <w:sz w:val="16"/>
                <w:szCs w:val="16"/>
                <w:lang w:eastAsia="it-IT"/>
              </w:rPr>
              <w:t> </w:t>
            </w:r>
          </w:p>
        </w:tc>
        <w:tc>
          <w:tcPr>
            <w:tcW w:w="293" w:type="pct"/>
            <w:tcBorders>
              <w:top w:val="nil"/>
              <w:left w:val="nil"/>
              <w:bottom w:val="nil"/>
              <w:right w:val="nil"/>
            </w:tcBorders>
            <w:shd w:val="clear" w:color="auto" w:fill="auto"/>
            <w:noWrap/>
            <w:vAlign w:val="bottom"/>
            <w:hideMark/>
          </w:tcPr>
          <w:p w14:paraId="67556ED6" w14:textId="77777777" w:rsidR="00A35CEC" w:rsidRPr="00624B2A" w:rsidRDefault="00A35CEC" w:rsidP="00A35CEC">
            <w:pPr>
              <w:jc w:val="right"/>
              <w:rPr>
                <w:rFonts w:eastAsia="Times New Roman" w:cs="Calibri"/>
                <w:sz w:val="16"/>
                <w:szCs w:val="16"/>
                <w:lang w:eastAsia="it-IT"/>
              </w:rPr>
            </w:pPr>
            <w:r w:rsidRPr="00624B2A">
              <w:rPr>
                <w:rFonts w:eastAsia="Times New Roman" w:cs="Calibri"/>
                <w:sz w:val="16"/>
                <w:szCs w:val="16"/>
                <w:lang w:eastAsia="it-IT"/>
              </w:rPr>
              <w:t>20%</w:t>
            </w:r>
          </w:p>
        </w:tc>
        <w:tc>
          <w:tcPr>
            <w:tcW w:w="294" w:type="pct"/>
            <w:tcBorders>
              <w:top w:val="nil"/>
              <w:left w:val="nil"/>
              <w:bottom w:val="nil"/>
              <w:right w:val="nil"/>
            </w:tcBorders>
            <w:shd w:val="clear" w:color="auto" w:fill="auto"/>
            <w:noWrap/>
            <w:vAlign w:val="bottom"/>
            <w:hideMark/>
          </w:tcPr>
          <w:p w14:paraId="538A06F8" w14:textId="77777777" w:rsidR="00A35CEC" w:rsidRPr="00624B2A" w:rsidRDefault="00A35CEC" w:rsidP="00A35CEC">
            <w:pPr>
              <w:jc w:val="right"/>
              <w:rPr>
                <w:rFonts w:eastAsia="Times New Roman" w:cs="Calibri"/>
                <w:sz w:val="16"/>
                <w:szCs w:val="16"/>
                <w:lang w:eastAsia="it-IT"/>
              </w:rPr>
            </w:pPr>
            <w:r w:rsidRPr="00624B2A">
              <w:rPr>
                <w:rFonts w:eastAsia="Times New Roman" w:cs="Calibri"/>
                <w:sz w:val="16"/>
                <w:szCs w:val="16"/>
                <w:lang w:eastAsia="it-IT"/>
              </w:rPr>
              <w:t> </w:t>
            </w:r>
          </w:p>
        </w:tc>
        <w:tc>
          <w:tcPr>
            <w:tcW w:w="295" w:type="pct"/>
            <w:tcBorders>
              <w:top w:val="nil"/>
              <w:left w:val="nil"/>
              <w:bottom w:val="nil"/>
              <w:right w:val="nil"/>
            </w:tcBorders>
            <w:shd w:val="clear" w:color="auto" w:fill="auto"/>
            <w:noWrap/>
            <w:vAlign w:val="bottom"/>
            <w:hideMark/>
          </w:tcPr>
          <w:p w14:paraId="713A4244" w14:textId="77777777" w:rsidR="00A35CEC" w:rsidRPr="00624B2A" w:rsidRDefault="00A35CEC" w:rsidP="00A35CEC">
            <w:pPr>
              <w:jc w:val="right"/>
              <w:rPr>
                <w:rFonts w:eastAsia="Times New Roman" w:cs="Calibri"/>
                <w:sz w:val="16"/>
                <w:szCs w:val="16"/>
                <w:lang w:eastAsia="it-IT"/>
              </w:rPr>
            </w:pPr>
            <w:r w:rsidRPr="00624B2A">
              <w:rPr>
                <w:rFonts w:eastAsia="Times New Roman" w:cs="Calibri"/>
                <w:sz w:val="16"/>
                <w:szCs w:val="16"/>
                <w:lang w:eastAsia="it-IT"/>
              </w:rPr>
              <w:t> </w:t>
            </w:r>
          </w:p>
        </w:tc>
      </w:tr>
      <w:tr w:rsidR="009F64DC" w:rsidRPr="00A35CEC" w14:paraId="19CDD340" w14:textId="77777777" w:rsidTr="009F64DC">
        <w:trPr>
          <w:trHeight w:val="660"/>
        </w:trPr>
        <w:tc>
          <w:tcPr>
            <w:tcW w:w="191" w:type="pct"/>
            <w:tcBorders>
              <w:top w:val="nil"/>
              <w:left w:val="nil"/>
              <w:bottom w:val="single" w:sz="4" w:space="0" w:color="305496"/>
              <w:right w:val="nil"/>
            </w:tcBorders>
            <w:shd w:val="clear" w:color="auto" w:fill="auto"/>
            <w:noWrap/>
            <w:vAlign w:val="bottom"/>
            <w:hideMark/>
          </w:tcPr>
          <w:p w14:paraId="07AA60B2" w14:textId="77777777" w:rsidR="00A35CEC" w:rsidRPr="00624B2A" w:rsidRDefault="00A35CEC" w:rsidP="00A35CEC">
            <w:pPr>
              <w:jc w:val="left"/>
              <w:rPr>
                <w:rFonts w:eastAsia="Times New Roman" w:cs="Calibri"/>
                <w:color w:val="000000"/>
                <w:sz w:val="16"/>
                <w:szCs w:val="16"/>
                <w:lang w:eastAsia="it-IT"/>
              </w:rPr>
            </w:pPr>
            <w:r w:rsidRPr="00624B2A">
              <w:rPr>
                <w:rFonts w:eastAsia="Times New Roman" w:cs="Calibri"/>
                <w:color w:val="000000"/>
                <w:sz w:val="16"/>
                <w:szCs w:val="16"/>
                <w:lang w:eastAsia="it-IT"/>
              </w:rPr>
              <w:t>11i</w:t>
            </w:r>
          </w:p>
        </w:tc>
        <w:tc>
          <w:tcPr>
            <w:tcW w:w="470" w:type="pct"/>
            <w:tcBorders>
              <w:top w:val="nil"/>
              <w:left w:val="nil"/>
              <w:bottom w:val="single" w:sz="4" w:space="0" w:color="305496"/>
              <w:right w:val="nil"/>
            </w:tcBorders>
            <w:shd w:val="clear" w:color="auto" w:fill="auto"/>
            <w:noWrap/>
            <w:vAlign w:val="bottom"/>
            <w:hideMark/>
          </w:tcPr>
          <w:p w14:paraId="2E4C3979" w14:textId="77777777" w:rsidR="00A35CEC" w:rsidRPr="00624B2A" w:rsidRDefault="00A35CEC" w:rsidP="00A35CEC">
            <w:pPr>
              <w:jc w:val="left"/>
              <w:rPr>
                <w:rFonts w:eastAsia="Times New Roman" w:cs="Calibri"/>
                <w:color w:val="000000"/>
                <w:sz w:val="16"/>
                <w:szCs w:val="16"/>
                <w:lang w:eastAsia="it-IT"/>
              </w:rPr>
            </w:pPr>
            <w:r w:rsidRPr="00624B2A">
              <w:rPr>
                <w:rFonts w:eastAsia="Times New Roman" w:cs="Calibri"/>
                <w:color w:val="000000"/>
                <w:sz w:val="16"/>
                <w:szCs w:val="16"/>
                <w:lang w:eastAsia="it-IT"/>
              </w:rPr>
              <w:t>d2.3</w:t>
            </w:r>
          </w:p>
        </w:tc>
        <w:tc>
          <w:tcPr>
            <w:tcW w:w="1691" w:type="pct"/>
            <w:tcBorders>
              <w:top w:val="nil"/>
              <w:left w:val="nil"/>
              <w:bottom w:val="single" w:sz="4" w:space="0" w:color="305496"/>
              <w:right w:val="nil"/>
            </w:tcBorders>
            <w:shd w:val="clear" w:color="auto" w:fill="auto"/>
            <w:vAlign w:val="bottom"/>
            <w:hideMark/>
          </w:tcPr>
          <w:p w14:paraId="3D45A243" w14:textId="77777777" w:rsidR="00A35CEC" w:rsidRPr="00624B2A" w:rsidRDefault="00A35CEC" w:rsidP="00A35CEC">
            <w:pPr>
              <w:jc w:val="left"/>
              <w:rPr>
                <w:rFonts w:eastAsia="Times New Roman" w:cs="Calibri"/>
                <w:color w:val="000000"/>
                <w:sz w:val="16"/>
                <w:szCs w:val="16"/>
                <w:lang w:eastAsia="it-IT"/>
              </w:rPr>
            </w:pPr>
            <w:r w:rsidRPr="00624B2A">
              <w:rPr>
                <w:rFonts w:eastAsia="Times New Roman" w:cs="Calibri"/>
                <w:color w:val="000000"/>
                <w:sz w:val="16"/>
                <w:szCs w:val="16"/>
                <w:lang w:eastAsia="it-IT"/>
              </w:rPr>
              <w:t>Numero di Pubbliche amministrazioni beneficiarie che al termine dell'intervento hanno migliorato la propria capacità amministrativa</w:t>
            </w:r>
          </w:p>
        </w:tc>
        <w:tc>
          <w:tcPr>
            <w:tcW w:w="295" w:type="pct"/>
            <w:tcBorders>
              <w:top w:val="nil"/>
              <w:left w:val="nil"/>
              <w:bottom w:val="single" w:sz="4" w:space="0" w:color="305496"/>
              <w:right w:val="nil"/>
            </w:tcBorders>
            <w:shd w:val="clear" w:color="auto" w:fill="auto"/>
            <w:noWrap/>
            <w:vAlign w:val="bottom"/>
            <w:hideMark/>
          </w:tcPr>
          <w:p w14:paraId="336EACDF" w14:textId="77777777" w:rsidR="00A35CEC" w:rsidRPr="00624B2A" w:rsidRDefault="00A35CEC" w:rsidP="00A35CEC">
            <w:pPr>
              <w:jc w:val="right"/>
              <w:rPr>
                <w:rFonts w:eastAsia="Times New Roman" w:cs="Calibri"/>
                <w:sz w:val="16"/>
                <w:szCs w:val="16"/>
                <w:lang w:eastAsia="it-IT"/>
              </w:rPr>
            </w:pPr>
            <w:r w:rsidRPr="00624B2A">
              <w:rPr>
                <w:rFonts w:eastAsia="Times New Roman" w:cs="Calibri"/>
                <w:sz w:val="16"/>
                <w:szCs w:val="16"/>
                <w:lang w:eastAsia="it-IT"/>
              </w:rPr>
              <w:t>80%</w:t>
            </w:r>
          </w:p>
        </w:tc>
        <w:tc>
          <w:tcPr>
            <w:tcW w:w="294" w:type="pct"/>
            <w:tcBorders>
              <w:top w:val="nil"/>
              <w:left w:val="nil"/>
              <w:bottom w:val="single" w:sz="4" w:space="0" w:color="305496"/>
              <w:right w:val="nil"/>
            </w:tcBorders>
            <w:shd w:val="clear" w:color="auto" w:fill="auto"/>
            <w:noWrap/>
            <w:vAlign w:val="bottom"/>
            <w:hideMark/>
          </w:tcPr>
          <w:p w14:paraId="37EABA42" w14:textId="77777777" w:rsidR="00A35CEC" w:rsidRPr="00624B2A" w:rsidRDefault="00A35CEC" w:rsidP="00A35CEC">
            <w:pPr>
              <w:jc w:val="right"/>
              <w:rPr>
                <w:rFonts w:eastAsia="Times New Roman" w:cs="Calibri"/>
                <w:sz w:val="16"/>
                <w:szCs w:val="16"/>
                <w:lang w:eastAsia="it-IT"/>
              </w:rPr>
            </w:pPr>
            <w:r w:rsidRPr="00624B2A">
              <w:rPr>
                <w:rFonts w:eastAsia="Times New Roman" w:cs="Calibri"/>
                <w:sz w:val="16"/>
                <w:szCs w:val="16"/>
                <w:lang w:eastAsia="it-IT"/>
              </w:rPr>
              <w:t> </w:t>
            </w:r>
          </w:p>
        </w:tc>
        <w:tc>
          <w:tcPr>
            <w:tcW w:w="294" w:type="pct"/>
            <w:tcBorders>
              <w:top w:val="nil"/>
              <w:left w:val="nil"/>
              <w:bottom w:val="single" w:sz="4" w:space="0" w:color="305496"/>
              <w:right w:val="nil"/>
            </w:tcBorders>
            <w:shd w:val="clear" w:color="auto" w:fill="auto"/>
            <w:noWrap/>
            <w:vAlign w:val="bottom"/>
            <w:hideMark/>
          </w:tcPr>
          <w:p w14:paraId="42F8483F" w14:textId="77777777" w:rsidR="00A35CEC" w:rsidRPr="00624B2A" w:rsidRDefault="00A35CEC" w:rsidP="00A35CEC">
            <w:pPr>
              <w:jc w:val="right"/>
              <w:rPr>
                <w:rFonts w:eastAsia="Times New Roman" w:cs="Calibri"/>
                <w:sz w:val="16"/>
                <w:szCs w:val="16"/>
                <w:lang w:eastAsia="it-IT"/>
              </w:rPr>
            </w:pPr>
            <w:r w:rsidRPr="00624B2A">
              <w:rPr>
                <w:rFonts w:eastAsia="Times New Roman" w:cs="Calibri"/>
                <w:sz w:val="16"/>
                <w:szCs w:val="16"/>
                <w:lang w:eastAsia="it-IT"/>
              </w:rPr>
              <w:t> </w:t>
            </w:r>
          </w:p>
        </w:tc>
        <w:tc>
          <w:tcPr>
            <w:tcW w:w="294" w:type="pct"/>
            <w:tcBorders>
              <w:top w:val="nil"/>
              <w:left w:val="nil"/>
              <w:bottom w:val="single" w:sz="4" w:space="0" w:color="305496"/>
              <w:right w:val="nil"/>
            </w:tcBorders>
            <w:shd w:val="clear" w:color="auto" w:fill="auto"/>
            <w:noWrap/>
            <w:vAlign w:val="bottom"/>
            <w:hideMark/>
          </w:tcPr>
          <w:p w14:paraId="49F883A9" w14:textId="77777777" w:rsidR="00A35CEC" w:rsidRPr="00624B2A" w:rsidRDefault="00A35CEC" w:rsidP="00A35CEC">
            <w:pPr>
              <w:jc w:val="right"/>
              <w:rPr>
                <w:rFonts w:eastAsia="Times New Roman" w:cs="Calibri"/>
                <w:sz w:val="16"/>
                <w:szCs w:val="16"/>
                <w:lang w:eastAsia="it-IT"/>
              </w:rPr>
            </w:pPr>
            <w:r w:rsidRPr="00624B2A">
              <w:rPr>
                <w:rFonts w:eastAsia="Times New Roman" w:cs="Calibri"/>
                <w:sz w:val="16"/>
                <w:szCs w:val="16"/>
                <w:lang w:eastAsia="it-IT"/>
              </w:rPr>
              <w:t>100%</w:t>
            </w:r>
          </w:p>
        </w:tc>
        <w:tc>
          <w:tcPr>
            <w:tcW w:w="294" w:type="pct"/>
            <w:tcBorders>
              <w:top w:val="nil"/>
              <w:left w:val="nil"/>
              <w:bottom w:val="single" w:sz="4" w:space="0" w:color="305496"/>
              <w:right w:val="nil"/>
            </w:tcBorders>
            <w:shd w:val="clear" w:color="auto" w:fill="auto"/>
            <w:noWrap/>
            <w:vAlign w:val="bottom"/>
            <w:hideMark/>
          </w:tcPr>
          <w:p w14:paraId="5DDFBE03" w14:textId="77777777" w:rsidR="00A35CEC" w:rsidRPr="00624B2A" w:rsidRDefault="00A35CEC" w:rsidP="00A35CEC">
            <w:pPr>
              <w:jc w:val="right"/>
              <w:rPr>
                <w:rFonts w:eastAsia="Times New Roman" w:cs="Calibri"/>
                <w:sz w:val="16"/>
                <w:szCs w:val="16"/>
                <w:lang w:eastAsia="it-IT"/>
              </w:rPr>
            </w:pPr>
            <w:r w:rsidRPr="00624B2A">
              <w:rPr>
                <w:rFonts w:eastAsia="Times New Roman" w:cs="Calibri"/>
                <w:sz w:val="16"/>
                <w:szCs w:val="16"/>
                <w:lang w:eastAsia="it-IT"/>
              </w:rPr>
              <w:t> </w:t>
            </w:r>
          </w:p>
        </w:tc>
        <w:tc>
          <w:tcPr>
            <w:tcW w:w="294" w:type="pct"/>
            <w:tcBorders>
              <w:top w:val="nil"/>
              <w:left w:val="nil"/>
              <w:bottom w:val="single" w:sz="4" w:space="0" w:color="305496"/>
              <w:right w:val="nil"/>
            </w:tcBorders>
            <w:shd w:val="clear" w:color="auto" w:fill="auto"/>
            <w:noWrap/>
            <w:vAlign w:val="bottom"/>
            <w:hideMark/>
          </w:tcPr>
          <w:p w14:paraId="6B896E33" w14:textId="77777777" w:rsidR="00A35CEC" w:rsidRPr="00624B2A" w:rsidRDefault="00A35CEC" w:rsidP="00A35CEC">
            <w:pPr>
              <w:jc w:val="right"/>
              <w:rPr>
                <w:rFonts w:eastAsia="Times New Roman" w:cs="Calibri"/>
                <w:sz w:val="16"/>
                <w:szCs w:val="16"/>
                <w:lang w:eastAsia="it-IT"/>
              </w:rPr>
            </w:pPr>
            <w:r w:rsidRPr="00624B2A">
              <w:rPr>
                <w:rFonts w:eastAsia="Times New Roman" w:cs="Calibri"/>
                <w:sz w:val="16"/>
                <w:szCs w:val="16"/>
                <w:lang w:eastAsia="it-IT"/>
              </w:rPr>
              <w:t> </w:t>
            </w:r>
          </w:p>
        </w:tc>
        <w:tc>
          <w:tcPr>
            <w:tcW w:w="293" w:type="pct"/>
            <w:tcBorders>
              <w:top w:val="nil"/>
              <w:left w:val="nil"/>
              <w:bottom w:val="single" w:sz="4" w:space="0" w:color="305496"/>
              <w:right w:val="nil"/>
            </w:tcBorders>
            <w:shd w:val="clear" w:color="auto" w:fill="auto"/>
            <w:noWrap/>
            <w:vAlign w:val="bottom"/>
            <w:hideMark/>
          </w:tcPr>
          <w:p w14:paraId="12559710" w14:textId="77777777" w:rsidR="00A35CEC" w:rsidRPr="00624B2A" w:rsidRDefault="00A35CEC" w:rsidP="00A35CEC">
            <w:pPr>
              <w:jc w:val="right"/>
              <w:rPr>
                <w:rFonts w:eastAsia="Times New Roman" w:cs="Calibri"/>
                <w:sz w:val="16"/>
                <w:szCs w:val="16"/>
                <w:lang w:eastAsia="it-IT"/>
              </w:rPr>
            </w:pPr>
            <w:r w:rsidRPr="00624B2A">
              <w:rPr>
                <w:rFonts w:eastAsia="Times New Roman" w:cs="Calibri"/>
                <w:sz w:val="16"/>
                <w:szCs w:val="16"/>
                <w:lang w:eastAsia="it-IT"/>
              </w:rPr>
              <w:t>125%</w:t>
            </w:r>
          </w:p>
        </w:tc>
        <w:tc>
          <w:tcPr>
            <w:tcW w:w="294" w:type="pct"/>
            <w:tcBorders>
              <w:top w:val="nil"/>
              <w:left w:val="nil"/>
              <w:bottom w:val="single" w:sz="4" w:space="0" w:color="305496"/>
              <w:right w:val="nil"/>
            </w:tcBorders>
            <w:shd w:val="clear" w:color="auto" w:fill="auto"/>
            <w:noWrap/>
            <w:vAlign w:val="bottom"/>
            <w:hideMark/>
          </w:tcPr>
          <w:p w14:paraId="7890F017" w14:textId="77777777" w:rsidR="00A35CEC" w:rsidRPr="00624B2A" w:rsidRDefault="00A35CEC" w:rsidP="00A35CEC">
            <w:pPr>
              <w:jc w:val="right"/>
              <w:rPr>
                <w:rFonts w:eastAsia="Times New Roman" w:cs="Calibri"/>
                <w:sz w:val="16"/>
                <w:szCs w:val="16"/>
                <w:lang w:eastAsia="it-IT"/>
              </w:rPr>
            </w:pPr>
            <w:r w:rsidRPr="00624B2A">
              <w:rPr>
                <w:rFonts w:eastAsia="Times New Roman" w:cs="Calibri"/>
                <w:sz w:val="16"/>
                <w:szCs w:val="16"/>
                <w:lang w:eastAsia="it-IT"/>
              </w:rPr>
              <w:t> </w:t>
            </w:r>
          </w:p>
        </w:tc>
        <w:tc>
          <w:tcPr>
            <w:tcW w:w="295" w:type="pct"/>
            <w:tcBorders>
              <w:top w:val="nil"/>
              <w:left w:val="nil"/>
              <w:bottom w:val="single" w:sz="4" w:space="0" w:color="305496"/>
              <w:right w:val="nil"/>
            </w:tcBorders>
            <w:shd w:val="clear" w:color="auto" w:fill="auto"/>
            <w:noWrap/>
            <w:vAlign w:val="bottom"/>
            <w:hideMark/>
          </w:tcPr>
          <w:p w14:paraId="6B5793CB" w14:textId="77777777" w:rsidR="00A35CEC" w:rsidRPr="00624B2A" w:rsidRDefault="00A35CEC" w:rsidP="00A35CEC">
            <w:pPr>
              <w:jc w:val="right"/>
              <w:rPr>
                <w:rFonts w:eastAsia="Times New Roman" w:cs="Calibri"/>
                <w:sz w:val="16"/>
                <w:szCs w:val="16"/>
                <w:lang w:eastAsia="it-IT"/>
              </w:rPr>
            </w:pPr>
            <w:r w:rsidRPr="00624B2A">
              <w:rPr>
                <w:rFonts w:eastAsia="Times New Roman" w:cs="Calibri"/>
                <w:sz w:val="16"/>
                <w:szCs w:val="16"/>
                <w:lang w:eastAsia="it-IT"/>
              </w:rPr>
              <w:t> </w:t>
            </w:r>
          </w:p>
        </w:tc>
      </w:tr>
    </w:tbl>
    <w:p w14:paraId="082E0583" w14:textId="77777777" w:rsidR="00CD62D2" w:rsidRDefault="00CD62D2" w:rsidP="00CD62D2">
      <w:pPr>
        <w:rPr>
          <w:sz w:val="18"/>
          <w:szCs w:val="18"/>
        </w:rPr>
      </w:pPr>
      <w:r>
        <w:rPr>
          <w:sz w:val="18"/>
          <w:szCs w:val="18"/>
        </w:rPr>
        <w:t>Fonte: Rapporto Annuale di Attuazione 2020, dati aggiornati al 31.12.2020.</w:t>
      </w:r>
    </w:p>
    <w:p w14:paraId="68961C19" w14:textId="77777777" w:rsidR="00624B2A" w:rsidRDefault="00624B2A" w:rsidP="00624B2A"/>
    <w:p w14:paraId="61C0DD0C" w14:textId="77777777" w:rsidR="00624B2A" w:rsidRDefault="00624B2A" w:rsidP="00624B2A"/>
    <w:p w14:paraId="3EECF9C4" w14:textId="77777777" w:rsidR="00B4132E" w:rsidRDefault="003D75EA" w:rsidP="00B27AA3">
      <w:pPr>
        <w:pStyle w:val="Titolo3"/>
      </w:pPr>
      <w:bookmarkStart w:id="64" w:name="_Toc91081400"/>
      <w:r>
        <w:t xml:space="preserve">Considerazioni </w:t>
      </w:r>
      <w:r w:rsidR="002800B4">
        <w:t xml:space="preserve">conclusive </w:t>
      </w:r>
      <w:r>
        <w:t>di sintesi</w:t>
      </w:r>
      <w:bookmarkEnd w:id="64"/>
    </w:p>
    <w:p w14:paraId="243696F7" w14:textId="77777777" w:rsidR="00624B2A" w:rsidRPr="00624B2A" w:rsidRDefault="00624B2A" w:rsidP="00624B2A"/>
    <w:p w14:paraId="5D4A5580" w14:textId="77777777" w:rsidR="00DE018E" w:rsidRPr="00624B2A" w:rsidRDefault="00DE018E" w:rsidP="00DE018E">
      <w:r w:rsidRPr="00624B2A">
        <w:t xml:space="preserve">Le risorse dedicate alle politiche per </w:t>
      </w:r>
      <w:r w:rsidR="002E6A01" w:rsidRPr="00624B2A">
        <w:t xml:space="preserve">il miglioramento della efficienza della PA </w:t>
      </w:r>
      <w:r w:rsidRPr="00624B2A">
        <w:t>ammontano a 20 milioni di euro</w:t>
      </w:r>
      <w:r w:rsidR="002E6A01" w:rsidRPr="00624B2A">
        <w:t xml:space="preserve"> provenienti d</w:t>
      </w:r>
      <w:r w:rsidRPr="00624B2A">
        <w:t xml:space="preserve">al POR FSE. </w:t>
      </w:r>
    </w:p>
    <w:p w14:paraId="07BEEC31" w14:textId="77777777" w:rsidR="00583041" w:rsidRPr="00624B2A" w:rsidRDefault="00583041" w:rsidP="00583041">
      <w:pPr>
        <w:pStyle w:val="bulletpoint"/>
        <w:numPr>
          <w:ilvl w:val="0"/>
          <w:numId w:val="0"/>
        </w:numPr>
      </w:pPr>
    </w:p>
    <w:p w14:paraId="4277BB5D" w14:textId="77777777" w:rsidR="009F64DC" w:rsidRDefault="008A4FCA" w:rsidP="008A4FCA">
      <w:r w:rsidRPr="00624B2A">
        <w:t>La performance finanziaria dell’</w:t>
      </w:r>
      <w:r w:rsidR="006B5A66" w:rsidRPr="00624B2A">
        <w:t>A</w:t>
      </w:r>
      <w:r w:rsidRPr="00624B2A">
        <w:t xml:space="preserve">sse </w:t>
      </w:r>
      <w:r w:rsidR="006B5A66" w:rsidRPr="00624B2A">
        <w:t xml:space="preserve">IV del POR FSE, riguardante gli interventi sulla capacità istituzionale e amministrativa, </w:t>
      </w:r>
      <w:r w:rsidRPr="00624B2A">
        <w:t xml:space="preserve">è migliorata notevolmente dal 2019 al 2020 passando da 14,60% nel 2019 a 34,59% nel 2020 grazie ad un aumento della quota ammissibile dichiarata dai beneficiari pari a circa 4 milioni di euro. </w:t>
      </w:r>
    </w:p>
    <w:p w14:paraId="065BB508" w14:textId="77777777" w:rsidR="009F64DC" w:rsidRDefault="009F64DC" w:rsidP="008A4FCA"/>
    <w:p w14:paraId="073CAA02" w14:textId="77777777" w:rsidR="008A4FCA" w:rsidRPr="00624B2A" w:rsidRDefault="008A4FCA" w:rsidP="008A4FCA">
      <w:r w:rsidRPr="00624B2A">
        <w:t>Nonostante la riprogrammazione del POR FSE non abbia intaccato la dotazione finanziaria dell’</w:t>
      </w:r>
      <w:r w:rsidR="006B5A66" w:rsidRPr="00624B2A">
        <w:t>A</w:t>
      </w:r>
      <w:r w:rsidRPr="00624B2A">
        <w:t xml:space="preserve">sse, nel 2020 </w:t>
      </w:r>
      <w:r w:rsidR="006B5A66" w:rsidRPr="00624B2A">
        <w:t xml:space="preserve">vi </w:t>
      </w:r>
      <w:r w:rsidR="001D6161" w:rsidRPr="00624B2A">
        <w:t>è</w:t>
      </w:r>
      <w:r w:rsidR="006B5A66" w:rsidRPr="00624B2A">
        <w:t xml:space="preserve"> stata </w:t>
      </w:r>
      <w:r w:rsidRPr="00624B2A">
        <w:t>una rimodulazione della quasi totalità dei target degli indicatori di output. Due indicatori (CO22 e d2.4) sono stati rivisti a rialzo alla luce dei risultati già raggiunti nel 2019 mentre il valore obiettivo del</w:t>
      </w:r>
      <w:r w:rsidR="009F64DC">
        <w:t>l’indicatore</w:t>
      </w:r>
      <w:r w:rsidRPr="00624B2A">
        <w:t xml:space="preserve"> </w:t>
      </w:r>
      <w:r w:rsidR="006B5A66" w:rsidRPr="00624B2A">
        <w:t>“</w:t>
      </w:r>
      <w:r w:rsidRPr="00624B2A">
        <w:t>numero di pagine del patrimonio culturale rese disponibili in formato digitale</w:t>
      </w:r>
      <w:r w:rsidR="006B5A66" w:rsidRPr="00624B2A">
        <w:t>”</w:t>
      </w:r>
      <w:r w:rsidRPr="00624B2A">
        <w:t xml:space="preserve"> è stato ridotto coerentemente con i risultati raggiunti al 2019 e la durata dei contratti in essere. Anche l’indicatore d2.5 ha subito modifiche nel 2020, passando da 10 a 6 sistemi informativi</w:t>
      </w:r>
      <w:r w:rsidR="006B5A66" w:rsidRPr="00624B2A">
        <w:t>,</w:t>
      </w:r>
      <w:r w:rsidRPr="00624B2A">
        <w:t xml:space="preserve"> coerentemente con le banche dati dei sistemi informativi finanziati dal POR in Regione Lombardia: SIUF; SIUL; Bandi Online; ARES; Cruscotto lavoro; DWH.</w:t>
      </w:r>
      <w:r w:rsidRPr="00624B2A">
        <w:rPr>
          <w:rStyle w:val="Rimandonotaapidipagina"/>
        </w:rPr>
        <w:t xml:space="preserve"> </w:t>
      </w:r>
      <w:r w:rsidRPr="00624B2A">
        <w:rPr>
          <w:rStyle w:val="Rimandonotaapidipagina"/>
        </w:rPr>
        <w:footnoteReference w:id="10"/>
      </w:r>
    </w:p>
    <w:p w14:paraId="3D52C7BF" w14:textId="77777777" w:rsidR="00C00F9D" w:rsidRPr="00624B2A" w:rsidRDefault="00C00F9D" w:rsidP="00C00F9D"/>
    <w:p w14:paraId="2BC5CCFE" w14:textId="77777777" w:rsidR="00C00F9D" w:rsidRDefault="00C00F9D" w:rsidP="00C00F9D">
      <w:r w:rsidRPr="00624B2A">
        <w:t>Le azioni volte a migliorare la capacità amministrativa, oltre a caratterizzarsi per una buona performance finanziaria, si dimostrano meritevoli in termini di partecipazione e coinvolgimento di soggetti target. Gli interventi volti a migliorare l’utilizzo di strumenti IT e l’interoperabilità delle banche dati invece, nonostante il coinvolgimento di più amministrazioni di quanto inizialmente programmato, non hanno portato ancora ai risultati sperati. Infatti, solo il 18% delle PA è in grado di utilizzare i sistemi oggetto di intervento, un valore distante dal target del 90%.</w:t>
      </w:r>
    </w:p>
    <w:p w14:paraId="5E56079C" w14:textId="77777777" w:rsidR="00752417" w:rsidRPr="00752417" w:rsidRDefault="00752417" w:rsidP="00752417"/>
    <w:p w14:paraId="256ED59F" w14:textId="77777777" w:rsidR="002800B4" w:rsidRDefault="002800B4">
      <w:pPr>
        <w:spacing w:after="320" w:line="300" w:lineRule="auto"/>
        <w:jc w:val="left"/>
        <w:rPr>
          <w:rFonts w:eastAsiaTheme="majorEastAsia" w:cstheme="majorBidi"/>
          <w:color w:val="DF1010" w:themeColor="accent1" w:themeShade="BF"/>
          <w:sz w:val="40"/>
          <w:szCs w:val="36"/>
        </w:rPr>
      </w:pPr>
      <w:r>
        <w:br w:type="page"/>
      </w:r>
    </w:p>
    <w:p w14:paraId="28060875" w14:textId="77777777" w:rsidR="006F4DB0" w:rsidRDefault="00391B04" w:rsidP="00C016CC">
      <w:pPr>
        <w:pStyle w:val="Titolo1"/>
      </w:pPr>
      <w:bookmarkStart w:id="65" w:name="_Toc91081401"/>
      <w:r>
        <w:t>Focus valutativo</w:t>
      </w:r>
      <w:r w:rsidR="006F4DB0" w:rsidRPr="00922E2A">
        <w:t xml:space="preserve">: </w:t>
      </w:r>
      <w:r>
        <w:t>politiche per l’imprenditorialità</w:t>
      </w:r>
      <w:bookmarkEnd w:id="65"/>
      <w:r>
        <w:t xml:space="preserve"> </w:t>
      </w:r>
    </w:p>
    <w:p w14:paraId="0A7F463A" w14:textId="77777777" w:rsidR="00EF6B92" w:rsidRDefault="00EF6B92" w:rsidP="00EF6B92"/>
    <w:tbl>
      <w:tblPr>
        <w:tblStyle w:val="Grigliatabella"/>
        <w:tblW w:w="0" w:type="auto"/>
        <w:shd w:val="clear" w:color="auto" w:fill="D9D9D9" w:themeFill="background1" w:themeFillShade="D9"/>
        <w:tblLook w:val="04A0" w:firstRow="1" w:lastRow="0" w:firstColumn="1" w:lastColumn="0" w:noHBand="0" w:noVBand="1"/>
      </w:tblPr>
      <w:tblGrid>
        <w:gridCol w:w="9628"/>
      </w:tblGrid>
      <w:tr w:rsidR="00EF6B92" w14:paraId="2E6051A8" w14:textId="77777777" w:rsidTr="0009134D">
        <w:tc>
          <w:tcPr>
            <w:tcW w:w="9628" w:type="dxa"/>
            <w:shd w:val="clear" w:color="auto" w:fill="D9D9D9" w:themeFill="background1" w:themeFillShade="D9"/>
          </w:tcPr>
          <w:p w14:paraId="4FB5CAC1" w14:textId="77777777" w:rsidR="00EF6B92" w:rsidRPr="00644606" w:rsidRDefault="00EF6B92" w:rsidP="0009134D">
            <w:pPr>
              <w:rPr>
                <w:b/>
                <w:bCs/>
                <w:i/>
                <w:iCs/>
              </w:rPr>
            </w:pPr>
            <w:r w:rsidRPr="00644606">
              <w:rPr>
                <w:b/>
                <w:bCs/>
                <w:i/>
                <w:iCs/>
                <w:color w:val="FF0000"/>
              </w:rPr>
              <w:t>Messaggi chiave</w:t>
            </w:r>
            <w:r>
              <w:rPr>
                <w:b/>
                <w:bCs/>
                <w:i/>
                <w:iCs/>
                <w:color w:val="FF0000"/>
              </w:rPr>
              <w:t xml:space="preserve"> dalla lettura unitaria dei programmi</w:t>
            </w:r>
          </w:p>
          <w:p w14:paraId="0C3023FC" w14:textId="77777777" w:rsidR="00E1065C" w:rsidRDefault="00E1065C" w:rsidP="0009134D"/>
          <w:p w14:paraId="2DE1342B" w14:textId="77777777" w:rsidR="00A53597" w:rsidRDefault="00EE71C7" w:rsidP="0009134D">
            <w:r>
              <w:t xml:space="preserve">La nascita di nuove imprese è unanimemente riconosciuta dalla letteratura come </w:t>
            </w:r>
            <w:r w:rsidRPr="00503780">
              <w:rPr>
                <w:b/>
                <w:bCs/>
              </w:rPr>
              <w:t>uno dei principali fattori alla base dell</w:t>
            </w:r>
            <w:r w:rsidR="001914AF">
              <w:rPr>
                <w:b/>
                <w:bCs/>
              </w:rPr>
              <w:t>a crescita e dell</w:t>
            </w:r>
            <w:r w:rsidRPr="00503780">
              <w:rPr>
                <w:b/>
                <w:bCs/>
              </w:rPr>
              <w:t>o sviluppo</w:t>
            </w:r>
            <w:r>
              <w:t xml:space="preserve">. </w:t>
            </w:r>
            <w:r w:rsidR="002C09A8">
              <w:t>Tra tutte l</w:t>
            </w:r>
            <w:r w:rsidR="00A53597">
              <w:t>e nuove imprese</w:t>
            </w:r>
            <w:r w:rsidR="002C09A8">
              <w:t>, è il sottoinsieme di quelle</w:t>
            </w:r>
            <w:r w:rsidR="00A53597">
              <w:t xml:space="preserve"> innovative</w:t>
            </w:r>
            <w:r w:rsidR="002C09A8">
              <w:t xml:space="preserve"> che </w:t>
            </w:r>
            <w:r w:rsidR="00A53597">
              <w:t>esercit</w:t>
            </w:r>
            <w:r w:rsidR="002C09A8">
              <w:t>a</w:t>
            </w:r>
            <w:r w:rsidR="00A53597">
              <w:t xml:space="preserve"> </w:t>
            </w:r>
            <w:r w:rsidR="00C260B5">
              <w:t>il r</w:t>
            </w:r>
            <w:r w:rsidR="00A53597">
              <w:t xml:space="preserve">uolo </w:t>
            </w:r>
            <w:r w:rsidR="00C260B5">
              <w:t xml:space="preserve">più </w:t>
            </w:r>
            <w:r w:rsidR="00A53597">
              <w:t xml:space="preserve">rilevante per l’introduzione e la diffusione dell’innovazione, la creazione di posti di lavoro, la competitività dei territori, lo sviluppo di nuovi settori, la crescita e la produttività. </w:t>
            </w:r>
          </w:p>
          <w:p w14:paraId="339B233F" w14:textId="77777777" w:rsidR="002C09A8" w:rsidRDefault="002C09A8" w:rsidP="0009134D"/>
          <w:p w14:paraId="61A4089E" w14:textId="77777777" w:rsidR="00E1065C" w:rsidRDefault="00A53597" w:rsidP="0009134D">
            <w:r>
              <w:t>D</w:t>
            </w:r>
            <w:r w:rsidR="00665EFE">
              <w:t xml:space="preserve">isegnare e implementare politiche efficaci </w:t>
            </w:r>
            <w:r w:rsidR="002C09A8">
              <w:t xml:space="preserve">per l’imprenditorialità e, in particolare </w:t>
            </w:r>
            <w:r w:rsidR="001914AF">
              <w:t xml:space="preserve">per </w:t>
            </w:r>
            <w:r w:rsidR="002C09A8">
              <w:t xml:space="preserve">le nuove imprese innovative, </w:t>
            </w:r>
            <w:r w:rsidR="00665EFE">
              <w:t xml:space="preserve">è complesso, sia perché </w:t>
            </w:r>
            <w:r w:rsidR="00503780">
              <w:t xml:space="preserve">è </w:t>
            </w:r>
            <w:r w:rsidR="00665EFE">
              <w:t xml:space="preserve">necessario intercettare i soggetti con il maggior potenziale di crescita, sia perché alla base della creazione di impresa vi possono essere molteplici fattori e non tutte le motivazioni </w:t>
            </w:r>
            <w:r w:rsidR="00503780">
              <w:t xml:space="preserve">imprenditoriali </w:t>
            </w:r>
            <w:r w:rsidR="00665EFE">
              <w:t>hanno il medesimo effetto</w:t>
            </w:r>
            <w:r w:rsidR="00E1065C">
              <w:t xml:space="preserve"> positivo sulla performance</w:t>
            </w:r>
            <w:r w:rsidR="002C09A8">
              <w:t xml:space="preserve"> dell’azienda</w:t>
            </w:r>
            <w:r w:rsidR="00E1065C">
              <w:t>.</w:t>
            </w:r>
            <w:r w:rsidR="005846B0">
              <w:t xml:space="preserve"> </w:t>
            </w:r>
            <w:r>
              <w:t>Ad ogni modo</w:t>
            </w:r>
            <w:r w:rsidR="00DA04BD">
              <w:t>,</w:t>
            </w:r>
            <w:r w:rsidR="00E1065C">
              <w:t xml:space="preserve"> grazie ad una adeguata conoscenza delle barriere all’imprenditorialità e in particolare all’innovazione, il policy maker può supportare proficuamente la nascita e lo sviluppo di nuove realtà</w:t>
            </w:r>
            <w:r w:rsidR="001914AF">
              <w:t xml:space="preserve"> innovative</w:t>
            </w:r>
            <w:r w:rsidR="00E1065C">
              <w:t xml:space="preserve">, nelle varie fasi del ciclo di vita delle aziende. </w:t>
            </w:r>
          </w:p>
          <w:p w14:paraId="6CEB8257" w14:textId="77777777" w:rsidR="002C09A8" w:rsidRDefault="002C09A8" w:rsidP="0086635A"/>
          <w:p w14:paraId="21F447DB" w14:textId="77777777" w:rsidR="0086635A" w:rsidRDefault="0086635A" w:rsidP="0086635A">
            <w:r>
              <w:t xml:space="preserve">La regione Lombardia </w:t>
            </w:r>
            <w:r w:rsidR="00DA04BD">
              <w:t xml:space="preserve">ricopre un </w:t>
            </w:r>
            <w:r w:rsidR="00DA04BD" w:rsidRPr="00503780">
              <w:rPr>
                <w:b/>
                <w:bCs/>
              </w:rPr>
              <w:t>ruolo di primo piano nel panorama delle imprese innovative</w:t>
            </w:r>
            <w:r w:rsidR="005846B0">
              <w:t>, posizione che si è rafforzata sempre più negli ultimi anni. Infatti, a partire dal 2013 la percentuale delle nuove imprese lombarde</w:t>
            </w:r>
            <w:r w:rsidR="001914AF">
              <w:t>,</w:t>
            </w:r>
            <w:r w:rsidR="005846B0">
              <w:t xml:space="preserve"> iscritte </w:t>
            </w:r>
            <w:r w:rsidR="001914AF">
              <w:t xml:space="preserve">alla sezione speciale del registro delle imprese, </w:t>
            </w:r>
            <w:r w:rsidR="005846B0">
              <w:t xml:space="preserve">sul totale delle nuove iscritte in Italia segue un trend sostanzialmente positivo passando da un valore del 20,81% nel 2013 al 28,91% a fine 2020, che non viene intaccato dalla pandemia. A fine 2020, le nuove startup innovative Lombarde iscritte al registro risultavano pari a 1,014 unità. </w:t>
            </w:r>
            <w:r w:rsidR="005846B0" w:rsidRPr="00503780">
              <w:rPr>
                <w:b/>
                <w:bCs/>
              </w:rPr>
              <w:t>L</w:t>
            </w:r>
            <w:r w:rsidRPr="00503780">
              <w:rPr>
                <w:b/>
                <w:bCs/>
              </w:rPr>
              <w:t>’ecosistema delle startup innovative si dimostra particolarmente resiliente agli effetti avversi della pandemia</w:t>
            </w:r>
            <w:r>
              <w:t xml:space="preserve"> continuando a crescere nonostante la crisi.</w:t>
            </w:r>
          </w:p>
          <w:p w14:paraId="337566F7" w14:textId="77777777" w:rsidR="002C09A8" w:rsidRDefault="002C09A8" w:rsidP="0086635A"/>
          <w:p w14:paraId="39FBD35E" w14:textId="77777777" w:rsidR="006D694C" w:rsidRDefault="0079046D" w:rsidP="008D54A3">
            <w:r>
              <w:t>In questo contesto regionale dinamico, le politiche per l’imprenditorialità co-finanziate dai fondi strutturali e di investimento europei</w:t>
            </w:r>
            <w:r w:rsidR="00503780">
              <w:t xml:space="preserve">, anziché </w:t>
            </w:r>
            <w:r>
              <w:t>concentra</w:t>
            </w:r>
            <w:r w:rsidR="00503780">
              <w:t xml:space="preserve">rsi </w:t>
            </w:r>
            <w:r>
              <w:t>sulle nuove imprese innovative</w:t>
            </w:r>
            <w:r w:rsidR="00503780">
              <w:t xml:space="preserve">, </w:t>
            </w:r>
            <w:r>
              <w:t xml:space="preserve">hanno seguito un approccio più omnicomprensivo volto a conciliare crescita, ripresa dalla crisi, lavoro e inclusione. Alcuni interventi del composito mix di politiche messe in campo nel periodo 2014-2020 per la nascita e la crescita di nuove imprese e, più in generale per l’imprenditorialità, sono state oggetto di approfondimento da parte dei valutatori indipendenti dei Programmi regionali FESR, FSE e FEASR. </w:t>
            </w:r>
          </w:p>
          <w:p w14:paraId="0CE89B7D" w14:textId="77777777" w:rsidR="008D54A3" w:rsidRDefault="008D54A3" w:rsidP="008D54A3"/>
          <w:p w14:paraId="52A1B1D2" w14:textId="77777777" w:rsidR="006D694C" w:rsidRDefault="006D694C" w:rsidP="006D694C">
            <w:r>
              <w:t xml:space="preserve">Nel complesso, dalle analisi condotte </w:t>
            </w:r>
            <w:r w:rsidR="008D54A3">
              <w:t xml:space="preserve">dalle singole valutazioni </w:t>
            </w:r>
            <w:r>
              <w:t xml:space="preserve">e sintetizzate </w:t>
            </w:r>
            <w:r w:rsidR="008D54A3">
              <w:t xml:space="preserve">in </w:t>
            </w:r>
            <w:r>
              <w:t xml:space="preserve">questo rapporto emerge un </w:t>
            </w:r>
            <w:r w:rsidRPr="00503780">
              <w:rPr>
                <w:b/>
                <w:bCs/>
              </w:rPr>
              <w:t>quadro sostanzialmente positivo in merito all’efficacia delle politiche della Regione per il sostegno delle nuove imprese e di quelle esistenti</w:t>
            </w:r>
            <w:r>
              <w:t xml:space="preserve">. In base ai giudizi, prevalentemente forniti dai beneficiari, sono emersi effetti positivi del sostegno pubblico sulla performance delle imprese in termini di fatturato e occupazione. Viene inoltre evidenziato in modo piuttosto ricorrente anche il valore aggiunto dell’intervento nel senso che, a </w:t>
            </w:r>
            <w:r w:rsidR="001914AF">
              <w:t>giudizio</w:t>
            </w:r>
            <w:r>
              <w:t xml:space="preserve"> dei beneficiari, gli investimenti e i risultati non sarebbero stati effettuati/raggiunti, o lo sarebbero stati in misura minore, senza il supporto regionale.   </w:t>
            </w:r>
          </w:p>
          <w:p w14:paraId="202FB3F6" w14:textId="77777777" w:rsidR="006D694C" w:rsidRDefault="006D694C" w:rsidP="006D694C"/>
          <w:p w14:paraId="6117A2B5" w14:textId="77777777" w:rsidR="006D694C" w:rsidRDefault="006D694C" w:rsidP="006D694C">
            <w:r>
              <w:t>Effetti positivi sulla performance e sulla competitività delle imprese sono stati evidenziati in relazione a tutti gli interventi valutati</w:t>
            </w:r>
            <w:r w:rsidR="00503780">
              <w:t xml:space="preserve"> quali</w:t>
            </w:r>
            <w:r>
              <w:t xml:space="preserve"> “Intraprendo” per l’avvio d’impresa, le iniziative della “Linea Internazionalizzazione”, le misure per il sostegno delle imprese turistiche come “Turismo e Attrattività”, e gli interventi per la riorganizzazione e la ristrutturazione aziendale (“Al via” e “Linea controgaranzie”).  </w:t>
            </w:r>
          </w:p>
          <w:p w14:paraId="62C9D863" w14:textId="77777777" w:rsidR="006D694C" w:rsidRDefault="006D694C" w:rsidP="006D694C"/>
          <w:p w14:paraId="747F379C" w14:textId="77777777" w:rsidR="006D694C" w:rsidRDefault="006D694C" w:rsidP="006D694C">
            <w:r>
              <w:t xml:space="preserve">I </w:t>
            </w:r>
            <w:r w:rsidRPr="003451DB">
              <w:rPr>
                <w:b/>
                <w:bCs/>
              </w:rPr>
              <w:t>punti di debolezza degli interventi valutati</w:t>
            </w:r>
            <w:r>
              <w:t xml:space="preserve"> sono, per i beneficiari, sempre legati alle “onerose” procedure amministrative, alla rendicontazione, alle criticità del sistema informativo per lo scambio dei dati. Alcuni accorgimenti sono stati presi per rispondere a questi limiti. Per esempio l’iniziativa “Archè” risponde ai limiti amministrativi riscontrati ma gli effettivi benefici andrebbero ancora verificati.  </w:t>
            </w:r>
          </w:p>
          <w:p w14:paraId="4F856038" w14:textId="77777777" w:rsidR="006D694C" w:rsidRDefault="006D694C" w:rsidP="006D694C"/>
          <w:p w14:paraId="4AC92A9F" w14:textId="77777777" w:rsidR="006D694C" w:rsidRDefault="006D694C" w:rsidP="006D694C">
            <w:r>
              <w:t xml:space="preserve">Le iniziative del FEASR valutate nell’anno in corso sono relative al “ricambio generazionale” e agli “investimenti in imprese agricole”. Anche sul fronte delle imprese agricole, le attività finanziate si caratterizzano, secondo il valutatore indipendente, per risultati ed effetti prevalentemente positivi in termini di giovani raggiunti e coinvolti. Le analisi sugli interventi menzionati sottolineano inoltre l’aumento della superficie agricola utilizzata (SAU) e un positivo effetto occupazionale. Si evidenziano inoltre effetti positivi sulla capacità innovativa, sulla diffusione di marchi di qualità etc. </w:t>
            </w:r>
            <w:r w:rsidR="003451DB">
              <w:t>L</w:t>
            </w:r>
            <w:r>
              <w:t xml:space="preserve">a valutazione del valore aggiunto dell’intervento è positiva in quanto, il PSR è stato cruciale, secondo i beneficiari, nella realizzazione degli investimenti. </w:t>
            </w:r>
            <w:r w:rsidR="00E17279">
              <w:t xml:space="preserve">Anche nel caso delle aziende agricole, </w:t>
            </w:r>
            <w:r>
              <w:t xml:space="preserve">le principali difficoltà messe in evidenza sono relative agli aspetti amministrativi, alla produzione della documentazione tecnica etc. </w:t>
            </w:r>
            <w:r w:rsidR="003451DB">
              <w:t>Ad esempio, p</w:t>
            </w:r>
            <w:r>
              <w:t>er il 25% dei beneficiari è stata necessaria la consulenza di un tecnico.</w:t>
            </w:r>
          </w:p>
          <w:p w14:paraId="2274ED48" w14:textId="77777777" w:rsidR="006D694C" w:rsidRDefault="006D694C" w:rsidP="006D694C"/>
          <w:p w14:paraId="7ABF9C9F" w14:textId="77777777" w:rsidR="006D694C" w:rsidRDefault="00E17279" w:rsidP="006D694C">
            <w:r>
              <w:t xml:space="preserve">Ai limiti “endogeni” che attengono alla sfera dei processi amministrativi si sono aggiunti i limiti “esogeni” dovuti alla </w:t>
            </w:r>
            <w:r w:rsidRPr="003451DB">
              <w:rPr>
                <w:b/>
                <w:bCs/>
              </w:rPr>
              <w:t xml:space="preserve">pandemia di </w:t>
            </w:r>
            <w:r w:rsidR="0030242F" w:rsidRPr="003451DB">
              <w:rPr>
                <w:b/>
                <w:bCs/>
              </w:rPr>
              <w:t>COVID</w:t>
            </w:r>
            <w:r w:rsidRPr="003451DB">
              <w:rPr>
                <w:b/>
                <w:bCs/>
              </w:rPr>
              <w:t>-19 che ha creato una crisi senza precedenti per la maggior parte della attività produttive lombarde</w:t>
            </w:r>
            <w:r>
              <w:t xml:space="preserve">. Per far fronte agli effetti negativi del </w:t>
            </w:r>
            <w:r w:rsidR="0030242F">
              <w:t>COVID-19</w:t>
            </w:r>
            <w:r>
              <w:t xml:space="preserve">, alcune azioni per la competitività delle imprese sono state rafforzate. Nell’ambito FESR, per esempio, le azioni III.3.c.1.1 “Aiuti per investimenti in macchinari, impianti e beni intangibili, e accompagnamento dei processi di riorganizzazione e ristrutturazione aziendale”, e III.3.c.1.1 “Potenziamento del sistema delle garanzie pubbliche per l’espansione del credito in sinergia tra sistema nazionale e sistemi regionali di garanzia”, sono state aggiornate per sostenere il capitale circolante delle imprese lombarde. </w:t>
            </w:r>
            <w:r w:rsidR="00417A1B">
              <w:t xml:space="preserve">La pandemia non ha avuto solo effetti negativi, per esempio nel caso del FEASR </w:t>
            </w:r>
            <w:r w:rsidR="006D694C">
              <w:t xml:space="preserve">è stato messo in evidenza come sia stata anche una grande opportunità di cambiamento per il comparto agroalimentare lombardo. Oltre il 60% delle aziende beneficiarie ha reagito alle conseguenze della crisi cambiando o diversificando i canali commerciali, mentre quasi il 30% ha modificato le proprie dimensioni e/o l’ordinamento produttivo. </w:t>
            </w:r>
          </w:p>
          <w:p w14:paraId="23E88C2E" w14:textId="77777777" w:rsidR="006D694C" w:rsidRDefault="006D694C" w:rsidP="006D694C"/>
          <w:p w14:paraId="2B568379" w14:textId="77777777" w:rsidR="006D694C" w:rsidRDefault="00E17279" w:rsidP="006D694C">
            <w:r>
              <w:t>An</w:t>
            </w:r>
            <w:r w:rsidR="006D694C">
              <w:t xml:space="preserve">che </w:t>
            </w:r>
            <w:r w:rsidR="006D694C" w:rsidRPr="003451DB">
              <w:rPr>
                <w:b/>
                <w:bCs/>
              </w:rPr>
              <w:t>il Fondo Sociale Europeo ha dato un apporto significativo alla promozione dell’imprenditorialità concentrandosi sullo sviluppo del capitale umano</w:t>
            </w:r>
            <w:r w:rsidR="006D694C">
              <w:t>. In particolare, nell’annualità corrente sono stati valutati gli interventi “Dote Unica Lavoro (DUL)” per l’autoimprenditorialità e il bando per la “Selezione di percorsi di formazione/accompagnamento per l’avvio di imprese culturali e creative da insediare in spazi pubblici”.</w:t>
            </w:r>
            <w:r w:rsidR="00C96B8F">
              <w:t xml:space="preserve"> </w:t>
            </w:r>
            <w:r w:rsidR="006D694C">
              <w:t>I risultati del</w:t>
            </w:r>
            <w:r w:rsidR="00FA7B3E">
              <w:t xml:space="preserve"> DUL </w:t>
            </w:r>
            <w:r w:rsidR="006D694C">
              <w:t xml:space="preserve">sono stati giudicati positivi, in considerazione del fatto che nel 91% dei casi il percorso è stato portato a termine e che gli obiettivi previsti nel business plan redatto inizialmente dai partecipanti sono stati raggiunti in un caso su due. Inoltre, il 75% dei destinatari della misura risulta occupato dopo 2-3 anni dal termine del percorso. Da un punto di vista geografico, la provincia di Milano </w:t>
            </w:r>
            <w:r w:rsidR="00FA7B3E">
              <w:t>risulta essere</w:t>
            </w:r>
            <w:r w:rsidR="006D694C">
              <w:t xml:space="preserve"> l’area più favorevole per l’avvio </w:t>
            </w:r>
            <w:r w:rsidR="00417A1B">
              <w:t xml:space="preserve">delle </w:t>
            </w:r>
            <w:r w:rsidR="006D694C">
              <w:t>attività.</w:t>
            </w:r>
            <w:r w:rsidR="00C96B8F">
              <w:t xml:space="preserve"> </w:t>
            </w:r>
            <w:r w:rsidR="006D694C">
              <w:t xml:space="preserve">I progetti finanziati dalla misura riguardante i percorsi di formazione/accompagnamento per l’avvio di imprese culturali e creative </w:t>
            </w:r>
            <w:r w:rsidR="00417A1B">
              <w:t>s</w:t>
            </w:r>
            <w:r w:rsidR="006D694C">
              <w:t xml:space="preserve">ono ancora in corso e per questo motivo non è ancora possibile trarre conclusioni robuste sull’efficacia. </w:t>
            </w:r>
          </w:p>
          <w:p w14:paraId="30FE8CBA" w14:textId="77777777" w:rsidR="006D694C" w:rsidRDefault="006D694C" w:rsidP="006D694C"/>
          <w:p w14:paraId="30699842" w14:textId="77777777" w:rsidR="0079046D" w:rsidRDefault="006D694C" w:rsidP="006D694C">
            <w:r>
              <w:t>Come nel caso delle iniziative rivolte alle imprese anche gli interventi del FSE rivolti agli individui hanno dovuto far i conti con le conseguenze della pandemia. In questo caso i beneficiari si sono trovati di fronte al blocco della formazione in presenza</w:t>
            </w:r>
            <w:r w:rsidR="00417A1B">
              <w:t>, al</w:t>
            </w:r>
            <w:r>
              <w:t xml:space="preserve"> ricorso a quella a distanza (FAD) e all’impossibilità di svolgere lo stage all’estero. A questi ostacoli oggettivi al normale svolgimento delle attività di formazione si sono aggiunte le criticità legate all’incertezza e al calo della domanda, alla chiusura delle attività culturali e, in generale, una riduzione del fatturato per le attività imprenditoriali create, con conseguente necessità di dilazionare i pagamenti di tasse e contributi. Come per gli altri interventi precedentemente menzionati, l’analisi ha fatto emergere anche lati positivi e opportunità per i beneficiari durante la crisi sanitaria, fra cui: la facilità di accedere alla formazione erogata in FAD; l’attività di mentoring e il maggiore coinvolgimento dell’incubatore certificato, il cui ruolo potrebbe essere in futuro maggiormente valorizzato, e attivato già da una fase iniziale del percorso.</w:t>
            </w:r>
          </w:p>
          <w:p w14:paraId="5E02E9E7" w14:textId="77777777" w:rsidR="00FA7B3E" w:rsidRDefault="00FA7B3E" w:rsidP="006D694C"/>
          <w:p w14:paraId="30D41929" w14:textId="77777777" w:rsidR="00FA7B3E" w:rsidRDefault="00FA7B3E" w:rsidP="00FA7B3E">
            <w:r>
              <w:t>Alla luce dei pregi e delle debolezze delle politiche intraprese</w:t>
            </w:r>
            <w:r w:rsidR="00C77400">
              <w:t xml:space="preserve"> </w:t>
            </w:r>
            <w:r>
              <w:t xml:space="preserve">è senz’altro raccomandabile </w:t>
            </w:r>
            <w:r w:rsidR="00C77400">
              <w:t xml:space="preserve">introdurre </w:t>
            </w:r>
            <w:r>
              <w:t xml:space="preserve">alcuni accorgimenti </w:t>
            </w:r>
            <w:r w:rsidR="00C77400">
              <w:t xml:space="preserve">al fine di </w:t>
            </w:r>
            <w:r w:rsidRPr="00CD5649">
              <w:rPr>
                <w:b/>
                <w:bCs/>
              </w:rPr>
              <w:t>semplificare, nei limiti del possibile, le richieste amministrative e le procedure</w:t>
            </w:r>
            <w:r>
              <w:t xml:space="preserve"> burocratiche e di rendicontazione</w:t>
            </w:r>
            <w:r w:rsidR="00C77400">
              <w:t>. Sarebbe utile f</w:t>
            </w:r>
            <w:r>
              <w:t>ornire supporto alle piccole e micro imprese relativamente alla compilazione delle domande di finanziamento e riguardo tutti gli aspetti relativi alla gestione dei progetti</w:t>
            </w:r>
            <w:r w:rsidR="00C77400">
              <w:t>. Sarebbe inoltre essenziale m</w:t>
            </w:r>
            <w:r>
              <w:t>igliorare l’interoperabilità de</w:t>
            </w:r>
            <w:r w:rsidR="00C77400">
              <w:t>i</w:t>
            </w:r>
            <w:r>
              <w:t xml:space="preserve"> sistem</w:t>
            </w:r>
            <w:r w:rsidR="00C77400">
              <w:t>i</w:t>
            </w:r>
            <w:r>
              <w:t xml:space="preserve"> informativ</w:t>
            </w:r>
            <w:r w:rsidR="00C77400">
              <w:t>i</w:t>
            </w:r>
            <w:r>
              <w:t xml:space="preserve"> utilizzat</w:t>
            </w:r>
            <w:r w:rsidR="00C77400">
              <w:t>i</w:t>
            </w:r>
            <w:r>
              <w:t xml:space="preserve"> nella gestione de</w:t>
            </w:r>
            <w:r w:rsidR="00C77400">
              <w:t xml:space="preserve">i programmi </w:t>
            </w:r>
            <w:r>
              <w:t>per lo scambio di informazioni con i beneficiari e renderne più semplice l’utilizzo da parte dei beneficiari</w:t>
            </w:r>
            <w:r w:rsidR="00C77400">
              <w:t xml:space="preserve"> stessi</w:t>
            </w:r>
            <w:r>
              <w:t>.</w:t>
            </w:r>
          </w:p>
          <w:p w14:paraId="53D6165B" w14:textId="77777777" w:rsidR="00C77400" w:rsidRDefault="00C77400" w:rsidP="00FA7B3E"/>
          <w:p w14:paraId="57248071" w14:textId="77777777" w:rsidR="0086635A" w:rsidRDefault="00C77400" w:rsidP="00CD5649">
            <w:r>
              <w:t xml:space="preserve">I </w:t>
            </w:r>
            <w:r w:rsidRPr="00CD5649">
              <w:rPr>
                <w:b/>
                <w:bCs/>
              </w:rPr>
              <w:t>percorsi per l’autoimprenditorialità e l’auto-impiego hanno assunto, e plausibilmente assumeranno in futuro, un ruolo sempre più importante per l’occupazione</w:t>
            </w:r>
            <w:r w:rsidRPr="00CD5649">
              <w:t xml:space="preserve">. Quindi essi potranno essere rilevanti anche nell’ottica della nuova programmazione, in cui l’attenzione sarà maggiormente posta, fra le varie, sulle donne, sui giovani e sulla transizione verso un’Europa più smart e più verde. Il ruolo </w:t>
            </w:r>
            <w:r w:rsidR="00FA7B3E" w:rsidRPr="00CD5649">
              <w:t>del Fondo Sociale Europeo nella promozione di percorsi volti alla formazione e all’inserimento lavorativo vero e proprio, nell’ambito sia della imprenditorialità che del self-</w:t>
            </w:r>
            <w:proofErr w:type="spellStart"/>
            <w:r w:rsidR="00FA7B3E" w:rsidRPr="00CD5649">
              <w:t>employment</w:t>
            </w:r>
            <w:proofErr w:type="spellEnd"/>
            <w:r w:rsidR="00FA7B3E" w:rsidRPr="00CD5649">
              <w:t xml:space="preserve">, </w:t>
            </w:r>
            <w:r w:rsidRPr="00CD5649">
              <w:t xml:space="preserve">che </w:t>
            </w:r>
            <w:r w:rsidR="00FA7B3E" w:rsidRPr="00CD5649">
              <w:t xml:space="preserve">è </w:t>
            </w:r>
            <w:r w:rsidRPr="00CD5649">
              <w:t xml:space="preserve">stato giudicato </w:t>
            </w:r>
            <w:r w:rsidR="00FA7B3E" w:rsidRPr="00CD5649">
              <w:t xml:space="preserve">molto rilevante </w:t>
            </w:r>
            <w:r w:rsidRPr="00CD5649">
              <w:t>in Lombardia</w:t>
            </w:r>
            <w:r w:rsidR="00CD5649" w:rsidRPr="00CD5649">
              <w:t>,</w:t>
            </w:r>
            <w:r w:rsidRPr="00CD5649">
              <w:t xml:space="preserve"> sicuramente meriterebbe di essere rafforzato ulteriormente</w:t>
            </w:r>
            <w:r w:rsidR="00FA7B3E" w:rsidRPr="00CD5649">
              <w:t>. Se da un lato, infatti, è fondamentale contribuire a un sistema che integri le competenze acquisite nel settore dell’istruzione/formazione con le necessità del mercato del lavoro, dall’altro è sempre più importante progettare percorsi di inserimento</w:t>
            </w:r>
            <w:r w:rsidR="00FA7B3E">
              <w:t xml:space="preserve"> lavorativo che siano alternativi alle misure più </w:t>
            </w:r>
            <w:r w:rsidR="00FA7B3E">
              <w:rPr>
                <w:i/>
              </w:rPr>
              <w:t>mainstream</w:t>
            </w:r>
            <w:r w:rsidR="00FA7B3E">
              <w:t xml:space="preserve"> quali, ad esempio, il tirocinio.</w:t>
            </w:r>
          </w:p>
        </w:tc>
      </w:tr>
    </w:tbl>
    <w:p w14:paraId="4029755F" w14:textId="77777777" w:rsidR="00B4132E" w:rsidRDefault="00B4132E" w:rsidP="00EF6B92"/>
    <w:p w14:paraId="1188811A" w14:textId="77777777" w:rsidR="00B23F12" w:rsidRDefault="00B23F12" w:rsidP="00EF6B92"/>
    <w:p w14:paraId="3CCD6FC7" w14:textId="77777777" w:rsidR="00877371" w:rsidRDefault="00877371" w:rsidP="00877371">
      <w:pPr>
        <w:pStyle w:val="Titolo2"/>
      </w:pPr>
      <w:bookmarkStart w:id="66" w:name="_Toc91081402"/>
      <w:r>
        <w:t>Rassegna della letteratura</w:t>
      </w:r>
      <w:r w:rsidR="009255EC">
        <w:t xml:space="preserve"> sulle nuove imprese</w:t>
      </w:r>
      <w:bookmarkEnd w:id="66"/>
      <w:r w:rsidR="009255EC">
        <w:t xml:space="preserve"> </w:t>
      </w:r>
    </w:p>
    <w:p w14:paraId="3045FB03" w14:textId="77777777" w:rsidR="00624B2A" w:rsidRPr="00624B2A" w:rsidRDefault="00624B2A" w:rsidP="00624B2A"/>
    <w:p w14:paraId="07BB7424" w14:textId="77777777" w:rsidR="00984A26" w:rsidRDefault="00984A26" w:rsidP="00984A26">
      <w:pPr>
        <w:pStyle w:val="Titolo3"/>
      </w:pPr>
      <w:bookmarkStart w:id="67" w:name="_Toc91081403"/>
      <w:r>
        <w:t>Nuove imprese e crescita: una relazione complessa</w:t>
      </w:r>
      <w:bookmarkEnd w:id="67"/>
      <w:r>
        <w:t xml:space="preserve"> </w:t>
      </w:r>
    </w:p>
    <w:p w14:paraId="3D633895" w14:textId="77777777" w:rsidR="00624B2A" w:rsidRPr="00624B2A" w:rsidRDefault="00624B2A" w:rsidP="00624B2A"/>
    <w:p w14:paraId="227E8C1D" w14:textId="77777777" w:rsidR="005846B0" w:rsidRDefault="00EE71C7" w:rsidP="00877371">
      <w:r>
        <w:t>L</w:t>
      </w:r>
      <w:r w:rsidR="00877371" w:rsidRPr="008772F4">
        <w:t>a letteratura economica sulla teoria del cambiamento, a partire dal contributo pionieristico di Schumpeter (1934), considera le nuove imprese come uno dei principali driver di cambiamento</w:t>
      </w:r>
      <w:r w:rsidR="00877371">
        <w:t xml:space="preserve"> e di sviluppo economico </w:t>
      </w:r>
      <w:r w:rsidR="00877371" w:rsidRPr="00A92523">
        <w:t>(</w:t>
      </w:r>
      <w:proofErr w:type="spellStart"/>
      <w:r w:rsidR="00877371" w:rsidRPr="00A92523">
        <w:t>Audretsch</w:t>
      </w:r>
      <w:proofErr w:type="spellEnd"/>
      <w:r w:rsidR="00877371" w:rsidRPr="00A92523">
        <w:t xml:space="preserve"> et al. 2006; Van </w:t>
      </w:r>
      <w:proofErr w:type="spellStart"/>
      <w:r w:rsidR="00877371" w:rsidRPr="00A92523">
        <w:t>Praag</w:t>
      </w:r>
      <w:proofErr w:type="spellEnd"/>
      <w:r w:rsidR="00877371" w:rsidRPr="00A92523">
        <w:t xml:space="preserve"> and </w:t>
      </w:r>
      <w:proofErr w:type="spellStart"/>
      <w:r w:rsidR="00877371" w:rsidRPr="00A92523">
        <w:t>Versloot</w:t>
      </w:r>
      <w:proofErr w:type="spellEnd"/>
      <w:r w:rsidR="00877371" w:rsidRPr="00A92523">
        <w:t xml:space="preserve"> 2007</w:t>
      </w:r>
      <w:r w:rsidR="00877371">
        <w:t xml:space="preserve">; </w:t>
      </w:r>
      <w:proofErr w:type="spellStart"/>
      <w:r w:rsidR="00877371" w:rsidRPr="00A92523">
        <w:t>Koellinger</w:t>
      </w:r>
      <w:proofErr w:type="spellEnd"/>
      <w:r w:rsidR="00877371" w:rsidRPr="00A92523">
        <w:t xml:space="preserve"> and </w:t>
      </w:r>
      <w:proofErr w:type="spellStart"/>
      <w:r w:rsidR="00877371" w:rsidRPr="00A92523">
        <w:t>Thurik</w:t>
      </w:r>
      <w:proofErr w:type="spellEnd"/>
      <w:r w:rsidR="00877371" w:rsidRPr="00A92523">
        <w:t xml:space="preserve"> 2012)</w:t>
      </w:r>
      <w:r w:rsidR="00877371" w:rsidRPr="008772F4">
        <w:t xml:space="preserve">. I risultati della letteratura empirica sul tema hanno infatti dimostrato che le nuove imprese esercitano un ruolo rilevante per l’introduzione e la diffusione </w:t>
      </w:r>
      <w:r w:rsidR="00877371" w:rsidRPr="00A92523">
        <w:t xml:space="preserve">dell’innovazione (Dumont 2017, Schneider and </w:t>
      </w:r>
      <w:proofErr w:type="spellStart"/>
      <w:r w:rsidR="00877371" w:rsidRPr="00A92523">
        <w:t>Veugelers</w:t>
      </w:r>
      <w:proofErr w:type="spellEnd"/>
      <w:r w:rsidR="00877371" w:rsidRPr="00A92523">
        <w:t xml:space="preserve"> 2010, Henkel et al. 2015), la creazione di nuovi posti di lavoro (</w:t>
      </w:r>
      <w:proofErr w:type="spellStart"/>
      <w:r w:rsidR="00877371" w:rsidRPr="00A92523">
        <w:t>Malchow-Møller</w:t>
      </w:r>
      <w:proofErr w:type="spellEnd"/>
      <w:r w:rsidR="00877371" w:rsidRPr="00A92523">
        <w:t xml:space="preserve"> et al. 2011; Criscuolo et al. 2014), la competitività dei territori e la creazione di nuovi settori (</w:t>
      </w:r>
      <w:proofErr w:type="spellStart"/>
      <w:r w:rsidR="00877371" w:rsidRPr="00A92523">
        <w:t>Wennekers</w:t>
      </w:r>
      <w:proofErr w:type="spellEnd"/>
      <w:r w:rsidR="00877371" w:rsidRPr="00A92523">
        <w:t xml:space="preserve"> and </w:t>
      </w:r>
      <w:proofErr w:type="spellStart"/>
      <w:r w:rsidR="00877371" w:rsidRPr="00A92523">
        <w:t>Thurik</w:t>
      </w:r>
      <w:proofErr w:type="spellEnd"/>
      <w:r w:rsidR="00877371" w:rsidRPr="00A92523">
        <w:t xml:space="preserve"> 1999; </w:t>
      </w:r>
      <w:proofErr w:type="spellStart"/>
      <w:r w:rsidR="00877371" w:rsidRPr="00A92523">
        <w:t>Dejardin</w:t>
      </w:r>
      <w:proofErr w:type="spellEnd"/>
      <w:r w:rsidR="00877371" w:rsidRPr="00A92523">
        <w:t xml:space="preserve"> 2011), la crescita e la produttività (Shane 2009; Calvino et al. 2016).</w:t>
      </w:r>
      <w:r w:rsidR="00877371">
        <w:t xml:space="preserve"> </w:t>
      </w:r>
    </w:p>
    <w:p w14:paraId="6BD20229" w14:textId="77777777" w:rsidR="005846B0" w:rsidRDefault="005846B0" w:rsidP="00877371"/>
    <w:p w14:paraId="72A9BFA0" w14:textId="77777777" w:rsidR="00877371" w:rsidRDefault="00877371" w:rsidP="00877371">
      <w:r>
        <w:t xml:space="preserve">La logica economica a supporto del ruolo positivo delle nuove imprese fa riferimento al concetto </w:t>
      </w:r>
      <w:proofErr w:type="spellStart"/>
      <w:r>
        <w:t>Schumpeteriano</w:t>
      </w:r>
      <w:proofErr w:type="spellEnd"/>
      <w:r>
        <w:t xml:space="preserve"> di “</w:t>
      </w:r>
      <w:r w:rsidRPr="005D08D4">
        <w:rPr>
          <w:i/>
          <w:iCs/>
        </w:rPr>
        <w:t xml:space="preserve">creative </w:t>
      </w:r>
      <w:proofErr w:type="spellStart"/>
      <w:r w:rsidRPr="005D08D4">
        <w:rPr>
          <w:i/>
          <w:iCs/>
        </w:rPr>
        <w:t>destruction</w:t>
      </w:r>
      <w:proofErr w:type="spellEnd"/>
      <w:r>
        <w:t>”, secondo il quale le nuove imprese sostituiscono le imprese più obsolete e meno efficienti del mercato (</w:t>
      </w:r>
      <w:r w:rsidRPr="00A92523">
        <w:t>Schumpeter</w:t>
      </w:r>
      <w:r>
        <w:t xml:space="preserve"> </w:t>
      </w:r>
      <w:r w:rsidRPr="00A92523">
        <w:t>193</w:t>
      </w:r>
      <w:r>
        <w:t>9</w:t>
      </w:r>
      <w:r w:rsidRPr="00A92523">
        <w:t xml:space="preserve">). </w:t>
      </w:r>
      <w:r>
        <w:t xml:space="preserve">Secondo la visione </w:t>
      </w:r>
      <w:proofErr w:type="spellStart"/>
      <w:r>
        <w:t>Schumpeteriana</w:t>
      </w:r>
      <w:proofErr w:type="spellEnd"/>
      <w:r>
        <w:t>, gli imprenditori sono coloro che introducono “novità” nelle attività che svolgono e che “rompono” con le routine affermate e utilizzate dai manager delle imprese già presenti sul mercato.</w:t>
      </w:r>
    </w:p>
    <w:p w14:paraId="75294A25" w14:textId="77777777" w:rsidR="00877371" w:rsidRDefault="00877371" w:rsidP="00877371">
      <w:r>
        <w:t>In linea con questa logica economica e s</w:t>
      </w:r>
      <w:r w:rsidRPr="008772F4">
        <w:t>pinti dalla convinzione che la creazione di nuove imprese sia un fenomeno positivo di per sé, negli scorsi decenni molti governi in Europa e oltre oceano hanno promulgato misure a supporto delle startup. Tuttavia, spesso i risultati di queste politiche non hanno avuto l’impatto sperato e la letteratura scientifica ha mostrato che favorire la creazione di startup senza la capacità di sapere intercettare le imprese con maggior potenziale di crescita è una “politica pubblica sbagliata”</w:t>
      </w:r>
      <w:r>
        <w:t>, come articolato e ampiamente discusso nel contributo di</w:t>
      </w:r>
      <w:r w:rsidRPr="008772F4">
        <w:t xml:space="preserve"> Shane </w:t>
      </w:r>
      <w:r>
        <w:t>(</w:t>
      </w:r>
      <w:r w:rsidRPr="008772F4">
        <w:t>2009</w:t>
      </w:r>
      <w:r>
        <w:t>) “</w:t>
      </w:r>
      <w:proofErr w:type="spellStart"/>
      <w:r w:rsidRPr="005D08D4">
        <w:rPr>
          <w:i/>
          <w:iCs/>
        </w:rPr>
        <w:t>Why</w:t>
      </w:r>
      <w:proofErr w:type="spellEnd"/>
      <w:r w:rsidRPr="005D08D4">
        <w:rPr>
          <w:i/>
          <w:iCs/>
        </w:rPr>
        <w:t xml:space="preserve"> </w:t>
      </w:r>
      <w:proofErr w:type="spellStart"/>
      <w:r w:rsidRPr="005D08D4">
        <w:rPr>
          <w:i/>
          <w:iCs/>
        </w:rPr>
        <w:t>encouraging</w:t>
      </w:r>
      <w:proofErr w:type="spellEnd"/>
      <w:r w:rsidRPr="005D08D4">
        <w:rPr>
          <w:i/>
          <w:iCs/>
        </w:rPr>
        <w:t xml:space="preserve"> more people to </w:t>
      </w:r>
      <w:proofErr w:type="spellStart"/>
      <w:r w:rsidRPr="005D08D4">
        <w:rPr>
          <w:i/>
          <w:iCs/>
        </w:rPr>
        <w:t>become</w:t>
      </w:r>
      <w:proofErr w:type="spellEnd"/>
      <w:r w:rsidRPr="005D08D4">
        <w:rPr>
          <w:i/>
          <w:iCs/>
        </w:rPr>
        <w:t xml:space="preserve"> </w:t>
      </w:r>
      <w:proofErr w:type="spellStart"/>
      <w:r w:rsidRPr="005D08D4">
        <w:rPr>
          <w:i/>
          <w:iCs/>
        </w:rPr>
        <w:t>entrepreneurs</w:t>
      </w:r>
      <w:proofErr w:type="spellEnd"/>
      <w:r w:rsidRPr="005D08D4">
        <w:rPr>
          <w:i/>
          <w:iCs/>
        </w:rPr>
        <w:t xml:space="preserve"> </w:t>
      </w:r>
      <w:proofErr w:type="spellStart"/>
      <w:r w:rsidRPr="005D08D4">
        <w:rPr>
          <w:i/>
          <w:iCs/>
        </w:rPr>
        <w:t>is</w:t>
      </w:r>
      <w:proofErr w:type="spellEnd"/>
      <w:r w:rsidRPr="005D08D4">
        <w:rPr>
          <w:i/>
          <w:iCs/>
        </w:rPr>
        <w:t xml:space="preserve"> </w:t>
      </w:r>
      <w:proofErr w:type="spellStart"/>
      <w:r w:rsidRPr="005D08D4">
        <w:rPr>
          <w:i/>
          <w:iCs/>
        </w:rPr>
        <w:t>bad</w:t>
      </w:r>
      <w:proofErr w:type="spellEnd"/>
      <w:r w:rsidRPr="005D08D4">
        <w:rPr>
          <w:i/>
          <w:iCs/>
        </w:rPr>
        <w:t xml:space="preserve"> public policy</w:t>
      </w:r>
      <w:r>
        <w:t xml:space="preserve">” e successivamente enfatizzato dal lavoro di </w:t>
      </w:r>
      <w:r w:rsidRPr="008772F4">
        <w:t>Colombelli</w:t>
      </w:r>
      <w:r>
        <w:t>, Krafft e Vivarelli (</w:t>
      </w:r>
      <w:r w:rsidRPr="008772F4">
        <w:t>2016</w:t>
      </w:r>
      <w:r>
        <w:t>) “</w:t>
      </w:r>
      <w:r w:rsidRPr="005D08D4">
        <w:rPr>
          <w:i/>
          <w:iCs/>
        </w:rPr>
        <w:t xml:space="preserve">To be </w:t>
      </w:r>
      <w:proofErr w:type="spellStart"/>
      <w:r w:rsidRPr="005D08D4">
        <w:rPr>
          <w:i/>
          <w:iCs/>
        </w:rPr>
        <w:t>born</w:t>
      </w:r>
      <w:proofErr w:type="spellEnd"/>
      <w:r w:rsidRPr="005D08D4">
        <w:rPr>
          <w:i/>
          <w:iCs/>
        </w:rPr>
        <w:t xml:space="preserve"> </w:t>
      </w:r>
      <w:proofErr w:type="spellStart"/>
      <w:r w:rsidRPr="005D08D4">
        <w:rPr>
          <w:i/>
          <w:iCs/>
        </w:rPr>
        <w:t>is</w:t>
      </w:r>
      <w:proofErr w:type="spellEnd"/>
      <w:r w:rsidRPr="005D08D4">
        <w:rPr>
          <w:i/>
          <w:iCs/>
        </w:rPr>
        <w:t xml:space="preserve"> </w:t>
      </w:r>
      <w:proofErr w:type="spellStart"/>
      <w:r w:rsidRPr="005D08D4">
        <w:rPr>
          <w:i/>
          <w:iCs/>
        </w:rPr>
        <w:t>not</w:t>
      </w:r>
      <w:proofErr w:type="spellEnd"/>
      <w:r w:rsidRPr="005D08D4">
        <w:rPr>
          <w:i/>
          <w:iCs/>
        </w:rPr>
        <w:t xml:space="preserve"> </w:t>
      </w:r>
      <w:proofErr w:type="spellStart"/>
      <w:r w:rsidRPr="005D08D4">
        <w:rPr>
          <w:i/>
          <w:iCs/>
        </w:rPr>
        <w:t>enough</w:t>
      </w:r>
      <w:proofErr w:type="spellEnd"/>
      <w:r w:rsidRPr="005D08D4">
        <w:rPr>
          <w:i/>
          <w:iCs/>
        </w:rPr>
        <w:t xml:space="preserve">: the key </w:t>
      </w:r>
      <w:proofErr w:type="spellStart"/>
      <w:r w:rsidRPr="005D08D4">
        <w:rPr>
          <w:i/>
          <w:iCs/>
        </w:rPr>
        <w:t>role</w:t>
      </w:r>
      <w:proofErr w:type="spellEnd"/>
      <w:r w:rsidRPr="005D08D4">
        <w:rPr>
          <w:i/>
          <w:iCs/>
        </w:rPr>
        <w:t xml:space="preserve"> of innovative start-ups</w:t>
      </w:r>
      <w:r>
        <w:t>”</w:t>
      </w:r>
      <w:r w:rsidRPr="008772F4">
        <w:t xml:space="preserve">. Le nuove imprese sono infatti estremamente eterogenee e molto spesso sono destinate al </w:t>
      </w:r>
      <w:r w:rsidRPr="006714DC">
        <w:t>fallimento. Già Schumpeter (1934) identifica diversi tipi di imprenditori</w:t>
      </w:r>
      <w:r>
        <w:t>: i “leader”, ossia gli imprenditori capaci di introdurre un’innovazione di prodotto, processo o organizzativa, e gli “imitatori”, che seguono i leader. Tra gli imitatori, i “follower” esercitano un ruolo importante nella promozione e diffusione dell’innovazione</w:t>
      </w:r>
      <w:r w:rsidRPr="006714DC">
        <w:t xml:space="preserve"> </w:t>
      </w:r>
      <w:r w:rsidRPr="00FE1284">
        <w:t xml:space="preserve">(Freeman et al. 1982; Freeman and </w:t>
      </w:r>
      <w:proofErr w:type="spellStart"/>
      <w:r w:rsidRPr="00FE1284">
        <w:t>Soete</w:t>
      </w:r>
      <w:proofErr w:type="spellEnd"/>
      <w:r w:rsidRPr="00FE1284">
        <w:t xml:space="preserve"> 1987)</w:t>
      </w:r>
      <w:r>
        <w:t xml:space="preserve"> ma sono affiancati da “</w:t>
      </w:r>
      <w:r w:rsidRPr="005D08D4">
        <w:rPr>
          <w:i/>
          <w:iCs/>
        </w:rPr>
        <w:t xml:space="preserve">passive </w:t>
      </w:r>
      <w:proofErr w:type="spellStart"/>
      <w:r w:rsidRPr="005D08D4">
        <w:rPr>
          <w:i/>
          <w:iCs/>
        </w:rPr>
        <w:t>replicator</w:t>
      </w:r>
      <w:proofErr w:type="spellEnd"/>
      <w:r>
        <w:t>”, coloro che avviano attività imprenditoriali molto simili a quelle già presenti sul mercato, che risultano scarsamente innovativi e sono spesso destinati a un rapido fallimento (</w:t>
      </w:r>
      <w:proofErr w:type="spellStart"/>
      <w:r>
        <w:t>Baumol</w:t>
      </w:r>
      <w:proofErr w:type="spellEnd"/>
      <w:r>
        <w:t xml:space="preserve"> 2005). Va inoltre specificato che, come evidenziato da </w:t>
      </w:r>
      <w:proofErr w:type="spellStart"/>
      <w:r>
        <w:t>Baumol</w:t>
      </w:r>
      <w:proofErr w:type="spellEnd"/>
      <w:r>
        <w:t xml:space="preserve"> (2005), gli imprenditori innovatori sono un’eccezione. Tra i leader infatti solo una minoranza è costituita da innovatori radicali mentre la maggioranza di essi introduce innovazioni di natura incrementale. Infine, innovatori e imitatori coesistono sul mercato con un’altra categoria di imprenditori: gli “imprenditori per necessità”, ossia coloro che avviano un’attività imprenditoriale non per introdurre una nuova idea e cogliere opportunità di mercato ma per sfuggire alla disoccupazione (</w:t>
      </w:r>
      <w:proofErr w:type="spellStart"/>
      <w:r>
        <w:t>Baumol</w:t>
      </w:r>
      <w:proofErr w:type="spellEnd"/>
      <w:r>
        <w:t xml:space="preserve"> 1990).</w:t>
      </w:r>
    </w:p>
    <w:p w14:paraId="4C0E525F" w14:textId="77777777" w:rsidR="005846B0" w:rsidRDefault="005846B0" w:rsidP="00877371"/>
    <w:p w14:paraId="5C7AD3C3" w14:textId="77777777" w:rsidR="00877371" w:rsidRDefault="00877371" w:rsidP="00877371">
      <w:r>
        <w:t>È dunque evidente che i</w:t>
      </w:r>
      <w:r w:rsidRPr="00096E2C">
        <w:t xml:space="preserve">l tasso di natalità d’impresa costituisce un indicatore </w:t>
      </w:r>
      <w:r>
        <w:t xml:space="preserve">che </w:t>
      </w:r>
      <w:r w:rsidRPr="00096E2C">
        <w:t>aggrega</w:t>
      </w:r>
      <w:r>
        <w:t xml:space="preserve"> un insieme di realtà imprenditoriali molto eterogenee tra di loro.</w:t>
      </w:r>
      <w:r w:rsidRPr="00096E2C">
        <w:t xml:space="preserve"> </w:t>
      </w:r>
      <w:r>
        <w:t>Questo spiega come mai i tassi di sopravvivenza delle imprese siano molto bassi: le statistiche OCSE (si veda la Sezione 2 del report) mostrano come circa il 50% delle nuove imprese esca dal mercato entro 5 anni dalla fondazione. Inoltre, le stesse statistiche rivelano una elevata correlazione tra tassi di natalità e mortalità. Il processo di “</w:t>
      </w:r>
      <w:r w:rsidRPr="00C01A70">
        <w:rPr>
          <w:i/>
          <w:iCs/>
        </w:rPr>
        <w:t xml:space="preserve">creative </w:t>
      </w:r>
      <w:proofErr w:type="spellStart"/>
      <w:r w:rsidRPr="00C01A70">
        <w:rPr>
          <w:i/>
          <w:iCs/>
        </w:rPr>
        <w:t>destruction</w:t>
      </w:r>
      <w:proofErr w:type="spellEnd"/>
      <w:r>
        <w:t xml:space="preserve">” sembra dunque colpire maggiormente le imprese più giovani, che spesso sono le più fragili e </w:t>
      </w:r>
      <w:r w:rsidRPr="00681162">
        <w:t xml:space="preserve">marginali sul mercato </w:t>
      </w:r>
      <w:r>
        <w:t>(</w:t>
      </w:r>
      <w:proofErr w:type="spellStart"/>
      <w:r w:rsidRPr="00681162">
        <w:t>Geroski</w:t>
      </w:r>
      <w:proofErr w:type="spellEnd"/>
      <w:r w:rsidRPr="00681162">
        <w:t xml:space="preserve"> 1995)</w:t>
      </w:r>
      <w:r>
        <w:t>. Queste evidenze sfidano dunque la logica economica che considera le nuove imprese</w:t>
      </w:r>
      <w:r w:rsidR="000B2CE0">
        <w:t>, indipendentemente dall’innovatività,</w:t>
      </w:r>
      <w:r>
        <w:t xml:space="preserve"> come motore di sviluppo e pongono seri dubbi sull’efficacia di politiche a supporto della natalità d’impresa.</w:t>
      </w:r>
    </w:p>
    <w:p w14:paraId="6F1AC417" w14:textId="77777777" w:rsidR="00877371" w:rsidRDefault="00877371" w:rsidP="00877371"/>
    <w:p w14:paraId="70E1A7E7" w14:textId="77777777" w:rsidR="00877371" w:rsidRDefault="002201F7" w:rsidP="00984A26">
      <w:pPr>
        <w:pStyle w:val="Titolo3"/>
      </w:pPr>
      <w:bookmarkStart w:id="68" w:name="_Toc65757520"/>
      <w:bookmarkStart w:id="69" w:name="_Toc91081404"/>
      <w:r>
        <w:t>Driver alla base del</w:t>
      </w:r>
      <w:r w:rsidR="00877371" w:rsidRPr="00203BFC">
        <w:t>la nascita di nuove imprese</w:t>
      </w:r>
      <w:bookmarkEnd w:id="68"/>
      <w:bookmarkEnd w:id="69"/>
    </w:p>
    <w:p w14:paraId="1BF34B5F" w14:textId="77777777" w:rsidR="00624B2A" w:rsidRPr="00624B2A" w:rsidRDefault="00624B2A" w:rsidP="00624B2A"/>
    <w:p w14:paraId="5F9F3821" w14:textId="77777777" w:rsidR="00877371" w:rsidRDefault="00877371" w:rsidP="00877371">
      <w:r>
        <w:t xml:space="preserve">L’eterogeneità delle nuove imprese e la coesistenza di diverse tipologie di imprenditore si spiega, secondo la letteratura economica, con la presenza di una varietà di fattori e motivazioni alla base della scelta di diventare imprenditore, che possono essere distinti tra fattori progressivi e regressivi. </w:t>
      </w:r>
    </w:p>
    <w:p w14:paraId="7A3921CD" w14:textId="77777777" w:rsidR="00984A26" w:rsidRDefault="00984A26" w:rsidP="00877371"/>
    <w:p w14:paraId="7CD2B12D" w14:textId="77777777" w:rsidR="00877371" w:rsidRPr="002533D0" w:rsidRDefault="00984A26" w:rsidP="00984A26">
      <w:pPr>
        <w:pStyle w:val="Didascalia"/>
      </w:pPr>
      <w:bookmarkStart w:id="70" w:name="_Toc91081452"/>
      <w:r>
        <w:t xml:space="preserve">Tabella </w:t>
      </w:r>
      <w:r w:rsidR="004E6566">
        <w:fldChar w:fldCharType="begin"/>
      </w:r>
      <w:r>
        <w:instrText xml:space="preserve"> SEQ Tabella \* ARABIC </w:instrText>
      </w:r>
      <w:r w:rsidR="004E6566">
        <w:fldChar w:fldCharType="separate"/>
      </w:r>
      <w:r w:rsidR="00E53D6C">
        <w:rPr>
          <w:noProof/>
        </w:rPr>
        <w:t>26</w:t>
      </w:r>
      <w:r w:rsidR="004E6566">
        <w:fldChar w:fldCharType="end"/>
      </w:r>
      <w:r>
        <w:t xml:space="preserve">. </w:t>
      </w:r>
      <w:r w:rsidRPr="00500223">
        <w:t>Motivazioni alla base della scelta di diventare imprenditore: fattori progressivi e regressivi</w:t>
      </w:r>
      <w:bookmarkEnd w:id="70"/>
    </w:p>
    <w:tbl>
      <w:tblPr>
        <w:tblStyle w:val="Grigliatabella"/>
        <w:tblW w:w="5000" w:type="pct"/>
        <w:tblLook w:val="04A0" w:firstRow="1" w:lastRow="0" w:firstColumn="1" w:lastColumn="0" w:noHBand="0" w:noVBand="1"/>
      </w:tblPr>
      <w:tblGrid>
        <w:gridCol w:w="3252"/>
        <w:gridCol w:w="6376"/>
      </w:tblGrid>
      <w:tr w:rsidR="00877371" w:rsidRPr="00665EFE" w14:paraId="66376D93" w14:textId="77777777" w:rsidTr="003270F9">
        <w:tc>
          <w:tcPr>
            <w:tcW w:w="1689" w:type="pct"/>
            <w:shd w:val="clear" w:color="auto" w:fill="669748" w:themeFill="accent2" w:themeFillShade="BF"/>
            <w:vAlign w:val="bottom"/>
          </w:tcPr>
          <w:p w14:paraId="39E4075B" w14:textId="77777777" w:rsidR="00877371" w:rsidRPr="00665EFE" w:rsidRDefault="00877371" w:rsidP="00877371">
            <w:pPr>
              <w:rPr>
                <w:rFonts w:eastAsiaTheme="minorHAnsi"/>
                <w:b/>
                <w:bCs/>
                <w:color w:val="FFFFFF" w:themeColor="background1"/>
              </w:rPr>
            </w:pPr>
            <w:r w:rsidRPr="00665EFE">
              <w:rPr>
                <w:b/>
                <w:bCs/>
                <w:color w:val="FFFFFF" w:themeColor="background1"/>
              </w:rPr>
              <w:t>Fattori progressivi</w:t>
            </w:r>
          </w:p>
        </w:tc>
        <w:tc>
          <w:tcPr>
            <w:tcW w:w="3311" w:type="pct"/>
            <w:shd w:val="clear" w:color="auto" w:fill="D9D9D9" w:themeFill="background1" w:themeFillShade="D9"/>
            <w:vAlign w:val="bottom"/>
          </w:tcPr>
          <w:p w14:paraId="7BFAF935" w14:textId="77777777" w:rsidR="00877371" w:rsidRPr="00665EFE" w:rsidRDefault="00877371" w:rsidP="00877371">
            <w:pPr>
              <w:rPr>
                <w:rFonts w:eastAsiaTheme="minorHAnsi"/>
              </w:rPr>
            </w:pPr>
            <w:r w:rsidRPr="00665EFE">
              <w:rPr>
                <w:rFonts w:eastAsiaTheme="minorHAnsi"/>
              </w:rPr>
              <w:t>Riferimenti bibliografici</w:t>
            </w:r>
          </w:p>
        </w:tc>
      </w:tr>
      <w:tr w:rsidR="00877371" w:rsidRPr="00014FA7" w14:paraId="219B3B15" w14:textId="77777777" w:rsidTr="00984A26">
        <w:tc>
          <w:tcPr>
            <w:tcW w:w="1689" w:type="pct"/>
          </w:tcPr>
          <w:p w14:paraId="77737C09" w14:textId="77777777" w:rsidR="00877371" w:rsidRPr="00665EFE" w:rsidRDefault="00877371" w:rsidP="00877371">
            <w:pPr>
              <w:rPr>
                <w:rFonts w:eastAsiaTheme="minorHAnsi"/>
              </w:rPr>
            </w:pPr>
            <w:r w:rsidRPr="00665EFE">
              <w:rPr>
                <w:color w:val="000000"/>
              </w:rPr>
              <w:t>Aspettative di profitto</w:t>
            </w:r>
          </w:p>
        </w:tc>
        <w:tc>
          <w:tcPr>
            <w:tcW w:w="3311" w:type="pct"/>
          </w:tcPr>
          <w:p w14:paraId="246A6B18" w14:textId="77777777" w:rsidR="00877371" w:rsidRPr="00014FA7" w:rsidRDefault="00877371" w:rsidP="00877371">
            <w:pPr>
              <w:rPr>
                <w:iCs/>
                <w:color w:val="000000"/>
                <w:lang w:val="en-US"/>
              </w:rPr>
            </w:pPr>
            <w:r w:rsidRPr="00014FA7">
              <w:rPr>
                <w:color w:val="000000"/>
                <w:lang w:val="en-US"/>
              </w:rPr>
              <w:t xml:space="preserve">Mansfield, 1962; Orr, 1974; </w:t>
            </w:r>
            <w:proofErr w:type="spellStart"/>
            <w:r w:rsidRPr="00014FA7">
              <w:rPr>
                <w:color w:val="000000"/>
                <w:lang w:val="en-US"/>
              </w:rPr>
              <w:t>Khemani</w:t>
            </w:r>
            <w:proofErr w:type="spellEnd"/>
            <w:r w:rsidRPr="00014FA7">
              <w:rPr>
                <w:color w:val="000000"/>
                <w:lang w:val="en-US"/>
              </w:rPr>
              <w:t xml:space="preserve"> and Shapiro, 1986; </w:t>
            </w:r>
            <w:proofErr w:type="spellStart"/>
            <w:r w:rsidRPr="00014FA7">
              <w:rPr>
                <w:color w:val="000000"/>
                <w:lang w:val="en-US"/>
              </w:rPr>
              <w:t>Geroski</w:t>
            </w:r>
            <w:proofErr w:type="spellEnd"/>
            <w:r w:rsidRPr="00014FA7">
              <w:rPr>
                <w:color w:val="000000"/>
                <w:lang w:val="en-US"/>
              </w:rPr>
              <w:t xml:space="preserve"> and Schwalbach, 1991; </w:t>
            </w:r>
            <w:proofErr w:type="spellStart"/>
            <w:r w:rsidRPr="00014FA7">
              <w:rPr>
                <w:color w:val="000000"/>
                <w:lang w:val="en-US"/>
              </w:rPr>
              <w:t>Vivarelli</w:t>
            </w:r>
            <w:proofErr w:type="spellEnd"/>
            <w:r w:rsidRPr="00014FA7">
              <w:rPr>
                <w:color w:val="000000"/>
                <w:lang w:val="en-US"/>
              </w:rPr>
              <w:t xml:space="preserve">, 2004; </w:t>
            </w:r>
            <w:proofErr w:type="spellStart"/>
            <w:r w:rsidRPr="00014FA7">
              <w:rPr>
                <w:color w:val="000000"/>
                <w:lang w:val="en-US"/>
              </w:rPr>
              <w:t>Arauzo-Carod</w:t>
            </w:r>
            <w:proofErr w:type="spellEnd"/>
            <w:r w:rsidRPr="00014FA7">
              <w:rPr>
                <w:color w:val="000000"/>
                <w:lang w:val="en-US"/>
              </w:rPr>
              <w:t xml:space="preserve"> and Segarra-</w:t>
            </w:r>
            <w:proofErr w:type="spellStart"/>
            <w:r w:rsidRPr="00014FA7">
              <w:rPr>
                <w:color w:val="000000"/>
                <w:lang w:val="en-US"/>
              </w:rPr>
              <w:t>Blasco</w:t>
            </w:r>
            <w:proofErr w:type="spellEnd"/>
            <w:r w:rsidRPr="00014FA7">
              <w:rPr>
                <w:color w:val="000000"/>
                <w:lang w:val="en-US"/>
              </w:rPr>
              <w:t>, 2005</w:t>
            </w:r>
          </w:p>
        </w:tc>
      </w:tr>
      <w:tr w:rsidR="00877371" w:rsidRPr="00665EFE" w14:paraId="655C8E90" w14:textId="77777777" w:rsidTr="00984A26">
        <w:tc>
          <w:tcPr>
            <w:tcW w:w="1689" w:type="pct"/>
          </w:tcPr>
          <w:p w14:paraId="5B36536B" w14:textId="77777777" w:rsidR="00877371" w:rsidRPr="00665EFE" w:rsidRDefault="00877371" w:rsidP="00877371">
            <w:pPr>
              <w:rPr>
                <w:color w:val="000000"/>
              </w:rPr>
            </w:pPr>
            <w:r w:rsidRPr="00665EFE">
              <w:rPr>
                <w:color w:val="000000"/>
              </w:rPr>
              <w:t>Contesto locale</w:t>
            </w:r>
          </w:p>
        </w:tc>
        <w:tc>
          <w:tcPr>
            <w:tcW w:w="3311" w:type="pct"/>
          </w:tcPr>
          <w:p w14:paraId="4E2B11F4" w14:textId="77777777" w:rsidR="00877371" w:rsidRPr="00665EFE" w:rsidRDefault="00877371" w:rsidP="00877371">
            <w:pPr>
              <w:rPr>
                <w:color w:val="000000"/>
              </w:rPr>
            </w:pPr>
            <w:r w:rsidRPr="00665EFE">
              <w:rPr>
                <w:color w:val="000000" w:themeColor="text1"/>
              </w:rPr>
              <w:t xml:space="preserve">Storey, 1994; Arrighetti and Vivarelli, 1999; Shane, 2000; </w:t>
            </w:r>
            <w:proofErr w:type="spellStart"/>
            <w:r w:rsidRPr="00665EFE">
              <w:rPr>
                <w:color w:val="000000" w:themeColor="text1"/>
              </w:rPr>
              <w:t>Klepper</w:t>
            </w:r>
            <w:proofErr w:type="spellEnd"/>
            <w:r w:rsidRPr="00665EFE">
              <w:rPr>
                <w:color w:val="000000" w:themeColor="text1"/>
              </w:rPr>
              <w:t xml:space="preserve">, 2001; </w:t>
            </w:r>
            <w:proofErr w:type="spellStart"/>
            <w:r w:rsidRPr="00665EFE">
              <w:rPr>
                <w:color w:val="000000" w:themeColor="text1"/>
              </w:rPr>
              <w:t>Helfat</w:t>
            </w:r>
            <w:proofErr w:type="spellEnd"/>
            <w:r w:rsidRPr="00665EFE">
              <w:rPr>
                <w:color w:val="000000" w:themeColor="text1"/>
              </w:rPr>
              <w:t xml:space="preserve"> and Lieberman, 2002; Vivarelli e Santarelli 2007 </w:t>
            </w:r>
          </w:p>
        </w:tc>
      </w:tr>
      <w:tr w:rsidR="00877371" w:rsidRPr="00014FA7" w14:paraId="3D3C00E0" w14:textId="77777777" w:rsidTr="00984A26">
        <w:tc>
          <w:tcPr>
            <w:tcW w:w="1689" w:type="pct"/>
          </w:tcPr>
          <w:p w14:paraId="2AD60ABF" w14:textId="77777777" w:rsidR="00877371" w:rsidRPr="00665EFE" w:rsidRDefault="00877371" w:rsidP="00877371">
            <w:pPr>
              <w:rPr>
                <w:color w:val="000000"/>
              </w:rPr>
            </w:pPr>
            <w:r w:rsidRPr="00665EFE">
              <w:rPr>
                <w:color w:val="000000"/>
              </w:rPr>
              <w:t>Contesto familiare</w:t>
            </w:r>
          </w:p>
        </w:tc>
        <w:tc>
          <w:tcPr>
            <w:tcW w:w="3311" w:type="pct"/>
          </w:tcPr>
          <w:p w14:paraId="70671275" w14:textId="77777777" w:rsidR="00877371" w:rsidRPr="00014FA7" w:rsidRDefault="00877371" w:rsidP="00877371">
            <w:pPr>
              <w:rPr>
                <w:color w:val="000000"/>
                <w:lang w:val="en-US"/>
              </w:rPr>
            </w:pPr>
            <w:r w:rsidRPr="00014FA7">
              <w:rPr>
                <w:color w:val="000000"/>
                <w:lang w:val="en-US"/>
              </w:rPr>
              <w:t xml:space="preserve">Evans and Leighton, 1989; Blanchflower and Oswald, 1998; </w:t>
            </w:r>
            <w:proofErr w:type="spellStart"/>
            <w:r w:rsidRPr="00014FA7">
              <w:rPr>
                <w:color w:val="000000"/>
                <w:lang w:val="en-US"/>
              </w:rPr>
              <w:t>Hout</w:t>
            </w:r>
            <w:proofErr w:type="spellEnd"/>
            <w:r w:rsidRPr="00014FA7">
              <w:rPr>
                <w:color w:val="000000"/>
                <w:lang w:val="en-US"/>
              </w:rPr>
              <w:t xml:space="preserve"> and Rosen, 2000; Reynolds et al., 2001; Burke, FitzRoy and Nolan, 2008</w:t>
            </w:r>
          </w:p>
        </w:tc>
      </w:tr>
      <w:tr w:rsidR="00877371" w:rsidRPr="00014FA7" w14:paraId="3B79DAC5" w14:textId="77777777" w:rsidTr="00984A26">
        <w:tc>
          <w:tcPr>
            <w:tcW w:w="1689" w:type="pct"/>
          </w:tcPr>
          <w:p w14:paraId="41FA5A48" w14:textId="77777777" w:rsidR="00877371" w:rsidRPr="00665EFE" w:rsidRDefault="00877371" w:rsidP="00877371">
            <w:pPr>
              <w:rPr>
                <w:rFonts w:eastAsiaTheme="minorHAnsi"/>
              </w:rPr>
            </w:pPr>
            <w:r w:rsidRPr="00665EFE">
              <w:rPr>
                <w:color w:val="000000" w:themeColor="text1"/>
              </w:rPr>
              <w:t xml:space="preserve">Livello di istruzione e competenze </w:t>
            </w:r>
          </w:p>
        </w:tc>
        <w:tc>
          <w:tcPr>
            <w:tcW w:w="3311" w:type="pct"/>
          </w:tcPr>
          <w:p w14:paraId="3C664BE1" w14:textId="77777777" w:rsidR="00877371" w:rsidRPr="00014FA7" w:rsidRDefault="00877371" w:rsidP="00877371">
            <w:pPr>
              <w:rPr>
                <w:lang w:val="en-US"/>
              </w:rPr>
            </w:pPr>
            <w:r w:rsidRPr="00014FA7">
              <w:rPr>
                <w:lang w:val="en-US"/>
              </w:rPr>
              <w:t xml:space="preserve">Bates, 1990; </w:t>
            </w:r>
            <w:proofErr w:type="spellStart"/>
            <w:r w:rsidRPr="00014FA7">
              <w:rPr>
                <w:lang w:val="en-US"/>
              </w:rPr>
              <w:t>Gimeno</w:t>
            </w:r>
            <w:proofErr w:type="spellEnd"/>
            <w:r w:rsidRPr="00014FA7">
              <w:rPr>
                <w:lang w:val="en-US"/>
              </w:rPr>
              <w:t xml:space="preserve"> et al., 1997; Lazear 2004 and 2005; </w:t>
            </w:r>
            <w:proofErr w:type="spellStart"/>
            <w:r w:rsidRPr="00014FA7">
              <w:rPr>
                <w:lang w:val="en-US"/>
              </w:rPr>
              <w:t>Åstebro</w:t>
            </w:r>
            <w:proofErr w:type="spellEnd"/>
            <w:r w:rsidRPr="00014FA7">
              <w:rPr>
                <w:lang w:val="en-US"/>
              </w:rPr>
              <w:t xml:space="preserve">, 2005; Silva 2007; </w:t>
            </w:r>
            <w:proofErr w:type="spellStart"/>
            <w:r w:rsidRPr="00014FA7">
              <w:rPr>
                <w:lang w:val="en-US"/>
              </w:rPr>
              <w:t>Acs</w:t>
            </w:r>
            <w:proofErr w:type="spellEnd"/>
            <w:r w:rsidRPr="00014FA7">
              <w:rPr>
                <w:lang w:val="en-US"/>
              </w:rPr>
              <w:t xml:space="preserve">, </w:t>
            </w:r>
            <w:proofErr w:type="spellStart"/>
            <w:r w:rsidRPr="00014FA7">
              <w:rPr>
                <w:lang w:val="en-US"/>
              </w:rPr>
              <w:t>Armington</w:t>
            </w:r>
            <w:proofErr w:type="spellEnd"/>
            <w:r w:rsidRPr="00014FA7">
              <w:rPr>
                <w:lang w:val="en-US"/>
              </w:rPr>
              <w:t xml:space="preserve"> and Zhang, 2007; Colombo and </w:t>
            </w:r>
            <w:proofErr w:type="spellStart"/>
            <w:r w:rsidRPr="00014FA7">
              <w:rPr>
                <w:lang w:val="en-US"/>
              </w:rPr>
              <w:t>Grilli</w:t>
            </w:r>
            <w:proofErr w:type="spellEnd"/>
            <w:r w:rsidRPr="00014FA7">
              <w:rPr>
                <w:lang w:val="en-US"/>
              </w:rPr>
              <w:t xml:space="preserve">, 2005 and 2010; Baptista and </w:t>
            </w:r>
            <w:proofErr w:type="spellStart"/>
            <w:r w:rsidRPr="00014FA7">
              <w:rPr>
                <w:lang w:val="en-US"/>
              </w:rPr>
              <w:t>Mendonça</w:t>
            </w:r>
            <w:proofErr w:type="spellEnd"/>
            <w:r w:rsidRPr="00014FA7">
              <w:rPr>
                <w:lang w:val="en-US"/>
              </w:rPr>
              <w:t xml:space="preserve">, 2010; </w:t>
            </w:r>
            <w:proofErr w:type="spellStart"/>
            <w:r w:rsidRPr="00014FA7">
              <w:rPr>
                <w:lang w:val="en-US"/>
              </w:rPr>
              <w:t>Åstebro</w:t>
            </w:r>
            <w:proofErr w:type="spellEnd"/>
            <w:r w:rsidRPr="00014FA7">
              <w:rPr>
                <w:lang w:val="en-US"/>
              </w:rPr>
              <w:t xml:space="preserve"> and Thompson, 2011</w:t>
            </w:r>
          </w:p>
        </w:tc>
      </w:tr>
      <w:tr w:rsidR="00877371" w:rsidRPr="00665EFE" w14:paraId="45088A11" w14:textId="77777777" w:rsidTr="00984A26">
        <w:tc>
          <w:tcPr>
            <w:tcW w:w="1689" w:type="pct"/>
          </w:tcPr>
          <w:p w14:paraId="4CCA7DD9" w14:textId="77777777" w:rsidR="00877371" w:rsidRPr="00665EFE" w:rsidRDefault="00877371" w:rsidP="00877371">
            <w:pPr>
              <w:rPr>
                <w:rFonts w:eastAsiaTheme="minorHAnsi"/>
              </w:rPr>
            </w:pPr>
            <w:r w:rsidRPr="00665EFE">
              <w:rPr>
                <w:color w:val="000000" w:themeColor="text1"/>
              </w:rPr>
              <w:t>Esperienze lavorative pregresse</w:t>
            </w:r>
          </w:p>
        </w:tc>
        <w:tc>
          <w:tcPr>
            <w:tcW w:w="3311" w:type="pct"/>
          </w:tcPr>
          <w:p w14:paraId="0F4AD636" w14:textId="77777777" w:rsidR="00877371" w:rsidRPr="00665EFE" w:rsidRDefault="00877371" w:rsidP="00877371">
            <w:r w:rsidRPr="00665EFE">
              <w:t xml:space="preserve">Storey, 1982; Johnson, 1986; Bates, 1990; Reynolds et al., 2001; Vivarelli, 2007 ; </w:t>
            </w:r>
            <w:proofErr w:type="spellStart"/>
            <w:r w:rsidRPr="00665EFE">
              <w:rPr>
                <w:color w:val="000000" w:themeColor="text1"/>
              </w:rPr>
              <w:t>Protogerou</w:t>
            </w:r>
            <w:proofErr w:type="spellEnd"/>
            <w:r w:rsidRPr="00665EFE">
              <w:rPr>
                <w:color w:val="000000" w:themeColor="text1"/>
              </w:rPr>
              <w:t xml:space="preserve"> et al., 2017</w:t>
            </w:r>
          </w:p>
        </w:tc>
      </w:tr>
      <w:tr w:rsidR="00877371" w:rsidRPr="00014FA7" w14:paraId="241ABBDB" w14:textId="77777777" w:rsidTr="00984A26">
        <w:tc>
          <w:tcPr>
            <w:tcW w:w="1689" w:type="pct"/>
          </w:tcPr>
          <w:p w14:paraId="73A58DB5" w14:textId="77777777" w:rsidR="00877371" w:rsidRPr="00665EFE" w:rsidRDefault="00877371" w:rsidP="00877371">
            <w:r w:rsidRPr="00665EFE">
              <w:t>Posizione patrimoniale</w:t>
            </w:r>
          </w:p>
        </w:tc>
        <w:tc>
          <w:tcPr>
            <w:tcW w:w="3311" w:type="pct"/>
          </w:tcPr>
          <w:p w14:paraId="313A494C" w14:textId="77777777" w:rsidR="00877371" w:rsidRPr="00014FA7" w:rsidRDefault="00877371" w:rsidP="00877371">
            <w:pPr>
              <w:rPr>
                <w:lang w:val="en-US"/>
              </w:rPr>
            </w:pPr>
            <w:r w:rsidRPr="00014FA7">
              <w:rPr>
                <w:color w:val="000000" w:themeColor="text1"/>
                <w:lang w:val="en-US"/>
              </w:rPr>
              <w:t xml:space="preserve">Evans and Jovanovic 1989; Holtz-Eakin et al., 1994; Lindh and Ohlsson, 1996; Taylor, 1999; Hurst and Lusardi, 2004; Kan and Tsai, 2006 </w:t>
            </w:r>
          </w:p>
        </w:tc>
      </w:tr>
      <w:tr w:rsidR="003270F9" w:rsidRPr="00665EFE" w14:paraId="792A4E00" w14:textId="77777777" w:rsidTr="003270F9">
        <w:tc>
          <w:tcPr>
            <w:tcW w:w="1689" w:type="pct"/>
            <w:shd w:val="clear" w:color="auto" w:fill="669748" w:themeFill="accent2" w:themeFillShade="BF"/>
          </w:tcPr>
          <w:p w14:paraId="30A592D5" w14:textId="77777777" w:rsidR="003270F9" w:rsidRPr="00665EFE" w:rsidRDefault="003270F9" w:rsidP="003270F9">
            <w:pPr>
              <w:rPr>
                <w:b/>
                <w:bCs/>
                <w:color w:val="FFFFFF" w:themeColor="background1"/>
              </w:rPr>
            </w:pPr>
            <w:r w:rsidRPr="00665EFE">
              <w:rPr>
                <w:b/>
                <w:bCs/>
                <w:color w:val="FFFFFF" w:themeColor="background1"/>
              </w:rPr>
              <w:t>Fattori Regressivi</w:t>
            </w:r>
          </w:p>
        </w:tc>
        <w:tc>
          <w:tcPr>
            <w:tcW w:w="3311" w:type="pct"/>
            <w:shd w:val="clear" w:color="auto" w:fill="D9D9D9" w:themeFill="background1" w:themeFillShade="D9"/>
            <w:vAlign w:val="bottom"/>
          </w:tcPr>
          <w:p w14:paraId="5AFEB9CA" w14:textId="77777777" w:rsidR="003270F9" w:rsidRPr="00665EFE" w:rsidRDefault="003270F9" w:rsidP="003270F9">
            <w:r w:rsidRPr="00665EFE">
              <w:rPr>
                <w:rFonts w:eastAsiaTheme="minorHAnsi"/>
              </w:rPr>
              <w:t>Riferimenti bibliografici</w:t>
            </w:r>
          </w:p>
        </w:tc>
      </w:tr>
      <w:tr w:rsidR="003270F9" w:rsidRPr="00014FA7" w14:paraId="4B0D47C1" w14:textId="77777777" w:rsidTr="00984A26">
        <w:tc>
          <w:tcPr>
            <w:tcW w:w="1689" w:type="pct"/>
          </w:tcPr>
          <w:p w14:paraId="66FF4B1C" w14:textId="77777777" w:rsidR="003270F9" w:rsidRPr="00665EFE" w:rsidRDefault="003270F9" w:rsidP="003270F9">
            <w:pPr>
              <w:rPr>
                <w:color w:val="000000"/>
              </w:rPr>
            </w:pPr>
            <w:r w:rsidRPr="00665EFE">
              <w:rPr>
                <w:color w:val="000000"/>
              </w:rPr>
              <w:t>Desiderio di indipendenza, autonomia e status sociale</w:t>
            </w:r>
          </w:p>
        </w:tc>
        <w:tc>
          <w:tcPr>
            <w:tcW w:w="3311" w:type="pct"/>
          </w:tcPr>
          <w:p w14:paraId="6AF16DC6" w14:textId="77777777" w:rsidR="003270F9" w:rsidRPr="00014FA7" w:rsidRDefault="003270F9" w:rsidP="003270F9">
            <w:pPr>
              <w:rPr>
                <w:color w:val="000000"/>
                <w:lang w:val="en-US"/>
              </w:rPr>
            </w:pPr>
            <w:r w:rsidRPr="00014FA7">
              <w:rPr>
                <w:color w:val="000000"/>
                <w:lang w:val="en-US"/>
              </w:rPr>
              <w:t xml:space="preserve">Creedy and Johnson, 1983; Evans and Leighton, 1990; Blanchflower and Meyer, 1994; Blanchflower and </w:t>
            </w:r>
            <w:proofErr w:type="spellStart"/>
            <w:r w:rsidRPr="00014FA7">
              <w:rPr>
                <w:color w:val="000000"/>
                <w:lang w:val="en-US"/>
              </w:rPr>
              <w:t>Osvald</w:t>
            </w:r>
            <w:proofErr w:type="spellEnd"/>
            <w:r w:rsidRPr="00014FA7">
              <w:rPr>
                <w:color w:val="000000"/>
                <w:lang w:val="en-US"/>
              </w:rPr>
              <w:t xml:space="preserve">, 1998; </w:t>
            </w:r>
            <w:proofErr w:type="spellStart"/>
            <w:r w:rsidRPr="00014FA7">
              <w:rPr>
                <w:color w:val="000000"/>
                <w:lang w:val="en-US"/>
              </w:rPr>
              <w:t>Vivarelli</w:t>
            </w:r>
            <w:proofErr w:type="spellEnd"/>
            <w:r w:rsidRPr="00014FA7">
              <w:rPr>
                <w:color w:val="000000"/>
                <w:lang w:val="en-US"/>
              </w:rPr>
              <w:t xml:space="preserve"> 1991 and 2004; </w:t>
            </w:r>
            <w:proofErr w:type="spellStart"/>
            <w:r w:rsidRPr="00014FA7">
              <w:rPr>
                <w:color w:val="000000"/>
                <w:lang w:val="en-US"/>
              </w:rPr>
              <w:t>Zacharakis</w:t>
            </w:r>
            <w:proofErr w:type="spellEnd"/>
            <w:r w:rsidRPr="00014FA7">
              <w:rPr>
                <w:color w:val="000000"/>
                <w:lang w:val="en-US"/>
              </w:rPr>
              <w:t>, Bygrave and Shepherd, 2000</w:t>
            </w:r>
          </w:p>
        </w:tc>
      </w:tr>
      <w:tr w:rsidR="003270F9" w:rsidRPr="00014FA7" w14:paraId="0E73F025" w14:textId="77777777" w:rsidTr="00984A26">
        <w:tc>
          <w:tcPr>
            <w:tcW w:w="1689" w:type="pct"/>
          </w:tcPr>
          <w:p w14:paraId="578696A5" w14:textId="77777777" w:rsidR="003270F9" w:rsidRPr="00665EFE" w:rsidRDefault="003270F9" w:rsidP="003270F9">
            <w:r w:rsidRPr="00665EFE">
              <w:t>Eccesso di fiducia</w:t>
            </w:r>
          </w:p>
        </w:tc>
        <w:tc>
          <w:tcPr>
            <w:tcW w:w="3311" w:type="pct"/>
          </w:tcPr>
          <w:p w14:paraId="614E287B" w14:textId="77777777" w:rsidR="003270F9" w:rsidRPr="00014FA7" w:rsidRDefault="003270F9" w:rsidP="003270F9">
            <w:pPr>
              <w:rPr>
                <w:lang w:val="en-US"/>
              </w:rPr>
            </w:pPr>
            <w:r w:rsidRPr="00014FA7">
              <w:rPr>
                <w:lang w:val="en-US"/>
              </w:rPr>
              <w:t xml:space="preserve">Camerer and </w:t>
            </w:r>
            <w:proofErr w:type="spellStart"/>
            <w:r w:rsidRPr="00014FA7">
              <w:rPr>
                <w:lang w:val="en-US"/>
              </w:rPr>
              <w:t>Lovallo</w:t>
            </w:r>
            <w:proofErr w:type="spellEnd"/>
            <w:r w:rsidRPr="00014FA7">
              <w:rPr>
                <w:lang w:val="en-US"/>
              </w:rPr>
              <w:t xml:space="preserve">, 1999; </w:t>
            </w:r>
            <w:proofErr w:type="spellStart"/>
            <w:r w:rsidRPr="00014FA7">
              <w:rPr>
                <w:lang w:val="en-US"/>
              </w:rPr>
              <w:t>Åstebro</w:t>
            </w:r>
            <w:proofErr w:type="spellEnd"/>
            <w:r w:rsidRPr="00014FA7">
              <w:rPr>
                <w:lang w:val="en-US"/>
              </w:rPr>
              <w:t xml:space="preserve">, 2003; Coelho, de Meza and </w:t>
            </w:r>
            <w:proofErr w:type="spellStart"/>
            <w:r w:rsidRPr="00014FA7">
              <w:rPr>
                <w:lang w:val="en-US"/>
              </w:rPr>
              <w:t>Reyniers</w:t>
            </w:r>
            <w:proofErr w:type="spellEnd"/>
            <w:r w:rsidRPr="00014FA7">
              <w:rPr>
                <w:lang w:val="en-US"/>
              </w:rPr>
              <w:t>, 2004; Parker, 2006</w:t>
            </w:r>
          </w:p>
        </w:tc>
      </w:tr>
      <w:tr w:rsidR="003270F9" w:rsidRPr="00014FA7" w14:paraId="2F9733C9" w14:textId="77777777" w:rsidTr="00984A26">
        <w:tc>
          <w:tcPr>
            <w:tcW w:w="1689" w:type="pct"/>
          </w:tcPr>
          <w:p w14:paraId="10D07FC7" w14:textId="77777777" w:rsidR="003270F9" w:rsidRPr="00665EFE" w:rsidRDefault="003270F9" w:rsidP="003270F9">
            <w:r w:rsidRPr="00665EFE">
              <w:t>Disoccupazione</w:t>
            </w:r>
          </w:p>
        </w:tc>
        <w:tc>
          <w:tcPr>
            <w:tcW w:w="3311" w:type="pct"/>
          </w:tcPr>
          <w:p w14:paraId="29C2C1F2" w14:textId="77777777" w:rsidR="003270F9" w:rsidRPr="00014FA7" w:rsidRDefault="003270F9" w:rsidP="003270F9">
            <w:pPr>
              <w:rPr>
                <w:lang w:val="en-US"/>
              </w:rPr>
            </w:pPr>
            <w:proofErr w:type="spellStart"/>
            <w:r w:rsidRPr="00014FA7">
              <w:rPr>
                <w:lang w:val="en-US"/>
              </w:rPr>
              <w:t>Oxenfeldt</w:t>
            </w:r>
            <w:proofErr w:type="spellEnd"/>
            <w:r w:rsidRPr="00014FA7">
              <w:rPr>
                <w:lang w:val="en-US"/>
              </w:rPr>
              <w:t xml:space="preserve">, 1943; Evans and Leighton, 1990; </w:t>
            </w:r>
            <w:proofErr w:type="spellStart"/>
            <w:r w:rsidRPr="00014FA7">
              <w:rPr>
                <w:lang w:val="en-US"/>
              </w:rPr>
              <w:t>Storey</w:t>
            </w:r>
            <w:proofErr w:type="spellEnd"/>
            <w:r w:rsidRPr="00014FA7">
              <w:rPr>
                <w:lang w:val="en-US"/>
              </w:rPr>
              <w:t xml:space="preserve">, 1991 and 1994; </w:t>
            </w:r>
            <w:proofErr w:type="spellStart"/>
            <w:r w:rsidRPr="00014FA7">
              <w:rPr>
                <w:lang w:val="en-US"/>
              </w:rPr>
              <w:t>Storey</w:t>
            </w:r>
            <w:proofErr w:type="spellEnd"/>
            <w:r w:rsidRPr="00014FA7">
              <w:rPr>
                <w:lang w:val="en-US"/>
              </w:rPr>
              <w:t xml:space="preserve"> and Jones, 1987; </w:t>
            </w:r>
            <w:proofErr w:type="spellStart"/>
            <w:r w:rsidRPr="00014FA7">
              <w:rPr>
                <w:lang w:val="en-US"/>
              </w:rPr>
              <w:t>Audretsch</w:t>
            </w:r>
            <w:proofErr w:type="spellEnd"/>
            <w:r w:rsidRPr="00014FA7">
              <w:rPr>
                <w:lang w:val="en-US"/>
              </w:rPr>
              <w:t xml:space="preserve"> and </w:t>
            </w:r>
            <w:proofErr w:type="spellStart"/>
            <w:r w:rsidRPr="00014FA7">
              <w:rPr>
                <w:lang w:val="en-US"/>
              </w:rPr>
              <w:t>Vivarelli</w:t>
            </w:r>
            <w:proofErr w:type="spellEnd"/>
            <w:r w:rsidRPr="00014FA7">
              <w:rPr>
                <w:lang w:val="en-US"/>
              </w:rPr>
              <w:t xml:space="preserve">, 1995 and 1996a; </w:t>
            </w:r>
            <w:proofErr w:type="spellStart"/>
            <w:r w:rsidRPr="00014FA7">
              <w:rPr>
                <w:lang w:val="en-US"/>
              </w:rPr>
              <w:t>Arrighetti</w:t>
            </w:r>
            <w:proofErr w:type="spellEnd"/>
            <w:r w:rsidRPr="00014FA7">
              <w:rPr>
                <w:lang w:val="en-US"/>
              </w:rPr>
              <w:t xml:space="preserve"> and </w:t>
            </w:r>
            <w:proofErr w:type="spellStart"/>
            <w:r w:rsidRPr="00014FA7">
              <w:rPr>
                <w:lang w:val="en-US"/>
              </w:rPr>
              <w:t>Vivarelli</w:t>
            </w:r>
            <w:proofErr w:type="spellEnd"/>
            <w:r w:rsidRPr="00014FA7">
              <w:rPr>
                <w:lang w:val="en-US"/>
              </w:rPr>
              <w:t xml:space="preserve">, 1999; </w:t>
            </w:r>
            <w:proofErr w:type="spellStart"/>
            <w:r w:rsidRPr="00014FA7">
              <w:rPr>
                <w:lang w:val="en-US"/>
              </w:rPr>
              <w:t>Santarelli</w:t>
            </w:r>
            <w:proofErr w:type="spellEnd"/>
            <w:r w:rsidRPr="00014FA7">
              <w:rPr>
                <w:lang w:val="en-US"/>
              </w:rPr>
              <w:t xml:space="preserve">, </w:t>
            </w:r>
            <w:proofErr w:type="spellStart"/>
            <w:r w:rsidRPr="00014FA7">
              <w:rPr>
                <w:lang w:val="en-US"/>
              </w:rPr>
              <w:t>Carree</w:t>
            </w:r>
            <w:proofErr w:type="spellEnd"/>
            <w:r w:rsidRPr="00014FA7">
              <w:rPr>
                <w:lang w:val="en-US"/>
              </w:rPr>
              <w:t xml:space="preserve"> and </w:t>
            </w:r>
            <w:proofErr w:type="spellStart"/>
            <w:r w:rsidRPr="00014FA7">
              <w:rPr>
                <w:lang w:val="en-US"/>
              </w:rPr>
              <w:t>Verheul</w:t>
            </w:r>
            <w:proofErr w:type="spellEnd"/>
            <w:r w:rsidRPr="00014FA7">
              <w:rPr>
                <w:lang w:val="en-US"/>
              </w:rPr>
              <w:t xml:space="preserve">, 2006; Masuda, 2006; Andersson and </w:t>
            </w:r>
            <w:proofErr w:type="spellStart"/>
            <w:r w:rsidRPr="00014FA7">
              <w:rPr>
                <w:lang w:val="en-US"/>
              </w:rPr>
              <w:t>Wadensjö</w:t>
            </w:r>
            <w:proofErr w:type="spellEnd"/>
            <w:r w:rsidRPr="00014FA7">
              <w:rPr>
                <w:lang w:val="en-US"/>
              </w:rPr>
              <w:t>, 2007</w:t>
            </w:r>
          </w:p>
        </w:tc>
      </w:tr>
    </w:tbl>
    <w:p w14:paraId="56AA7BD0" w14:textId="77777777" w:rsidR="00877371" w:rsidRPr="00014FA7" w:rsidRDefault="00877371" w:rsidP="00877371">
      <w:pPr>
        <w:rPr>
          <w:lang w:val="en-US"/>
        </w:rPr>
      </w:pPr>
    </w:p>
    <w:p w14:paraId="655CB393" w14:textId="77777777" w:rsidR="00877371" w:rsidRPr="00C01A70" w:rsidRDefault="00877371" w:rsidP="00877371">
      <w:r w:rsidRPr="00C01A70">
        <w:t xml:space="preserve">Per quanto concerne i fattori progressivi, l’imprenditore presente nella narrazione economica e nell’immaginario comune è quello descritto da Mansfield (1962), ossia colui che è spinto verso l’attività imprenditoriale dalle aspettative di profitto. La letteratura più recente ha mostrato tuttavia che il desiderio di dare vita ad una nuova impresa può scaturire non solo dalle aspettative di profitto ma anche da altre condizioni favorevoli come il contesto locale e le caratteristiche individuali. È stato dimostrato come la maggior parte degli imprenditori fondi un’impresa nella regione dove ha studiato o lavorato (Arrighetti and Vivarelli, 1999; Shane, 2000; </w:t>
      </w:r>
      <w:proofErr w:type="spellStart"/>
      <w:r w:rsidRPr="00C01A70">
        <w:t>Klepper</w:t>
      </w:r>
      <w:proofErr w:type="spellEnd"/>
      <w:r w:rsidRPr="00C01A70">
        <w:t xml:space="preserve">, 2001; </w:t>
      </w:r>
      <w:proofErr w:type="spellStart"/>
      <w:r w:rsidRPr="00C01A70">
        <w:t>Helfat</w:t>
      </w:r>
      <w:proofErr w:type="spellEnd"/>
      <w:r w:rsidRPr="00C01A70">
        <w:t xml:space="preserve"> and Lieberman, 2002; Vivarelli e Santarelli 2007). La permanenza nello stesso ecosistema permette infatti di sfruttare le conoscenze dell’ambiente esterno e il capitale relazionale costruito nel tempo (Storey, 1994). Inoltre gli imprenditori differiscono in termini di caratteristiche personali come il contesto familiare, il capitale umano, il grado di istruzione, le esperienze pregresse e la posizione patrimoniale. È stato dimostrato che il background familiare costituisce un fattore determinante nelle scelte di carriera degli individui e che avere un genitore imprenditore aumenta notevolmente la probabilità di diventare imprenditore per i figli (Burke et al. 200</w:t>
      </w:r>
      <w:r>
        <w:t>8</w:t>
      </w:r>
      <w:r w:rsidRPr="00C01A70">
        <w:t>). Utilizzando la lente della “</w:t>
      </w:r>
      <w:proofErr w:type="spellStart"/>
      <w:r w:rsidRPr="002533D0">
        <w:rPr>
          <w:i/>
          <w:iCs/>
        </w:rPr>
        <w:t>resource-based</w:t>
      </w:r>
      <w:proofErr w:type="spellEnd"/>
      <w:r w:rsidRPr="002533D0">
        <w:rPr>
          <w:i/>
          <w:iCs/>
        </w:rPr>
        <w:t xml:space="preserve"> </w:t>
      </w:r>
      <w:proofErr w:type="spellStart"/>
      <w:r w:rsidRPr="002533D0">
        <w:rPr>
          <w:i/>
          <w:iCs/>
        </w:rPr>
        <w:t>view</w:t>
      </w:r>
      <w:proofErr w:type="spellEnd"/>
      <w:r w:rsidRPr="002533D0">
        <w:rPr>
          <w:i/>
          <w:iCs/>
        </w:rPr>
        <w:t xml:space="preserve"> of t</w:t>
      </w:r>
      <w:r w:rsidR="00984A26">
        <w:rPr>
          <w:i/>
          <w:iCs/>
        </w:rPr>
        <w:t>h</w:t>
      </w:r>
      <w:r w:rsidRPr="002533D0">
        <w:rPr>
          <w:i/>
          <w:iCs/>
        </w:rPr>
        <w:t xml:space="preserve">e </w:t>
      </w:r>
      <w:proofErr w:type="spellStart"/>
      <w:r w:rsidRPr="002533D0">
        <w:rPr>
          <w:i/>
          <w:iCs/>
        </w:rPr>
        <w:t>firm</w:t>
      </w:r>
      <w:proofErr w:type="spellEnd"/>
      <w:r w:rsidRPr="00C01A70">
        <w:t>” (Penrose</w:t>
      </w:r>
      <w:r>
        <w:t>,</w:t>
      </w:r>
      <w:r w:rsidRPr="00C01A70">
        <w:t xml:space="preserve"> 1959), la letteratura ha ampiamente riconosciuto che individui con livello di istruzione, competenze più elevate e con esperienze lavorative pregresse hanno maggiore probabilità di creare nuove imprese (Colombo and Gilli, 2005; Storey</w:t>
      </w:r>
      <w:r>
        <w:t>,</w:t>
      </w:r>
      <w:r w:rsidRPr="00C01A70">
        <w:t xml:space="preserve"> 1982; Johnson, 1986; Bates, 1990; Reynolds et al., 2001; </w:t>
      </w:r>
      <w:proofErr w:type="spellStart"/>
      <w:r w:rsidRPr="00C01A70">
        <w:t>Protogerou</w:t>
      </w:r>
      <w:proofErr w:type="spellEnd"/>
      <w:r w:rsidRPr="00C01A70">
        <w:t xml:space="preserve"> et al., 2017). Le evidenze empiriche hanno rivelato inoltre come la posizione patrimoniale iniziale degli individui sia positivamente correlata con la probabilità di diventare imprenditori (Evans and Jovanovic 1989; Hurst and Lusardi, 2004; </w:t>
      </w:r>
      <w:proofErr w:type="spellStart"/>
      <w:r w:rsidRPr="00C01A70">
        <w:t>Kan</w:t>
      </w:r>
      <w:proofErr w:type="spellEnd"/>
      <w:r w:rsidRPr="00C01A70">
        <w:t xml:space="preserve"> and </w:t>
      </w:r>
      <w:proofErr w:type="spellStart"/>
      <w:r w:rsidRPr="00C01A70">
        <w:t>Tsai</w:t>
      </w:r>
      <w:proofErr w:type="spellEnd"/>
      <w:r w:rsidRPr="00C01A70">
        <w:t>, 2006). Similmente, la letteratura ha mostrato che l’aumento inatteso di risorse finanziarie, come premi o vincite alla lotteria, aumentano la probabilità di diventare imprenditori (</w:t>
      </w:r>
      <w:proofErr w:type="spellStart"/>
      <w:r w:rsidRPr="00C01A70">
        <w:t>Holtz-Eakin</w:t>
      </w:r>
      <w:proofErr w:type="spellEnd"/>
      <w:r w:rsidRPr="00C01A70">
        <w:t xml:space="preserve"> et al., 1994; </w:t>
      </w:r>
      <w:proofErr w:type="spellStart"/>
      <w:r w:rsidRPr="00C01A70">
        <w:t>Lindh</w:t>
      </w:r>
      <w:proofErr w:type="spellEnd"/>
      <w:r w:rsidRPr="00C01A70">
        <w:t xml:space="preserve"> and Ohlsson, 1996; Taylor, 1999).</w:t>
      </w:r>
    </w:p>
    <w:p w14:paraId="30620683" w14:textId="77777777" w:rsidR="000B2CE0" w:rsidRDefault="000B2CE0" w:rsidP="00877371"/>
    <w:p w14:paraId="3BA0AFF3" w14:textId="77777777" w:rsidR="00877371" w:rsidRDefault="00877371" w:rsidP="00877371">
      <w:r w:rsidRPr="002533D0">
        <w:t>Esistono tuttavia fattori regressivi, che spingono gli individui a creare una nuova impresa. In alcuni casi, dare vita ad una nuova impresa è vista come la miglior alternativa ad una carriera incerta e precaria o addirittura consente di sfuggire alla disoccupazione (</w:t>
      </w:r>
      <w:proofErr w:type="spellStart"/>
      <w:r w:rsidRPr="002533D0">
        <w:t>Oxenfeldt</w:t>
      </w:r>
      <w:proofErr w:type="spellEnd"/>
      <w:r w:rsidRPr="002533D0">
        <w:t>, 1943; Evans and Leighton, 1990; Storey, 1991, 1994). Le evidenze che mostrano una correlazione positiva tra perdita del lavoro e attività imprenditoriale sono ampie e robuste (Storey and Jones, 1987; Santarelli et al., 2006), anche per quanto riguarda l’Italia (</w:t>
      </w:r>
      <w:proofErr w:type="spellStart"/>
      <w:r w:rsidRPr="002533D0">
        <w:t>Audretsch</w:t>
      </w:r>
      <w:proofErr w:type="spellEnd"/>
      <w:r w:rsidRPr="002533D0">
        <w:t xml:space="preserve"> and Vivarelli (1995, 1996). Spesso la scelta di diventare imprenditori è influenzata da specifici tratti individuali come il desiderio di indipendenza, la ricerca di autonomia, eccesso di fiducia e l’aspirazione ad un più elevato status sociale (</w:t>
      </w:r>
      <w:proofErr w:type="spellStart"/>
      <w:r w:rsidRPr="002533D0">
        <w:t>Creedy</w:t>
      </w:r>
      <w:proofErr w:type="spellEnd"/>
      <w:r w:rsidRPr="002533D0">
        <w:t xml:space="preserve"> and Johnson, 1983; Evans and Leighton, 1990; Vivarelli 1991, 2004; </w:t>
      </w:r>
      <w:proofErr w:type="spellStart"/>
      <w:r w:rsidRPr="002533D0">
        <w:t>Blanchflower</w:t>
      </w:r>
      <w:proofErr w:type="spellEnd"/>
      <w:r w:rsidRPr="002533D0">
        <w:t xml:space="preserve"> and Meyer, 1994; </w:t>
      </w:r>
      <w:proofErr w:type="spellStart"/>
      <w:r w:rsidRPr="002533D0">
        <w:t>Blanchflower</w:t>
      </w:r>
      <w:proofErr w:type="spellEnd"/>
      <w:r w:rsidRPr="002533D0">
        <w:t xml:space="preserve"> and Oswald, 1998).</w:t>
      </w:r>
    </w:p>
    <w:p w14:paraId="1E8AC762" w14:textId="77777777" w:rsidR="00877371" w:rsidRDefault="00877371" w:rsidP="00877371"/>
    <w:p w14:paraId="4D0FC6BA" w14:textId="77777777" w:rsidR="00877371" w:rsidRDefault="002201F7" w:rsidP="00306055">
      <w:pPr>
        <w:pStyle w:val="Titolo3"/>
      </w:pPr>
      <w:bookmarkStart w:id="71" w:name="_Toc65757521"/>
      <w:bookmarkStart w:id="72" w:name="_Toc91081405"/>
      <w:r>
        <w:t xml:space="preserve">Determinanti della </w:t>
      </w:r>
      <w:r w:rsidR="00877371" w:rsidRPr="00203BFC">
        <w:t>performance</w:t>
      </w:r>
      <w:bookmarkEnd w:id="71"/>
      <w:r w:rsidR="00877371" w:rsidRPr="00203BFC">
        <w:t xml:space="preserve"> </w:t>
      </w:r>
      <w:r>
        <w:t>delle nuove imprese</w:t>
      </w:r>
      <w:bookmarkEnd w:id="72"/>
    </w:p>
    <w:p w14:paraId="7147BC63" w14:textId="77777777" w:rsidR="00624B2A" w:rsidRPr="00624B2A" w:rsidRDefault="00624B2A" w:rsidP="00624B2A"/>
    <w:p w14:paraId="6813149A" w14:textId="77777777" w:rsidR="00877371" w:rsidRDefault="00877371" w:rsidP="00877371">
      <w:pPr>
        <w:rPr>
          <w:color w:val="000000" w:themeColor="text1"/>
        </w:rPr>
      </w:pPr>
      <w:r w:rsidRPr="003512B3">
        <w:rPr>
          <w:color w:val="000000" w:themeColor="text1"/>
        </w:rPr>
        <w:t>Certamente la varietà di motivazioni che spingono gli individui verso la scelta di diventare imprenditori è in grado di influenzare le performance delle imprese. La letteratura empirica ha ampiamente analizzato la relazione tra le caratteristiche ex-ante e le performance ex-post delle imprese di nuova costituzione in termini di sopravvivenza, crescita e profittabilità (</w:t>
      </w:r>
      <w:r w:rsidR="00D9177D">
        <w:rPr>
          <w:color w:val="000000" w:themeColor="text1"/>
        </w:rPr>
        <w:t>si veda t</w:t>
      </w:r>
      <w:r w:rsidRPr="003512B3">
        <w:rPr>
          <w:color w:val="000000" w:themeColor="text1"/>
        </w:rPr>
        <w:t xml:space="preserve">abella </w:t>
      </w:r>
      <w:r w:rsidR="00D9177D">
        <w:rPr>
          <w:color w:val="000000" w:themeColor="text1"/>
        </w:rPr>
        <w:t>successiva</w:t>
      </w:r>
      <w:r w:rsidRPr="003512B3">
        <w:rPr>
          <w:color w:val="000000" w:themeColor="text1"/>
        </w:rPr>
        <w:t>).</w:t>
      </w:r>
    </w:p>
    <w:p w14:paraId="3F0A54DA" w14:textId="77777777" w:rsidR="00877371" w:rsidRDefault="00877371" w:rsidP="00877371">
      <w:pPr>
        <w:rPr>
          <w:color w:val="000000" w:themeColor="text1"/>
        </w:rPr>
      </w:pPr>
      <w:r w:rsidRPr="00B0607D">
        <w:rPr>
          <w:color w:val="000000" w:themeColor="text1"/>
        </w:rPr>
        <w:t>La mancanza di capitali in generale risulta essere negativamente correlata con il tasso di sopravvivenza e la crescita delle nuove imprese (</w:t>
      </w:r>
      <w:proofErr w:type="spellStart"/>
      <w:r w:rsidRPr="00B0607D">
        <w:rPr>
          <w:color w:val="000000" w:themeColor="text1"/>
        </w:rPr>
        <w:t>Xu</w:t>
      </w:r>
      <w:proofErr w:type="spellEnd"/>
      <w:r w:rsidRPr="00B0607D">
        <w:rPr>
          <w:color w:val="000000" w:themeColor="text1"/>
        </w:rPr>
        <w:t xml:space="preserve">, 1998; Becchetti and Trovato, 2002; Carpenter and Petersen, 2002). Similmente, motivazioni quali la ricerca di autonomia e indipendenza e l’aspirazione verso uno status sociale superiore possono alterare la percezione delle effettive opportunità del nuovo business e influenzare negativamente il tasso di sopravvivenza e sviluppo dello stesso (Vivarelli, 2004; Vivarelli 2007). Infine, anche la necessità di sfuggire alla disoccupazione o ad una posizione incerta e precaria è associata a performance negative delle nuove imprese in termini di sopravvivenza (Carrasco, 1999; Pfeiffer and </w:t>
      </w:r>
      <w:proofErr w:type="spellStart"/>
      <w:r w:rsidRPr="00B0607D">
        <w:rPr>
          <w:color w:val="000000" w:themeColor="text1"/>
        </w:rPr>
        <w:t>Reize</w:t>
      </w:r>
      <w:proofErr w:type="spellEnd"/>
      <w:r w:rsidRPr="00B0607D">
        <w:rPr>
          <w:color w:val="000000" w:themeColor="text1"/>
        </w:rPr>
        <w:t xml:space="preserve">, 2000), crescita e creazione di nuovi posti di lavoro (Andersson and </w:t>
      </w:r>
      <w:proofErr w:type="spellStart"/>
      <w:r w:rsidRPr="00B0607D">
        <w:rPr>
          <w:color w:val="000000" w:themeColor="text1"/>
        </w:rPr>
        <w:t>Wadensjö</w:t>
      </w:r>
      <w:proofErr w:type="spellEnd"/>
      <w:r>
        <w:rPr>
          <w:color w:val="000000" w:themeColor="text1"/>
        </w:rPr>
        <w:t>,</w:t>
      </w:r>
      <w:r w:rsidRPr="00B0607D">
        <w:rPr>
          <w:color w:val="000000" w:themeColor="text1"/>
        </w:rPr>
        <w:t xml:space="preserve"> 200</w:t>
      </w:r>
      <w:r>
        <w:rPr>
          <w:color w:val="000000" w:themeColor="text1"/>
        </w:rPr>
        <w:t>7</w:t>
      </w:r>
      <w:r w:rsidRPr="00B0607D">
        <w:rPr>
          <w:color w:val="000000" w:themeColor="text1"/>
        </w:rPr>
        <w:t>).</w:t>
      </w:r>
    </w:p>
    <w:p w14:paraId="0A66012C" w14:textId="77777777" w:rsidR="000B2CE0" w:rsidRDefault="000B2CE0" w:rsidP="00877371"/>
    <w:p w14:paraId="06479D86" w14:textId="77777777" w:rsidR="00877371" w:rsidRDefault="00877371" w:rsidP="00877371">
      <w:r>
        <w:t xml:space="preserve">Al contrario, la letteratura ha mostrato robuste evidenze circa l’impatto positivo del capitale umano in termini di livello di istruzione ed esperienze pregresse sul tasso di sopravvivenza e sulle </w:t>
      </w:r>
      <w:r w:rsidRPr="00B0607D">
        <w:rPr>
          <w:i/>
          <w:iCs/>
        </w:rPr>
        <w:t>post-entry performance</w:t>
      </w:r>
      <w:r>
        <w:t xml:space="preserve"> delle nuove imprese </w:t>
      </w:r>
      <w:r w:rsidRPr="00DA0968">
        <w:t xml:space="preserve">(Bates, 1990; </w:t>
      </w:r>
      <w:proofErr w:type="spellStart"/>
      <w:r w:rsidRPr="00DA0968">
        <w:t>Bruderl</w:t>
      </w:r>
      <w:proofErr w:type="spellEnd"/>
      <w:r w:rsidRPr="00DA0968">
        <w:t xml:space="preserve"> et al., 1992;</w:t>
      </w:r>
      <w:r>
        <w:t xml:space="preserve"> </w:t>
      </w:r>
      <w:r w:rsidRPr="00DA0968">
        <w:t>Gimeno et al., 1997)</w:t>
      </w:r>
      <w:r>
        <w:t xml:space="preserve">, anche per il caso italiano (Colombo e Grilli, 2005). Inoltre, se la motivazione che spinge l’imprenditore a fondare una nuova impresa è legata a progetti innovativi la probabilità di sopravvivenza, la crescita e la profittabilità risultano più elevate. </w:t>
      </w:r>
      <w:r w:rsidRPr="00846DEF">
        <w:t xml:space="preserve">Arrighetti </w:t>
      </w:r>
      <w:r>
        <w:t xml:space="preserve">e </w:t>
      </w:r>
      <w:r w:rsidRPr="00846DEF">
        <w:t xml:space="preserve">Vivarelli (1999) e Vivarelli and </w:t>
      </w:r>
      <w:proofErr w:type="spellStart"/>
      <w:r w:rsidRPr="00846DEF">
        <w:t>Audretsch</w:t>
      </w:r>
      <w:proofErr w:type="spellEnd"/>
      <w:r w:rsidRPr="00846DEF">
        <w:t xml:space="preserve"> (1998) confermano tali ev</w:t>
      </w:r>
      <w:r>
        <w:t>idenze anche per l’Italia</w:t>
      </w:r>
      <w:r w:rsidRPr="00846DEF">
        <w:t>. Cefis e Marsili (200</w:t>
      </w:r>
      <w:r>
        <w:t>5</w:t>
      </w:r>
      <w:r w:rsidRPr="00846DEF">
        <w:t>)</w:t>
      </w:r>
      <w:r>
        <w:t xml:space="preserve"> mostrano che gli innovatori hanno una probabilità di sopravvivenza di 11 punti percentuali superiore rispetto ai non innovatori. </w:t>
      </w:r>
      <w:r w:rsidRPr="00846DEF">
        <w:t>Cefis e Marsili (2006</w:t>
      </w:r>
      <w:r>
        <w:t>a</w:t>
      </w:r>
      <w:r w:rsidRPr="00846DEF">
        <w:t>)</w:t>
      </w:r>
      <w:r>
        <w:t xml:space="preserve">, utilizzando la tassonomia di </w:t>
      </w:r>
      <w:proofErr w:type="spellStart"/>
      <w:r>
        <w:t>Pavitt</w:t>
      </w:r>
      <w:proofErr w:type="spellEnd"/>
      <w:r>
        <w:t xml:space="preserve"> (1984),</w:t>
      </w:r>
      <w:r w:rsidRPr="00846DEF">
        <w:t xml:space="preserve"> trovano chiara e</w:t>
      </w:r>
      <w:r>
        <w:t>videnza di tale “</w:t>
      </w:r>
      <w:proofErr w:type="spellStart"/>
      <w:r w:rsidRPr="00B0607D">
        <w:rPr>
          <w:i/>
          <w:iCs/>
        </w:rPr>
        <w:t>innovation</w:t>
      </w:r>
      <w:proofErr w:type="spellEnd"/>
      <w:r w:rsidRPr="00B0607D">
        <w:rPr>
          <w:i/>
          <w:iCs/>
        </w:rPr>
        <w:t xml:space="preserve"> premium</w:t>
      </w:r>
      <w:r>
        <w:t xml:space="preserve">” in termini di sopravvivenza specialmente per le imprese operanti nei settori </w:t>
      </w:r>
      <w:r w:rsidRPr="00846DEF">
        <w:t>‘‘</w:t>
      </w:r>
      <w:r w:rsidRPr="00B0607D">
        <w:rPr>
          <w:i/>
          <w:iCs/>
        </w:rPr>
        <w:t>science-</w:t>
      </w:r>
      <w:proofErr w:type="spellStart"/>
      <w:r w:rsidRPr="00B0607D">
        <w:rPr>
          <w:i/>
          <w:iCs/>
        </w:rPr>
        <w:t>based</w:t>
      </w:r>
      <w:proofErr w:type="spellEnd"/>
      <w:r w:rsidRPr="00846DEF">
        <w:t xml:space="preserve">’’ </w:t>
      </w:r>
      <w:r>
        <w:t>e</w:t>
      </w:r>
      <w:r w:rsidRPr="00846DEF">
        <w:t xml:space="preserve"> ‘‘</w:t>
      </w:r>
      <w:proofErr w:type="spellStart"/>
      <w:r w:rsidRPr="00B0607D">
        <w:rPr>
          <w:i/>
          <w:iCs/>
        </w:rPr>
        <w:t>specialised</w:t>
      </w:r>
      <w:proofErr w:type="spellEnd"/>
      <w:r w:rsidRPr="00B0607D">
        <w:rPr>
          <w:i/>
          <w:iCs/>
        </w:rPr>
        <w:t xml:space="preserve"> supplier</w:t>
      </w:r>
      <w:r w:rsidRPr="00846DEF">
        <w:t>’’</w:t>
      </w:r>
      <w:r>
        <w:t xml:space="preserve"> mentre </w:t>
      </w:r>
      <w:r w:rsidRPr="00846DEF">
        <w:t>Colombelli et al</w:t>
      </w:r>
      <w:r>
        <w:t>.</w:t>
      </w:r>
      <w:r w:rsidRPr="00846DEF">
        <w:t xml:space="preserve"> (2016)</w:t>
      </w:r>
      <w:r>
        <w:t xml:space="preserve"> rilevano un maggior tasso di sopravvivenza per le giovani imprese che introducono innovazione di processo rispetto a quelle che introducono innovazione di prodotto. La letteratura empirica ha inoltre mostrato che una maggior propensione all’innovazione influenza positivamente la crescita delle imprese (</w:t>
      </w:r>
      <w:proofErr w:type="spellStart"/>
      <w:r w:rsidRPr="002847AA">
        <w:t>Coad</w:t>
      </w:r>
      <w:proofErr w:type="spellEnd"/>
      <w:r w:rsidRPr="002847AA">
        <w:t xml:space="preserve"> and Rao</w:t>
      </w:r>
      <w:r>
        <w:t xml:space="preserve"> </w:t>
      </w:r>
      <w:r w:rsidRPr="00334261">
        <w:t xml:space="preserve">2008; </w:t>
      </w:r>
      <w:proofErr w:type="spellStart"/>
      <w:r w:rsidRPr="00334261">
        <w:t>Altindag</w:t>
      </w:r>
      <w:proofErr w:type="spellEnd"/>
      <w:r w:rsidRPr="00334261">
        <w:t xml:space="preserve"> et al. 2011; Colombelli et al. 2014a, b</w:t>
      </w:r>
      <w:r>
        <w:t xml:space="preserve">), la profittabilità e la creazione di nuovi posti di lavoro </w:t>
      </w:r>
      <w:r w:rsidRPr="002847AA">
        <w:t>(Esteve-Perez et al. 2004; Raspe and Van Oort 2008;</w:t>
      </w:r>
      <w:r>
        <w:t xml:space="preserve"> </w:t>
      </w:r>
      <w:r w:rsidRPr="00334261">
        <w:t xml:space="preserve">Colombelli et al. 2013; </w:t>
      </w:r>
      <w:proofErr w:type="spellStart"/>
      <w:r w:rsidRPr="00334261">
        <w:t>Gkypali</w:t>
      </w:r>
      <w:proofErr w:type="spellEnd"/>
      <w:r w:rsidRPr="00334261">
        <w:t xml:space="preserve"> et al. 2015; Mitra and</w:t>
      </w:r>
      <w:r>
        <w:t xml:space="preserve"> </w:t>
      </w:r>
      <w:proofErr w:type="spellStart"/>
      <w:r w:rsidRPr="00CD1D7F">
        <w:t>Jha</w:t>
      </w:r>
      <w:proofErr w:type="spellEnd"/>
      <w:r w:rsidRPr="00CD1D7F">
        <w:t xml:space="preserve"> 2015).</w:t>
      </w:r>
    </w:p>
    <w:p w14:paraId="0472DB6D" w14:textId="77777777" w:rsidR="00877371" w:rsidRDefault="00877371" w:rsidP="00877371"/>
    <w:p w14:paraId="45588B7C" w14:textId="77777777" w:rsidR="00877371" w:rsidRPr="00B0607D" w:rsidRDefault="00170E3C" w:rsidP="00170E3C">
      <w:pPr>
        <w:pStyle w:val="Didascalia"/>
      </w:pPr>
      <w:bookmarkStart w:id="73" w:name="_Toc91081453"/>
      <w:r>
        <w:t xml:space="preserve">Tabella </w:t>
      </w:r>
      <w:r w:rsidR="004E6566">
        <w:fldChar w:fldCharType="begin"/>
      </w:r>
      <w:r>
        <w:instrText xml:space="preserve"> SEQ Tabella \* ARABIC </w:instrText>
      </w:r>
      <w:r w:rsidR="004E6566">
        <w:fldChar w:fldCharType="separate"/>
      </w:r>
      <w:r w:rsidR="00E53D6C">
        <w:rPr>
          <w:noProof/>
        </w:rPr>
        <w:t>27</w:t>
      </w:r>
      <w:r w:rsidR="004E6566">
        <w:fldChar w:fldCharType="end"/>
      </w:r>
      <w:r>
        <w:t xml:space="preserve">. </w:t>
      </w:r>
      <w:r w:rsidRPr="00526DEA">
        <w:t xml:space="preserve">Caratteristiche ex-ante </w:t>
      </w:r>
      <w:r>
        <w:t xml:space="preserve">delle nuove imprese </w:t>
      </w:r>
      <w:r w:rsidRPr="00526DEA">
        <w:t>e impatto sulle performance ex-post</w:t>
      </w:r>
      <w:bookmarkEnd w:id="73"/>
    </w:p>
    <w:tbl>
      <w:tblPr>
        <w:tblStyle w:val="Grigliatabella"/>
        <w:tblW w:w="5000" w:type="pct"/>
        <w:tblLook w:val="04A0" w:firstRow="1" w:lastRow="0" w:firstColumn="1" w:lastColumn="0" w:noHBand="0" w:noVBand="1"/>
      </w:tblPr>
      <w:tblGrid>
        <w:gridCol w:w="2763"/>
        <w:gridCol w:w="2763"/>
        <w:gridCol w:w="4102"/>
      </w:tblGrid>
      <w:tr w:rsidR="00877371" w:rsidRPr="00B0607D" w14:paraId="5D2DA516" w14:textId="77777777" w:rsidTr="003270F9">
        <w:tc>
          <w:tcPr>
            <w:tcW w:w="1435" w:type="pct"/>
            <w:shd w:val="clear" w:color="auto" w:fill="669748" w:themeFill="accent2" w:themeFillShade="BF"/>
            <w:vAlign w:val="center"/>
          </w:tcPr>
          <w:p w14:paraId="70EBF84C" w14:textId="77777777" w:rsidR="00877371" w:rsidRPr="00665EFE" w:rsidRDefault="00877371" w:rsidP="00877371">
            <w:pPr>
              <w:rPr>
                <w:rFonts w:eastAsiaTheme="minorHAnsi" w:cs="Times New Roman"/>
                <w:b/>
                <w:bCs/>
                <w:color w:val="FFFFFF" w:themeColor="background1"/>
              </w:rPr>
            </w:pPr>
            <w:r w:rsidRPr="00665EFE">
              <w:rPr>
                <w:b/>
                <w:bCs/>
                <w:color w:val="FFFFFF" w:themeColor="background1"/>
              </w:rPr>
              <w:t>Caratteristiche ex-ante</w:t>
            </w:r>
          </w:p>
        </w:tc>
        <w:tc>
          <w:tcPr>
            <w:tcW w:w="1435" w:type="pct"/>
            <w:shd w:val="clear" w:color="auto" w:fill="669748" w:themeFill="accent2" w:themeFillShade="BF"/>
            <w:vAlign w:val="center"/>
          </w:tcPr>
          <w:p w14:paraId="27A17D2A" w14:textId="77777777" w:rsidR="00877371" w:rsidRPr="00665EFE" w:rsidRDefault="00877371" w:rsidP="00877371">
            <w:pPr>
              <w:rPr>
                <w:rFonts w:eastAsiaTheme="minorHAnsi" w:cs="Times New Roman"/>
                <w:b/>
                <w:bCs/>
                <w:color w:val="FFFFFF" w:themeColor="background1"/>
              </w:rPr>
            </w:pPr>
            <w:r w:rsidRPr="00665EFE">
              <w:rPr>
                <w:b/>
                <w:bCs/>
                <w:color w:val="FFFFFF" w:themeColor="background1"/>
              </w:rPr>
              <w:t>Effetto sulle performance ex-post</w:t>
            </w:r>
          </w:p>
        </w:tc>
        <w:tc>
          <w:tcPr>
            <w:tcW w:w="2130" w:type="pct"/>
            <w:shd w:val="clear" w:color="auto" w:fill="669748" w:themeFill="accent2" w:themeFillShade="BF"/>
            <w:vAlign w:val="center"/>
          </w:tcPr>
          <w:p w14:paraId="794B69FA" w14:textId="77777777" w:rsidR="00877371" w:rsidRPr="00665EFE" w:rsidRDefault="00877371" w:rsidP="00877371">
            <w:pPr>
              <w:rPr>
                <w:rFonts w:eastAsiaTheme="minorHAnsi" w:cs="Times New Roman"/>
                <w:b/>
                <w:bCs/>
                <w:color w:val="FFFFFF" w:themeColor="background1"/>
              </w:rPr>
            </w:pPr>
            <w:r w:rsidRPr="00665EFE">
              <w:rPr>
                <w:rFonts w:eastAsiaTheme="minorHAnsi" w:cs="Times New Roman"/>
                <w:b/>
                <w:bCs/>
                <w:color w:val="FFFFFF" w:themeColor="background1"/>
              </w:rPr>
              <w:t>Riferimenti bibliografici</w:t>
            </w:r>
          </w:p>
        </w:tc>
      </w:tr>
      <w:tr w:rsidR="00877371" w:rsidRPr="00B0607D" w14:paraId="421CE53F" w14:textId="77777777" w:rsidTr="00170E3C">
        <w:tc>
          <w:tcPr>
            <w:tcW w:w="1435" w:type="pct"/>
          </w:tcPr>
          <w:p w14:paraId="3B233434" w14:textId="77777777" w:rsidR="00877371" w:rsidRPr="00B0607D" w:rsidRDefault="00877371" w:rsidP="00877371">
            <w:pPr>
              <w:rPr>
                <w:rFonts w:eastAsiaTheme="minorHAnsi" w:cs="Times New Roman"/>
              </w:rPr>
            </w:pPr>
            <w:r w:rsidRPr="00B0607D">
              <w:rPr>
                <w:rFonts w:eastAsiaTheme="minorHAnsi" w:cs="Times New Roman"/>
              </w:rPr>
              <w:t>Limitate risorse finanziarie</w:t>
            </w:r>
          </w:p>
        </w:tc>
        <w:tc>
          <w:tcPr>
            <w:tcW w:w="1435" w:type="pct"/>
          </w:tcPr>
          <w:p w14:paraId="5096885B" w14:textId="77777777" w:rsidR="00877371" w:rsidRPr="00B0607D" w:rsidRDefault="00877371" w:rsidP="00877371">
            <w:pPr>
              <w:rPr>
                <w:rFonts w:eastAsiaTheme="minorHAnsi" w:cs="Times New Roman"/>
              </w:rPr>
            </w:pPr>
            <w:r w:rsidRPr="00B0607D">
              <w:rPr>
                <w:rFonts w:eastAsiaTheme="minorHAnsi" w:cs="Times New Roman"/>
              </w:rPr>
              <w:t>Negativo su sopravvivenza e crescita</w:t>
            </w:r>
          </w:p>
        </w:tc>
        <w:tc>
          <w:tcPr>
            <w:tcW w:w="2130" w:type="pct"/>
          </w:tcPr>
          <w:p w14:paraId="39F9E041" w14:textId="77777777" w:rsidR="00877371" w:rsidRPr="00B0607D" w:rsidRDefault="00877371" w:rsidP="00877371">
            <w:pPr>
              <w:rPr>
                <w:rFonts w:cs="Times New Roman"/>
                <w:iCs/>
                <w:color w:val="000000"/>
                <w:lang w:val="en-US"/>
              </w:rPr>
            </w:pPr>
            <w:proofErr w:type="spellStart"/>
            <w:r w:rsidRPr="00B0607D">
              <w:t>Xu</w:t>
            </w:r>
            <w:proofErr w:type="spellEnd"/>
            <w:r w:rsidRPr="00B0607D">
              <w:t>, 1998; Becchetti and Trovato, 2002; Carpenter and Petersen, 2002</w:t>
            </w:r>
          </w:p>
        </w:tc>
      </w:tr>
      <w:tr w:rsidR="00877371" w:rsidRPr="00B0607D" w14:paraId="7F5D91BB" w14:textId="77777777" w:rsidTr="00170E3C">
        <w:tc>
          <w:tcPr>
            <w:tcW w:w="1435" w:type="pct"/>
          </w:tcPr>
          <w:p w14:paraId="69936E3D" w14:textId="77777777" w:rsidR="00877371" w:rsidRPr="00B0607D" w:rsidRDefault="00877371" w:rsidP="00877371">
            <w:pPr>
              <w:rPr>
                <w:rFonts w:cs="Times New Roman"/>
                <w:color w:val="000000"/>
              </w:rPr>
            </w:pPr>
            <w:r w:rsidRPr="00B0607D">
              <w:rPr>
                <w:rFonts w:cs="Times New Roman"/>
                <w:color w:val="000000"/>
              </w:rPr>
              <w:t>Desiderio di autonomia, indipendenza e status sociale superiore</w:t>
            </w:r>
          </w:p>
        </w:tc>
        <w:tc>
          <w:tcPr>
            <w:tcW w:w="1435" w:type="pct"/>
          </w:tcPr>
          <w:p w14:paraId="57F8F785" w14:textId="77777777" w:rsidR="00877371" w:rsidRPr="00B0607D" w:rsidRDefault="00877371" w:rsidP="00877371">
            <w:pPr>
              <w:rPr>
                <w:rFonts w:cs="Times New Roman"/>
                <w:color w:val="000000"/>
              </w:rPr>
            </w:pPr>
            <w:r w:rsidRPr="00B0607D">
              <w:rPr>
                <w:rFonts w:eastAsiaTheme="minorHAnsi" w:cs="Times New Roman"/>
              </w:rPr>
              <w:t>Negativo su sopravvivenza e crescita</w:t>
            </w:r>
          </w:p>
        </w:tc>
        <w:tc>
          <w:tcPr>
            <w:tcW w:w="2130" w:type="pct"/>
          </w:tcPr>
          <w:p w14:paraId="053C8F99" w14:textId="77777777" w:rsidR="00877371" w:rsidRPr="00B0607D" w:rsidRDefault="00877371" w:rsidP="00877371">
            <w:pPr>
              <w:rPr>
                <w:rFonts w:cs="Times New Roman"/>
                <w:color w:val="000000"/>
              </w:rPr>
            </w:pPr>
            <w:r w:rsidRPr="00B0607D">
              <w:rPr>
                <w:rFonts w:cs="Times New Roman"/>
                <w:color w:val="000000"/>
              </w:rPr>
              <w:t>Vivarelli, 2004; Vivarelli 2007</w:t>
            </w:r>
          </w:p>
        </w:tc>
      </w:tr>
      <w:tr w:rsidR="00877371" w:rsidRPr="00014FA7" w14:paraId="54788D65" w14:textId="77777777" w:rsidTr="00170E3C">
        <w:tc>
          <w:tcPr>
            <w:tcW w:w="1435" w:type="pct"/>
          </w:tcPr>
          <w:p w14:paraId="43ACB921" w14:textId="77777777" w:rsidR="00877371" w:rsidRPr="00B0607D" w:rsidRDefault="00877371" w:rsidP="00877371">
            <w:pPr>
              <w:rPr>
                <w:rFonts w:cs="Times New Roman"/>
                <w:color w:val="000000"/>
              </w:rPr>
            </w:pPr>
            <w:r w:rsidRPr="00B0607D">
              <w:rPr>
                <w:rFonts w:cs="Times New Roman"/>
                <w:color w:val="000000"/>
              </w:rPr>
              <w:t>Disoccupazione</w:t>
            </w:r>
          </w:p>
        </w:tc>
        <w:tc>
          <w:tcPr>
            <w:tcW w:w="1435" w:type="pct"/>
          </w:tcPr>
          <w:p w14:paraId="54470D1D" w14:textId="77777777" w:rsidR="00877371" w:rsidRPr="00B0607D" w:rsidRDefault="00877371" w:rsidP="00877371">
            <w:pPr>
              <w:rPr>
                <w:rFonts w:cs="Times New Roman"/>
                <w:color w:val="000000"/>
              </w:rPr>
            </w:pPr>
            <w:r w:rsidRPr="00B0607D">
              <w:rPr>
                <w:rFonts w:eastAsiaTheme="minorHAnsi" w:cs="Times New Roman"/>
              </w:rPr>
              <w:t xml:space="preserve">Negativo su sopravvivenza, crescita </w:t>
            </w:r>
            <w:r w:rsidRPr="00B0607D">
              <w:t>e creazione di nuovi posti di lavoro</w:t>
            </w:r>
          </w:p>
        </w:tc>
        <w:tc>
          <w:tcPr>
            <w:tcW w:w="2130" w:type="pct"/>
          </w:tcPr>
          <w:p w14:paraId="44CF017A" w14:textId="77777777" w:rsidR="00877371" w:rsidRPr="00B0607D" w:rsidRDefault="00877371" w:rsidP="00877371">
            <w:pPr>
              <w:rPr>
                <w:rFonts w:cs="Times New Roman"/>
                <w:color w:val="000000"/>
                <w:lang w:val="en-GB"/>
              </w:rPr>
            </w:pPr>
            <w:r w:rsidRPr="00B0607D">
              <w:rPr>
                <w:lang w:val="en-GB"/>
              </w:rPr>
              <w:t xml:space="preserve">Carrasco, 1999; Pfeiffer and </w:t>
            </w:r>
            <w:proofErr w:type="spellStart"/>
            <w:r w:rsidRPr="00B0607D">
              <w:rPr>
                <w:lang w:val="en-GB"/>
              </w:rPr>
              <w:t>Reize</w:t>
            </w:r>
            <w:proofErr w:type="spellEnd"/>
            <w:r w:rsidRPr="00B0607D">
              <w:rPr>
                <w:lang w:val="en-GB"/>
              </w:rPr>
              <w:t xml:space="preserve">, 2000; Andersson and </w:t>
            </w:r>
            <w:proofErr w:type="spellStart"/>
            <w:r w:rsidRPr="00B0607D">
              <w:rPr>
                <w:lang w:val="en-GB"/>
              </w:rPr>
              <w:t>Wadensjö</w:t>
            </w:r>
            <w:proofErr w:type="spellEnd"/>
            <w:r>
              <w:rPr>
                <w:lang w:val="en-GB"/>
              </w:rPr>
              <w:t>,</w:t>
            </w:r>
            <w:r w:rsidRPr="00B0607D">
              <w:rPr>
                <w:lang w:val="en-GB"/>
              </w:rPr>
              <w:t xml:space="preserve"> 200</w:t>
            </w:r>
            <w:r>
              <w:rPr>
                <w:lang w:val="en-GB"/>
              </w:rPr>
              <w:t>7</w:t>
            </w:r>
          </w:p>
        </w:tc>
      </w:tr>
      <w:tr w:rsidR="00877371" w:rsidRPr="00B0607D" w14:paraId="4EDD7647" w14:textId="77777777" w:rsidTr="00170E3C">
        <w:tc>
          <w:tcPr>
            <w:tcW w:w="1435" w:type="pct"/>
          </w:tcPr>
          <w:p w14:paraId="2FD540FF" w14:textId="77777777" w:rsidR="00877371" w:rsidRPr="00B0607D" w:rsidRDefault="00877371" w:rsidP="00877371">
            <w:pPr>
              <w:rPr>
                <w:rFonts w:eastAsiaTheme="minorHAnsi" w:cs="Times New Roman"/>
              </w:rPr>
            </w:pPr>
            <w:r w:rsidRPr="00B0607D">
              <w:rPr>
                <w:rFonts w:eastAsiaTheme="minorHAnsi" w:cs="Times New Roman"/>
              </w:rPr>
              <w:t>Capitale umano in termini di livello di istruzione e esperienze lavorative pregresse</w:t>
            </w:r>
          </w:p>
        </w:tc>
        <w:tc>
          <w:tcPr>
            <w:tcW w:w="1435" w:type="pct"/>
          </w:tcPr>
          <w:p w14:paraId="232B404B" w14:textId="77777777" w:rsidR="00877371" w:rsidRPr="00B0607D" w:rsidRDefault="00877371" w:rsidP="00877371">
            <w:pPr>
              <w:rPr>
                <w:rFonts w:eastAsiaTheme="minorHAnsi" w:cs="Times New Roman"/>
              </w:rPr>
            </w:pPr>
            <w:r w:rsidRPr="00B0607D">
              <w:rPr>
                <w:rFonts w:eastAsiaTheme="minorHAnsi" w:cs="Times New Roman"/>
              </w:rPr>
              <w:t xml:space="preserve">Positivo su sopravvivenza, crescita </w:t>
            </w:r>
            <w:r w:rsidRPr="00B0607D">
              <w:t>e innovatività</w:t>
            </w:r>
          </w:p>
        </w:tc>
        <w:tc>
          <w:tcPr>
            <w:tcW w:w="2130" w:type="pct"/>
          </w:tcPr>
          <w:p w14:paraId="4D4E45ED" w14:textId="77777777" w:rsidR="00877371" w:rsidRPr="00B0607D" w:rsidRDefault="00877371" w:rsidP="00877371">
            <w:pPr>
              <w:rPr>
                <w:rFonts w:cs="Times New Roman"/>
              </w:rPr>
            </w:pPr>
            <w:r w:rsidRPr="00B0607D">
              <w:t xml:space="preserve">Bates, 1990; </w:t>
            </w:r>
            <w:proofErr w:type="spellStart"/>
            <w:r w:rsidRPr="00B0607D">
              <w:t>Bruderl</w:t>
            </w:r>
            <w:proofErr w:type="spellEnd"/>
            <w:r w:rsidRPr="00B0607D">
              <w:t xml:space="preserve"> et al., 1992; Gimeno et al., 1997; Colombo e Grilli, 2005</w:t>
            </w:r>
          </w:p>
        </w:tc>
      </w:tr>
      <w:tr w:rsidR="00877371" w:rsidRPr="00B0607D" w14:paraId="7A50E2CB" w14:textId="77777777" w:rsidTr="00170E3C">
        <w:tc>
          <w:tcPr>
            <w:tcW w:w="1435" w:type="pct"/>
          </w:tcPr>
          <w:p w14:paraId="210F7230" w14:textId="77777777" w:rsidR="00877371" w:rsidRPr="00B0607D" w:rsidRDefault="00877371" w:rsidP="00877371">
            <w:pPr>
              <w:rPr>
                <w:rFonts w:eastAsiaTheme="minorHAnsi" w:cs="Times New Roman"/>
              </w:rPr>
            </w:pPr>
            <w:r w:rsidRPr="00B0607D">
              <w:rPr>
                <w:rFonts w:eastAsiaTheme="minorHAnsi" w:cs="Times New Roman"/>
              </w:rPr>
              <w:t>Innovatività</w:t>
            </w:r>
          </w:p>
        </w:tc>
        <w:tc>
          <w:tcPr>
            <w:tcW w:w="1435" w:type="pct"/>
          </w:tcPr>
          <w:p w14:paraId="689C6098" w14:textId="77777777" w:rsidR="00877371" w:rsidRPr="00B0607D" w:rsidRDefault="00877371" w:rsidP="00877371">
            <w:pPr>
              <w:rPr>
                <w:rFonts w:eastAsiaTheme="minorHAnsi" w:cs="Times New Roman"/>
              </w:rPr>
            </w:pPr>
            <w:r w:rsidRPr="00B0607D">
              <w:rPr>
                <w:rFonts w:eastAsiaTheme="minorHAnsi" w:cs="Times New Roman"/>
              </w:rPr>
              <w:t xml:space="preserve">Positivo su </w:t>
            </w:r>
            <w:r w:rsidRPr="00B0607D">
              <w:t>sopravvivenza, crescita, profittabilità e creazione di nuovi posti di lavoro, trasferimento tecnologico, impatto ambientale e sociale</w:t>
            </w:r>
          </w:p>
        </w:tc>
        <w:tc>
          <w:tcPr>
            <w:tcW w:w="2130" w:type="pct"/>
          </w:tcPr>
          <w:p w14:paraId="52329A28" w14:textId="77777777" w:rsidR="00877371" w:rsidRPr="00B0607D" w:rsidRDefault="00877371" w:rsidP="00877371">
            <w:pPr>
              <w:rPr>
                <w:rFonts w:cs="Times New Roman"/>
              </w:rPr>
            </w:pPr>
            <w:r w:rsidRPr="00B0607D">
              <w:t xml:space="preserve">Arrighetti e Vivarelli (1999); Vivarelli and </w:t>
            </w:r>
            <w:proofErr w:type="spellStart"/>
            <w:r w:rsidRPr="00B0607D">
              <w:t>Audretsch</w:t>
            </w:r>
            <w:proofErr w:type="spellEnd"/>
            <w:r w:rsidRPr="00B0607D">
              <w:t xml:space="preserve"> (1998); Cefis e Marsili (2006</w:t>
            </w:r>
            <w:r>
              <w:t xml:space="preserve"> a e b</w:t>
            </w:r>
            <w:r w:rsidRPr="00B0607D">
              <w:t xml:space="preserve">); Colombelli et al. (2016); </w:t>
            </w:r>
            <w:proofErr w:type="spellStart"/>
            <w:r w:rsidRPr="00B0607D">
              <w:t>Coad</w:t>
            </w:r>
            <w:proofErr w:type="spellEnd"/>
            <w:r w:rsidRPr="00B0607D">
              <w:t xml:space="preserve"> and Rao 2008; </w:t>
            </w:r>
            <w:proofErr w:type="spellStart"/>
            <w:r w:rsidRPr="00B0607D">
              <w:t>Altindag</w:t>
            </w:r>
            <w:proofErr w:type="spellEnd"/>
            <w:r w:rsidRPr="00B0607D">
              <w:t xml:space="preserve"> et al. 2011; Colombelli et al. 2014a, b; Esteve-Perez et al. 2004; Raspe and Van Oort 2008; Colombelli et al. 2013; </w:t>
            </w:r>
            <w:proofErr w:type="spellStart"/>
            <w:r w:rsidRPr="00B0607D">
              <w:t>Gkypali</w:t>
            </w:r>
            <w:proofErr w:type="spellEnd"/>
            <w:r w:rsidRPr="00B0607D">
              <w:t xml:space="preserve"> et al. 2015; Mitra and </w:t>
            </w:r>
            <w:proofErr w:type="spellStart"/>
            <w:r w:rsidRPr="00B0607D">
              <w:t>Jha</w:t>
            </w:r>
            <w:proofErr w:type="spellEnd"/>
            <w:r w:rsidRPr="00B0607D">
              <w:t xml:space="preserve"> 2015; Fini et al. 2018; </w:t>
            </w:r>
            <w:proofErr w:type="spellStart"/>
            <w:r w:rsidRPr="00B0607D">
              <w:t>Autio</w:t>
            </w:r>
            <w:proofErr w:type="spellEnd"/>
            <w:r w:rsidRPr="00B0607D">
              <w:t xml:space="preserve">, 1997; </w:t>
            </w:r>
            <w:proofErr w:type="spellStart"/>
            <w:r w:rsidRPr="00B0607D">
              <w:t>Kivimaa</w:t>
            </w:r>
            <w:proofErr w:type="spellEnd"/>
            <w:r w:rsidRPr="00B0607D">
              <w:t xml:space="preserve"> and </w:t>
            </w:r>
            <w:proofErr w:type="spellStart"/>
            <w:r w:rsidRPr="00B0607D">
              <w:t>Kern</w:t>
            </w:r>
            <w:proofErr w:type="spellEnd"/>
            <w:r w:rsidRPr="00B0607D">
              <w:t xml:space="preserve">, 2016; </w:t>
            </w:r>
            <w:proofErr w:type="spellStart"/>
            <w:r w:rsidRPr="00B0607D">
              <w:t>Hoogendoorn</w:t>
            </w:r>
            <w:proofErr w:type="spellEnd"/>
            <w:r w:rsidRPr="00B0607D">
              <w:t xml:space="preserve"> et al. 2020</w:t>
            </w:r>
          </w:p>
        </w:tc>
      </w:tr>
    </w:tbl>
    <w:p w14:paraId="0C198607" w14:textId="77777777" w:rsidR="00877371" w:rsidRDefault="00877371" w:rsidP="00877371"/>
    <w:p w14:paraId="4A376CD2" w14:textId="77777777" w:rsidR="00B23F12" w:rsidRDefault="00B23F12" w:rsidP="00877371"/>
    <w:p w14:paraId="4B56898F" w14:textId="77777777" w:rsidR="00877371" w:rsidRDefault="00877371" w:rsidP="00170E3C">
      <w:pPr>
        <w:pStyle w:val="Titolo3"/>
      </w:pPr>
      <w:bookmarkStart w:id="74" w:name="_Toc65757522"/>
      <w:bookmarkStart w:id="75" w:name="_Toc91081406"/>
      <w:r w:rsidRPr="00203BFC">
        <w:t>Politiche per la creazione di nuove imprese</w:t>
      </w:r>
      <w:bookmarkEnd w:id="74"/>
      <w:bookmarkEnd w:id="75"/>
    </w:p>
    <w:p w14:paraId="51E8018C" w14:textId="77777777" w:rsidR="00624B2A" w:rsidRPr="00624B2A" w:rsidRDefault="00624B2A" w:rsidP="00624B2A"/>
    <w:p w14:paraId="4C904674" w14:textId="77777777" w:rsidR="00877371" w:rsidRDefault="00877371" w:rsidP="00877371">
      <w:r w:rsidRPr="00B0607D">
        <w:t xml:space="preserve">Sulla base delle evidenze mostrate dalla letteratura, si è fatta strada l’idea che le startup innovative, ossia quelle che hanno maggior potenziale di crescita, debbano essere il vero target delle politiche pubbliche (Colombelli et al. 2016; </w:t>
      </w:r>
      <w:proofErr w:type="spellStart"/>
      <w:r w:rsidRPr="00B0607D">
        <w:t>Audretsch</w:t>
      </w:r>
      <w:proofErr w:type="spellEnd"/>
      <w:r w:rsidRPr="00B0607D">
        <w:t xml:space="preserve"> et al. 2020). Nonostante le startup innovative costituiscano una quota minoritaria delle nuove imprese, è proprio questa categoria che genera progresso tecnologico, sviluppo economico e crescita (</w:t>
      </w:r>
      <w:proofErr w:type="spellStart"/>
      <w:r w:rsidRPr="00B0607D">
        <w:t>Autio</w:t>
      </w:r>
      <w:proofErr w:type="spellEnd"/>
      <w:r w:rsidRPr="00B0607D">
        <w:t xml:space="preserve"> et al., 2014; </w:t>
      </w:r>
      <w:proofErr w:type="spellStart"/>
      <w:r w:rsidRPr="00B0607D">
        <w:t>Audretsch</w:t>
      </w:r>
      <w:proofErr w:type="spellEnd"/>
      <w:r w:rsidRPr="00B0607D">
        <w:t xml:space="preserve"> et al., 2006; </w:t>
      </w:r>
      <w:proofErr w:type="spellStart"/>
      <w:r w:rsidRPr="00B0607D">
        <w:t>Baumol</w:t>
      </w:r>
      <w:proofErr w:type="spellEnd"/>
      <w:r w:rsidRPr="00B0607D">
        <w:t xml:space="preserve"> and </w:t>
      </w:r>
      <w:proofErr w:type="spellStart"/>
      <w:r w:rsidRPr="00B0607D">
        <w:t>Strom</w:t>
      </w:r>
      <w:proofErr w:type="spellEnd"/>
      <w:r w:rsidRPr="00B0607D">
        <w:t>, 2007). Come proposto dalla letteratura economica, le politiche pubbliche dovrebbero potere isolare i fattori progressivi e supportare un insieme selezionato di realtà imprenditoriali con un forte potenziale di crescita (Shane 2009; Colombelli et al. 2016; OECD 2020). L’obiettivo ultimo delle politiche pubbliche infatti non è esclusivamente l’incremento delle nuove imprese ma quello di accrescere la qualità dei nuovi business. Allo stesso tempo, tuttavia, le politiche non hanno il compito di focalizzarsi esclusivamente sulle cosiddette “gazzelle”, ossia imprese con tassi di crescita del fatturato o degli occupati pari al 20%, o “unicorni”, ossia imprese con un valore superiore a un miliardo di dollari. Nonostante questa tipologia di imprese possa avere un elevato impatto sulla creazione di posti di lavoro e sul progresso tecnologico, è pur vero che rimane molto limitata in termini di numerosità e soprattutto è molto difficile da identificare a priori (Mason and Brown, 2013).</w:t>
      </w:r>
    </w:p>
    <w:p w14:paraId="55EBADE0" w14:textId="77777777" w:rsidR="000B2CE0" w:rsidRDefault="000B2CE0" w:rsidP="00877371"/>
    <w:p w14:paraId="4D7A4D21" w14:textId="77777777" w:rsidR="00877371" w:rsidRDefault="00877371" w:rsidP="00877371">
      <w:r w:rsidRPr="00B0607D">
        <w:t>Coerentemente con questa idea, i responsabili delle politiche pubbliche, a partire dagli Stati Uniti nel 2011, seguiti rapidamente da molti Paesi Europei e Asiatici, hanno promosso una serie di misure nazionali o sovra-nazionali con l’obiettivo specifico di supportare la nascita e la crescita di startup innovative (</w:t>
      </w:r>
      <w:proofErr w:type="spellStart"/>
      <w:r w:rsidRPr="00B0607D">
        <w:t>European</w:t>
      </w:r>
      <w:proofErr w:type="spellEnd"/>
      <w:r w:rsidRPr="00B0607D">
        <w:t xml:space="preserve"> Digital Forum 2016). L’obiettivo principale di queste policy è quello di abbattere le barriere all’imprenditorialità e all’innovazione che possono ostacolare la creazione e la crescita di nuove imprese ad alto potenziale. Tali barriere includono l’accesso ai capitali e ai mercati, il quadro regolatorio, aspetti culturali, la mancanza di competenze e il grado di sviluppo dell’ecosistema (</w:t>
      </w:r>
      <w:r w:rsidR="00170E3C">
        <w:t>si veda t</w:t>
      </w:r>
      <w:r w:rsidRPr="00B0607D">
        <w:t xml:space="preserve">abella </w:t>
      </w:r>
      <w:r w:rsidR="00170E3C">
        <w:t>successiva</w:t>
      </w:r>
      <w:r w:rsidRPr="00B0607D">
        <w:t>).</w:t>
      </w:r>
    </w:p>
    <w:p w14:paraId="67EDD443" w14:textId="77777777" w:rsidR="00877371" w:rsidRDefault="00877371" w:rsidP="00877371"/>
    <w:p w14:paraId="29F4F00C" w14:textId="77777777" w:rsidR="00877371" w:rsidRPr="00B0607D" w:rsidRDefault="00170E3C" w:rsidP="00170E3C">
      <w:pPr>
        <w:pStyle w:val="Didascalia"/>
      </w:pPr>
      <w:bookmarkStart w:id="76" w:name="_Toc91081454"/>
      <w:r>
        <w:t xml:space="preserve">Tabella </w:t>
      </w:r>
      <w:r w:rsidR="004E6566">
        <w:fldChar w:fldCharType="begin"/>
      </w:r>
      <w:r>
        <w:instrText xml:space="preserve"> SEQ Tabella \* ARABIC </w:instrText>
      </w:r>
      <w:r w:rsidR="004E6566">
        <w:fldChar w:fldCharType="separate"/>
      </w:r>
      <w:r w:rsidR="00E53D6C">
        <w:rPr>
          <w:noProof/>
        </w:rPr>
        <w:t>28</w:t>
      </w:r>
      <w:r w:rsidR="004E6566">
        <w:fldChar w:fldCharType="end"/>
      </w:r>
      <w:r>
        <w:t xml:space="preserve">. </w:t>
      </w:r>
      <w:r w:rsidRPr="00AF6FB7">
        <w:t>Barriere all’innovazione per le startup</w:t>
      </w:r>
      <w:bookmarkEnd w:id="76"/>
    </w:p>
    <w:tbl>
      <w:tblPr>
        <w:tblStyle w:val="Grigliatabella"/>
        <w:tblW w:w="5000" w:type="pct"/>
        <w:tblLook w:val="04A0" w:firstRow="1" w:lastRow="0" w:firstColumn="1" w:lastColumn="0" w:noHBand="0" w:noVBand="1"/>
      </w:tblPr>
      <w:tblGrid>
        <w:gridCol w:w="3874"/>
        <w:gridCol w:w="5754"/>
      </w:tblGrid>
      <w:tr w:rsidR="00E1065C" w:rsidRPr="00117C44" w14:paraId="5D9099CA" w14:textId="77777777" w:rsidTr="00AF58DF">
        <w:tc>
          <w:tcPr>
            <w:tcW w:w="2012" w:type="pct"/>
            <w:shd w:val="clear" w:color="auto" w:fill="669748" w:themeFill="accent2" w:themeFillShade="BF"/>
          </w:tcPr>
          <w:p w14:paraId="34A9D0CE" w14:textId="77777777" w:rsidR="00E1065C" w:rsidRPr="00E1065C" w:rsidRDefault="00E1065C" w:rsidP="00E1065C">
            <w:pPr>
              <w:rPr>
                <w:rFonts w:eastAsiaTheme="minorHAnsi" w:cs="Times New Roman"/>
                <w:b/>
                <w:bCs/>
                <w:color w:val="FFFFFF" w:themeColor="background1"/>
              </w:rPr>
            </w:pPr>
            <w:r w:rsidRPr="00E1065C">
              <w:rPr>
                <w:rFonts w:eastAsiaTheme="minorHAnsi" w:cs="Times New Roman"/>
                <w:b/>
                <w:bCs/>
                <w:color w:val="FFFFFF" w:themeColor="background1"/>
              </w:rPr>
              <w:t>Barriere all’innovazione</w:t>
            </w:r>
          </w:p>
        </w:tc>
        <w:tc>
          <w:tcPr>
            <w:tcW w:w="2988" w:type="pct"/>
            <w:shd w:val="clear" w:color="auto" w:fill="669748" w:themeFill="accent2" w:themeFillShade="BF"/>
            <w:vAlign w:val="center"/>
          </w:tcPr>
          <w:p w14:paraId="71BC3D82" w14:textId="77777777" w:rsidR="00E1065C" w:rsidRPr="00117C44" w:rsidRDefault="00E1065C" w:rsidP="00E1065C">
            <w:pPr>
              <w:rPr>
                <w:rFonts w:eastAsiaTheme="minorHAnsi" w:cs="Times New Roman"/>
              </w:rPr>
            </w:pPr>
            <w:r w:rsidRPr="00665EFE">
              <w:rPr>
                <w:rFonts w:eastAsiaTheme="minorHAnsi" w:cs="Times New Roman"/>
                <w:b/>
                <w:bCs/>
                <w:color w:val="FFFFFF" w:themeColor="background1"/>
              </w:rPr>
              <w:t>Riferimenti bibliografici</w:t>
            </w:r>
          </w:p>
        </w:tc>
      </w:tr>
      <w:tr w:rsidR="00E1065C" w:rsidRPr="00014FA7" w14:paraId="73124ED8" w14:textId="77777777" w:rsidTr="00170E3C">
        <w:tc>
          <w:tcPr>
            <w:tcW w:w="2012" w:type="pct"/>
          </w:tcPr>
          <w:p w14:paraId="0F68B413" w14:textId="77777777" w:rsidR="00E1065C" w:rsidRPr="00C53787" w:rsidRDefault="00E1065C" w:rsidP="00E1065C">
            <w:pPr>
              <w:rPr>
                <w:rFonts w:eastAsiaTheme="minorHAnsi" w:cs="Times New Roman"/>
              </w:rPr>
            </w:pPr>
            <w:r>
              <w:rPr>
                <w:rFonts w:eastAsiaTheme="minorHAnsi" w:cs="Times New Roman"/>
              </w:rPr>
              <w:t>Limitato accesso ai capitali</w:t>
            </w:r>
          </w:p>
        </w:tc>
        <w:tc>
          <w:tcPr>
            <w:tcW w:w="2988" w:type="pct"/>
          </w:tcPr>
          <w:p w14:paraId="3ED100A3" w14:textId="77777777" w:rsidR="00E1065C" w:rsidRPr="007B23C3" w:rsidRDefault="00E1065C" w:rsidP="00E1065C">
            <w:pPr>
              <w:rPr>
                <w:rFonts w:cs="Times New Roman"/>
                <w:iCs/>
                <w:color w:val="000000"/>
                <w:lang w:val="en-US"/>
              </w:rPr>
            </w:pPr>
            <w:r w:rsidRPr="007B23C3">
              <w:rPr>
                <w:lang w:val="en-US"/>
              </w:rPr>
              <w:t>Stinchcombe, 1965;</w:t>
            </w:r>
            <w:r>
              <w:rPr>
                <w:lang w:val="en-US"/>
              </w:rPr>
              <w:t xml:space="preserve"> </w:t>
            </w:r>
            <w:proofErr w:type="spellStart"/>
            <w:r w:rsidRPr="007B23C3">
              <w:rPr>
                <w:lang w:val="en-US"/>
              </w:rPr>
              <w:t>Fazzari</w:t>
            </w:r>
            <w:proofErr w:type="spellEnd"/>
            <w:r w:rsidRPr="007B23C3">
              <w:rPr>
                <w:lang w:val="en-US"/>
              </w:rPr>
              <w:t xml:space="preserve"> et al., 1988; Evans and Jovanovic, 1989; Holtz-Eakin et al., 1994; Blanchflower and Oswald, 1998</w:t>
            </w:r>
          </w:p>
        </w:tc>
      </w:tr>
      <w:tr w:rsidR="00E1065C" w:rsidRPr="00014FA7" w14:paraId="6C9BE3B3" w14:textId="77777777" w:rsidTr="00170E3C">
        <w:tc>
          <w:tcPr>
            <w:tcW w:w="2012" w:type="pct"/>
          </w:tcPr>
          <w:p w14:paraId="2067A84F" w14:textId="77777777" w:rsidR="00E1065C" w:rsidRPr="007B23C3" w:rsidRDefault="00E1065C" w:rsidP="00E1065C">
            <w:pPr>
              <w:rPr>
                <w:rFonts w:cs="Times New Roman"/>
                <w:color w:val="000000"/>
              </w:rPr>
            </w:pPr>
            <w:r w:rsidRPr="007B23C3">
              <w:rPr>
                <w:rFonts w:cs="Times New Roman"/>
                <w:color w:val="000000"/>
              </w:rPr>
              <w:t>Rigidità del mercato del l</w:t>
            </w:r>
            <w:r>
              <w:rPr>
                <w:rFonts w:cs="Times New Roman"/>
                <w:color w:val="000000"/>
              </w:rPr>
              <w:t>avoro e scarsità di competenze e personale qualificato</w:t>
            </w:r>
          </w:p>
        </w:tc>
        <w:tc>
          <w:tcPr>
            <w:tcW w:w="2988" w:type="pct"/>
          </w:tcPr>
          <w:p w14:paraId="43B0B1A5" w14:textId="77777777" w:rsidR="00E1065C" w:rsidRPr="00014FA7" w:rsidRDefault="00E1065C" w:rsidP="00E1065C">
            <w:pPr>
              <w:rPr>
                <w:rFonts w:cs="Times New Roman"/>
                <w:color w:val="000000"/>
                <w:lang w:val="en-US"/>
              </w:rPr>
            </w:pPr>
            <w:proofErr w:type="spellStart"/>
            <w:r w:rsidRPr="00014FA7">
              <w:rPr>
                <w:lang w:val="en-US"/>
              </w:rPr>
              <w:t>Arvanitis</w:t>
            </w:r>
            <w:proofErr w:type="spellEnd"/>
            <w:r w:rsidRPr="00014FA7">
              <w:rPr>
                <w:lang w:val="en-US"/>
              </w:rPr>
              <w:t xml:space="preserve">, 2005; Zhou et al., 2011; Colombelli et al. 2020; </w:t>
            </w:r>
            <w:proofErr w:type="spellStart"/>
            <w:r w:rsidRPr="00014FA7">
              <w:rPr>
                <w:lang w:val="en-US"/>
              </w:rPr>
              <w:t>Autio</w:t>
            </w:r>
            <w:proofErr w:type="spellEnd"/>
            <w:r w:rsidRPr="00014FA7">
              <w:rPr>
                <w:lang w:val="en-US"/>
              </w:rPr>
              <w:t xml:space="preserve">, 2005; </w:t>
            </w:r>
            <w:proofErr w:type="spellStart"/>
            <w:r w:rsidRPr="00014FA7">
              <w:rPr>
                <w:lang w:val="en-US"/>
              </w:rPr>
              <w:t>Baughn</w:t>
            </w:r>
            <w:proofErr w:type="spellEnd"/>
            <w:r w:rsidRPr="00014FA7">
              <w:rPr>
                <w:lang w:val="en-US"/>
              </w:rPr>
              <w:t xml:space="preserve"> and Neupert, 2003; </w:t>
            </w:r>
            <w:proofErr w:type="spellStart"/>
            <w:r w:rsidRPr="00014FA7">
              <w:rPr>
                <w:lang w:val="en-US"/>
              </w:rPr>
              <w:t>Baughn</w:t>
            </w:r>
            <w:proofErr w:type="spellEnd"/>
            <w:r w:rsidRPr="00014FA7">
              <w:rPr>
                <w:lang w:val="en-US"/>
              </w:rPr>
              <w:t xml:space="preserve"> et al., 2008; </w:t>
            </w:r>
            <w:proofErr w:type="spellStart"/>
            <w:r w:rsidRPr="00014FA7">
              <w:rPr>
                <w:lang w:val="en-US"/>
              </w:rPr>
              <w:t>Kalleberg</w:t>
            </w:r>
            <w:proofErr w:type="spellEnd"/>
            <w:r w:rsidRPr="00014FA7">
              <w:rPr>
                <w:lang w:val="en-US"/>
              </w:rPr>
              <w:t xml:space="preserve"> and Marsden, 2005; </w:t>
            </w:r>
            <w:proofErr w:type="spellStart"/>
            <w:r w:rsidRPr="00014FA7">
              <w:rPr>
                <w:lang w:val="en-US"/>
              </w:rPr>
              <w:t>Malcomson</w:t>
            </w:r>
            <w:proofErr w:type="spellEnd"/>
            <w:r w:rsidRPr="00014FA7">
              <w:rPr>
                <w:lang w:val="en-US"/>
              </w:rPr>
              <w:t xml:space="preserve">, 1997; </w:t>
            </w:r>
            <w:proofErr w:type="spellStart"/>
            <w:r w:rsidRPr="00014FA7">
              <w:rPr>
                <w:lang w:val="en-US"/>
              </w:rPr>
              <w:t>Matusik</w:t>
            </w:r>
            <w:proofErr w:type="spellEnd"/>
            <w:r w:rsidRPr="00014FA7">
              <w:rPr>
                <w:lang w:val="en-US"/>
              </w:rPr>
              <w:t xml:space="preserve"> and Hill, 1998; Martínez-Sánchez et al., 2011; Kruse, 1992; Collins and Smith, 2006; Liu et al., 2017; Datta et al., 2005</w:t>
            </w:r>
          </w:p>
        </w:tc>
      </w:tr>
      <w:tr w:rsidR="00E1065C" w:rsidRPr="007B23C3" w14:paraId="624FF748" w14:textId="77777777" w:rsidTr="00170E3C">
        <w:tc>
          <w:tcPr>
            <w:tcW w:w="2012" w:type="pct"/>
          </w:tcPr>
          <w:p w14:paraId="337B4549" w14:textId="77777777" w:rsidR="00E1065C" w:rsidRPr="007B23C3" w:rsidRDefault="00E1065C" w:rsidP="00E1065C">
            <w:pPr>
              <w:rPr>
                <w:rFonts w:cs="Times New Roman"/>
                <w:color w:val="000000"/>
              </w:rPr>
            </w:pPr>
            <w:r>
              <w:rPr>
                <w:rFonts w:cs="Times New Roman"/>
                <w:color w:val="000000"/>
              </w:rPr>
              <w:t>Cultura imprenditoriale</w:t>
            </w:r>
          </w:p>
        </w:tc>
        <w:tc>
          <w:tcPr>
            <w:tcW w:w="2988" w:type="pct"/>
          </w:tcPr>
          <w:p w14:paraId="1B1DD3B8" w14:textId="77777777" w:rsidR="00E1065C" w:rsidRPr="007B23C3" w:rsidRDefault="00E1065C" w:rsidP="00E1065C">
            <w:pPr>
              <w:rPr>
                <w:rFonts w:cs="Times New Roman"/>
                <w:color w:val="000000"/>
              </w:rPr>
            </w:pPr>
            <w:r w:rsidRPr="005E091F">
              <w:rPr>
                <w:rFonts w:cs="Times New Roman"/>
                <w:color w:val="000000"/>
              </w:rPr>
              <w:t xml:space="preserve">Davidson 1995; </w:t>
            </w:r>
            <w:proofErr w:type="spellStart"/>
            <w:r w:rsidRPr="005E091F">
              <w:rPr>
                <w:rFonts w:cs="Times New Roman"/>
                <w:color w:val="000000"/>
              </w:rPr>
              <w:t>Hayton</w:t>
            </w:r>
            <w:proofErr w:type="spellEnd"/>
            <w:r w:rsidRPr="005E091F">
              <w:rPr>
                <w:rFonts w:cs="Times New Roman"/>
                <w:color w:val="000000"/>
              </w:rPr>
              <w:t xml:space="preserve"> et al 2002; </w:t>
            </w:r>
            <w:proofErr w:type="spellStart"/>
            <w:r w:rsidRPr="005E091F">
              <w:rPr>
                <w:rFonts w:cs="Times New Roman"/>
                <w:color w:val="000000"/>
              </w:rPr>
              <w:t>Hayton</w:t>
            </w:r>
            <w:proofErr w:type="spellEnd"/>
            <w:r w:rsidRPr="005E091F">
              <w:rPr>
                <w:rFonts w:cs="Times New Roman"/>
                <w:color w:val="000000"/>
              </w:rPr>
              <w:t xml:space="preserve"> e Cacciotti 2013</w:t>
            </w:r>
          </w:p>
        </w:tc>
      </w:tr>
      <w:tr w:rsidR="00E1065C" w:rsidRPr="007B23C3" w14:paraId="5C60992B" w14:textId="77777777" w:rsidTr="00170E3C">
        <w:tc>
          <w:tcPr>
            <w:tcW w:w="2012" w:type="pct"/>
          </w:tcPr>
          <w:p w14:paraId="30CE8343" w14:textId="77777777" w:rsidR="00E1065C" w:rsidRPr="007B23C3" w:rsidRDefault="00E1065C" w:rsidP="00E1065C">
            <w:pPr>
              <w:rPr>
                <w:rFonts w:eastAsiaTheme="minorHAnsi" w:cs="Times New Roman"/>
              </w:rPr>
            </w:pPr>
            <w:r>
              <w:rPr>
                <w:rFonts w:eastAsiaTheme="minorHAnsi" w:cs="Times New Roman"/>
              </w:rPr>
              <w:t>Limitato accesso ai mercati</w:t>
            </w:r>
          </w:p>
        </w:tc>
        <w:tc>
          <w:tcPr>
            <w:tcW w:w="2988" w:type="pct"/>
          </w:tcPr>
          <w:p w14:paraId="7D8E6FB6" w14:textId="77777777" w:rsidR="00E1065C" w:rsidRPr="007B23C3" w:rsidRDefault="00E1065C" w:rsidP="00E1065C">
            <w:pPr>
              <w:rPr>
                <w:rFonts w:cs="Times New Roman"/>
              </w:rPr>
            </w:pPr>
            <w:proofErr w:type="spellStart"/>
            <w:r w:rsidRPr="00124A72">
              <w:t>Morand</w:t>
            </w:r>
            <w:proofErr w:type="spellEnd"/>
            <w:r w:rsidRPr="00124A72">
              <w:t>, 2003</w:t>
            </w:r>
            <w:r>
              <w:t xml:space="preserve">; </w:t>
            </w:r>
            <w:r w:rsidRPr="00124A72">
              <w:t>Storey and Greene, 2010</w:t>
            </w:r>
          </w:p>
        </w:tc>
      </w:tr>
      <w:tr w:rsidR="00E1065C" w:rsidRPr="007B23C3" w14:paraId="3A1C13B0" w14:textId="77777777" w:rsidTr="00170E3C">
        <w:tc>
          <w:tcPr>
            <w:tcW w:w="2012" w:type="pct"/>
          </w:tcPr>
          <w:p w14:paraId="00E0F0CC" w14:textId="77777777" w:rsidR="00E1065C" w:rsidRPr="007B23C3" w:rsidRDefault="00E1065C" w:rsidP="00E1065C">
            <w:pPr>
              <w:rPr>
                <w:rFonts w:eastAsiaTheme="minorHAnsi" w:cs="Times New Roman"/>
              </w:rPr>
            </w:pPr>
            <w:r>
              <w:t>Q</w:t>
            </w:r>
            <w:r w:rsidRPr="00957374">
              <w:t xml:space="preserve">uadro </w:t>
            </w:r>
            <w:r>
              <w:t xml:space="preserve">legislativo e </w:t>
            </w:r>
            <w:r w:rsidRPr="00957374">
              <w:t>regolatorio</w:t>
            </w:r>
          </w:p>
        </w:tc>
        <w:tc>
          <w:tcPr>
            <w:tcW w:w="2988" w:type="pct"/>
          </w:tcPr>
          <w:p w14:paraId="50828458" w14:textId="77777777" w:rsidR="00E1065C" w:rsidRPr="007B23C3" w:rsidRDefault="00E1065C" w:rsidP="00E1065C">
            <w:pPr>
              <w:rPr>
                <w:rFonts w:cs="Times New Roman"/>
              </w:rPr>
            </w:pPr>
            <w:proofErr w:type="spellStart"/>
            <w:r w:rsidRPr="00F65CD2">
              <w:t>Chittenden</w:t>
            </w:r>
            <w:proofErr w:type="spellEnd"/>
            <w:r w:rsidRPr="00F65CD2">
              <w:t xml:space="preserve"> et al, 2005; Pope, 2008</w:t>
            </w:r>
          </w:p>
        </w:tc>
      </w:tr>
      <w:tr w:rsidR="00E1065C" w:rsidRPr="00014FA7" w14:paraId="67C0AD1F" w14:textId="77777777" w:rsidTr="00170E3C">
        <w:tc>
          <w:tcPr>
            <w:tcW w:w="2012" w:type="pct"/>
          </w:tcPr>
          <w:p w14:paraId="622C2592" w14:textId="77777777" w:rsidR="00E1065C" w:rsidRDefault="00E1065C" w:rsidP="00E1065C">
            <w:pPr>
              <w:rPr>
                <w:rFonts w:eastAsiaTheme="minorHAnsi" w:cs="Times New Roman"/>
              </w:rPr>
            </w:pPr>
            <w:r>
              <w:t>Grado di sviluppo dell’ecosistema</w:t>
            </w:r>
          </w:p>
        </w:tc>
        <w:tc>
          <w:tcPr>
            <w:tcW w:w="2988" w:type="pct"/>
          </w:tcPr>
          <w:p w14:paraId="52AA3BB0" w14:textId="77777777" w:rsidR="00E1065C" w:rsidRPr="007B23C3" w:rsidRDefault="00E1065C" w:rsidP="00E1065C">
            <w:pPr>
              <w:rPr>
                <w:lang w:val="en-US"/>
              </w:rPr>
            </w:pPr>
            <w:r w:rsidRPr="007B23C3">
              <w:rPr>
                <w:lang w:val="en-US"/>
              </w:rPr>
              <w:t>Mason and Brown, 2014; Stam, 2015; Brown and Mason 2017</w:t>
            </w:r>
            <w:r>
              <w:rPr>
                <w:lang w:val="en-US"/>
              </w:rPr>
              <w:t xml:space="preserve">; </w:t>
            </w:r>
            <w:r w:rsidRPr="007B23C3">
              <w:rPr>
                <w:lang w:val="en-US"/>
              </w:rPr>
              <w:t>Colombelli et al. 2019</w:t>
            </w:r>
            <w:r>
              <w:rPr>
                <w:lang w:val="en-US"/>
              </w:rPr>
              <w:t xml:space="preserve"> </w:t>
            </w:r>
          </w:p>
        </w:tc>
      </w:tr>
    </w:tbl>
    <w:p w14:paraId="65BE6476" w14:textId="77777777" w:rsidR="00877371" w:rsidRPr="00014FA7" w:rsidRDefault="00877371" w:rsidP="00877371">
      <w:pPr>
        <w:rPr>
          <w:lang w:val="en-US"/>
        </w:rPr>
      </w:pPr>
    </w:p>
    <w:p w14:paraId="5420F9C7" w14:textId="77777777" w:rsidR="00877371" w:rsidRDefault="00877371" w:rsidP="00877371">
      <w:r w:rsidRPr="001E04AE">
        <w:t>La principale barriera affrontata dalle startup riguarda gli input primari, ossia capitale e lavoro (</w:t>
      </w:r>
      <w:proofErr w:type="spellStart"/>
      <w:r w:rsidRPr="001E04AE">
        <w:t>Söderblom</w:t>
      </w:r>
      <w:proofErr w:type="spellEnd"/>
      <w:r w:rsidRPr="001E04AE">
        <w:t xml:space="preserve"> et al., 2015). La letteratura ha mostrato ampie evidenze della presenza di limitazioni finanziarie per le startup e del loro impatto negativo sulle </w:t>
      </w:r>
      <w:r>
        <w:t xml:space="preserve">loro </w:t>
      </w:r>
      <w:r w:rsidRPr="001E04AE">
        <w:t xml:space="preserve">performance innovative (e.g., Fazzari et al., 1988; Evans and Jovanovic, 1989; </w:t>
      </w:r>
      <w:proofErr w:type="spellStart"/>
      <w:r w:rsidRPr="001E04AE">
        <w:t>Holtz-Eakin</w:t>
      </w:r>
      <w:proofErr w:type="spellEnd"/>
      <w:r w:rsidRPr="001E04AE">
        <w:t xml:space="preserve"> et al., 1994; </w:t>
      </w:r>
      <w:proofErr w:type="spellStart"/>
      <w:r w:rsidRPr="001E04AE">
        <w:t>Blanchflower</w:t>
      </w:r>
      <w:proofErr w:type="spellEnd"/>
      <w:r w:rsidRPr="001E04AE">
        <w:t xml:space="preserve"> and Oswald, 1998). Le nuove imprese non hanno infatti una storia e una reputazione e ciò genera le cosiddette “</w:t>
      </w:r>
      <w:r w:rsidRPr="001E04AE">
        <w:rPr>
          <w:i/>
          <w:iCs/>
        </w:rPr>
        <w:t xml:space="preserve">liabilities of </w:t>
      </w:r>
      <w:proofErr w:type="spellStart"/>
      <w:r w:rsidRPr="001E04AE">
        <w:rPr>
          <w:i/>
          <w:iCs/>
        </w:rPr>
        <w:t>newness</w:t>
      </w:r>
      <w:proofErr w:type="spellEnd"/>
      <w:r w:rsidRPr="001E04AE">
        <w:t>” e “</w:t>
      </w:r>
      <w:r w:rsidRPr="001E04AE">
        <w:rPr>
          <w:i/>
          <w:iCs/>
        </w:rPr>
        <w:t xml:space="preserve">liabilities of </w:t>
      </w:r>
      <w:proofErr w:type="spellStart"/>
      <w:r w:rsidRPr="001E04AE">
        <w:rPr>
          <w:i/>
          <w:iCs/>
        </w:rPr>
        <w:t>smallness</w:t>
      </w:r>
      <w:proofErr w:type="spellEnd"/>
      <w:r w:rsidRPr="001E04AE">
        <w:t>” (</w:t>
      </w:r>
      <w:proofErr w:type="spellStart"/>
      <w:r w:rsidRPr="001E04AE">
        <w:t>Stinchcombe</w:t>
      </w:r>
      <w:proofErr w:type="spellEnd"/>
      <w:r w:rsidRPr="001E04AE">
        <w:t>, 1965) che ne limitano l’accesso ai finanziamenti esterni. La mancanza di risorse finanziarie può a sua volta limitare la capacità delle nuove imprese di affrontare gli elevati costi associati al processo di generazione, adozione e protezione dell’innovazione (Hall, 2005).</w:t>
      </w:r>
    </w:p>
    <w:p w14:paraId="101B2B40" w14:textId="77777777" w:rsidR="000B2CE0" w:rsidRDefault="000B2CE0" w:rsidP="00877371"/>
    <w:p w14:paraId="7D56F590" w14:textId="77777777" w:rsidR="00877371" w:rsidRDefault="00877371" w:rsidP="00877371">
      <w:r>
        <w:t xml:space="preserve">Per quanto riguarda il lavoro, la principale barriera affrontata dalle startup è connessa alla rigidità del mercato del lavoro </w:t>
      </w:r>
      <w:r w:rsidRPr="003E59F5">
        <w:t>(</w:t>
      </w:r>
      <w:proofErr w:type="spellStart"/>
      <w:r w:rsidRPr="003E59F5">
        <w:t>Arvanitis</w:t>
      </w:r>
      <w:proofErr w:type="spellEnd"/>
      <w:r w:rsidRPr="003E59F5">
        <w:t>, 2005; Zhou et al.,</w:t>
      </w:r>
      <w:r>
        <w:t xml:space="preserve"> </w:t>
      </w:r>
      <w:r w:rsidRPr="003E59F5">
        <w:t xml:space="preserve">2011). </w:t>
      </w:r>
      <w:r>
        <w:t xml:space="preserve">In particolare, le imprese di nuova costituzione affrontano numerose difficoltà in relazione agli elevati costi fissi del lavoro, alla scarsità di personale qualificato e alla capacità di trattenere i lavoratori qualificati fornendo opportuni incentivi (Colombelli et al. 2020). Tali difficoltà limitano le performance innovative delle nuove imprese. La letteratura ha infatti dimostrato che, alla luce dell’impatto positivo che il personale qualificato può esercitare per l’innovatività delle imprese, la flessibilità del lavoro costituisce un aspetto particolarmente rilevante per le imprese nelle prime fasi di vita </w:t>
      </w:r>
      <w:r w:rsidRPr="0007327C">
        <w:t xml:space="preserve">(e.g., </w:t>
      </w:r>
      <w:proofErr w:type="spellStart"/>
      <w:r w:rsidRPr="0007327C">
        <w:t>Autio</w:t>
      </w:r>
      <w:proofErr w:type="spellEnd"/>
      <w:r w:rsidRPr="0007327C">
        <w:t xml:space="preserve">, 2005; </w:t>
      </w:r>
      <w:proofErr w:type="spellStart"/>
      <w:r w:rsidRPr="0007327C">
        <w:t>Baughn</w:t>
      </w:r>
      <w:proofErr w:type="spellEnd"/>
      <w:r w:rsidRPr="0007327C">
        <w:t xml:space="preserve"> and</w:t>
      </w:r>
      <w:r>
        <w:t xml:space="preserve"> </w:t>
      </w:r>
      <w:proofErr w:type="spellStart"/>
      <w:r w:rsidRPr="0007327C">
        <w:t>Neupert</w:t>
      </w:r>
      <w:proofErr w:type="spellEnd"/>
      <w:r w:rsidRPr="0007327C">
        <w:t xml:space="preserve">, 2003; </w:t>
      </w:r>
      <w:proofErr w:type="spellStart"/>
      <w:r w:rsidRPr="0007327C">
        <w:t>Baughn</w:t>
      </w:r>
      <w:proofErr w:type="spellEnd"/>
      <w:r w:rsidRPr="0007327C">
        <w:t xml:space="preserve"> et al., 2008).</w:t>
      </w:r>
      <w:r>
        <w:t xml:space="preserve"> La flessibilità del lavoro consente infatti alle nuove imprese di adattare la propria forza lavoro alla disponibilità di capitale finanziario e di ridurre gli elevati costi fissi del lavoro</w:t>
      </w:r>
      <w:r w:rsidRPr="0007327C">
        <w:t xml:space="preserve"> (e.g., Storey et al., 2002; Zhou</w:t>
      </w:r>
      <w:r>
        <w:t xml:space="preserve"> </w:t>
      </w:r>
      <w:r w:rsidRPr="0007327C">
        <w:t>et al., 2011)</w:t>
      </w:r>
      <w:r>
        <w:t xml:space="preserve"> e ciò consente di investire maggiori risorse nelle attività innovative. Inoltre, la flessibilità dei contratti contribuisce a facilitare il processo di acquisizione di nuove competenze attraverso l’assunzione di personale qualificato (</w:t>
      </w:r>
      <w:proofErr w:type="spellStart"/>
      <w:r w:rsidRPr="0007327C">
        <w:t>Kalleberg</w:t>
      </w:r>
      <w:proofErr w:type="spellEnd"/>
      <w:r w:rsidRPr="0007327C">
        <w:t xml:space="preserve"> and Marsden, 2005; </w:t>
      </w:r>
      <w:proofErr w:type="spellStart"/>
      <w:r w:rsidRPr="0007327C">
        <w:t>Malcomson</w:t>
      </w:r>
      <w:proofErr w:type="spellEnd"/>
      <w:r w:rsidRPr="0007327C">
        <w:t xml:space="preserve">, 1997; </w:t>
      </w:r>
      <w:proofErr w:type="spellStart"/>
      <w:r w:rsidRPr="0007327C">
        <w:t>Matusik</w:t>
      </w:r>
      <w:proofErr w:type="spellEnd"/>
      <w:r w:rsidRPr="0007327C">
        <w:t xml:space="preserve"> and Hill, 1998;</w:t>
      </w:r>
      <w:r>
        <w:t xml:space="preserve"> </w:t>
      </w:r>
      <w:proofErr w:type="spellStart"/>
      <w:r w:rsidRPr="0007327C">
        <w:t>Martínez-Sánchez</w:t>
      </w:r>
      <w:proofErr w:type="spellEnd"/>
      <w:r w:rsidRPr="0007327C">
        <w:t xml:space="preserve"> et al., 2011)</w:t>
      </w:r>
      <w:r>
        <w:t xml:space="preserve">, ad incrementare l’impegno e la motivazione dei lavoratori e a facilitare la condivisione delle conoscenze all’interno dell’organizzazione </w:t>
      </w:r>
      <w:r w:rsidRPr="003406DB">
        <w:t>(</w:t>
      </w:r>
      <w:proofErr w:type="spellStart"/>
      <w:r w:rsidRPr="003406DB">
        <w:t>Kruse</w:t>
      </w:r>
      <w:proofErr w:type="spellEnd"/>
      <w:r w:rsidRPr="003406DB">
        <w:t xml:space="preserve">, 1992; Collins and Smith, 2006; </w:t>
      </w:r>
      <w:proofErr w:type="spellStart"/>
      <w:r w:rsidRPr="003406DB">
        <w:t>Liu</w:t>
      </w:r>
      <w:proofErr w:type="spellEnd"/>
      <w:r>
        <w:t xml:space="preserve"> </w:t>
      </w:r>
      <w:r w:rsidRPr="00B344B6">
        <w:t xml:space="preserve">et al., 2017; </w:t>
      </w:r>
      <w:proofErr w:type="spellStart"/>
      <w:r w:rsidRPr="00B344B6">
        <w:t>Datta</w:t>
      </w:r>
      <w:proofErr w:type="spellEnd"/>
      <w:r w:rsidRPr="00B344B6">
        <w:t xml:space="preserve"> et al., 2005).</w:t>
      </w:r>
    </w:p>
    <w:p w14:paraId="0C1781D0" w14:textId="77777777" w:rsidR="000B2CE0" w:rsidRDefault="000B2CE0" w:rsidP="00877371"/>
    <w:p w14:paraId="7CDBBCA2" w14:textId="77777777" w:rsidR="00877371" w:rsidRPr="00B344B6" w:rsidRDefault="00877371" w:rsidP="00877371">
      <w:r w:rsidRPr="001E04AE">
        <w:t>Un’altra barriera per le startup riguarda la mancanza di una cultura imprenditoriale. Gli ideali e i valori condivisi in una società sono in grado di influenzare i comportamenti degli individui che ad essa appartengono. La percezione delle competenze necessarie per intraprendere la carriera imprenditoriale, dello status di imprenditore e delle conseguenze di un fallimento possono influenzare l’attitudine degli individui a fondare un nuovo business. In tal senso, la creazione di una cultura favorevole all’imprenditorialità, che si caratterizza per una percezione positiva di questa attività, può contribuire all’incremento dell’intenzione e dell’attitudine all’imprenditorialità e, di conseguenza, alla diffusione delle attività imprenditoriali (</w:t>
      </w:r>
      <w:proofErr w:type="spellStart"/>
      <w:r w:rsidRPr="001E04AE">
        <w:t>Davidsson</w:t>
      </w:r>
      <w:proofErr w:type="spellEnd"/>
      <w:r w:rsidRPr="001E04AE">
        <w:t xml:space="preserve"> 1995; </w:t>
      </w:r>
      <w:proofErr w:type="spellStart"/>
      <w:r w:rsidRPr="001E04AE">
        <w:t>Hayton</w:t>
      </w:r>
      <w:proofErr w:type="spellEnd"/>
      <w:r w:rsidRPr="001E04AE">
        <w:t xml:space="preserve"> et al 2002; </w:t>
      </w:r>
      <w:proofErr w:type="spellStart"/>
      <w:r w:rsidRPr="001E04AE">
        <w:t>Hayton</w:t>
      </w:r>
      <w:proofErr w:type="spellEnd"/>
      <w:r w:rsidRPr="001E04AE">
        <w:t xml:space="preserve"> e Cacciotti 2013). La creazione di questa cultura passa soprattutto attraverso percorsi di formazione all’imprenditorialità con l’obiettivo di creare competenze e un </w:t>
      </w:r>
      <w:proofErr w:type="spellStart"/>
      <w:r w:rsidRPr="001E04AE">
        <w:rPr>
          <w:i/>
          <w:iCs/>
        </w:rPr>
        <w:t>mindset</w:t>
      </w:r>
      <w:proofErr w:type="spellEnd"/>
      <w:r w:rsidRPr="001E04AE">
        <w:t xml:space="preserve"> imprenditoriale negli individui già a partire dalle scuole primarie e secondarie fino ad arrivare ai percorsi universitari, di </w:t>
      </w:r>
      <w:r w:rsidRPr="001E04AE">
        <w:rPr>
          <w:i/>
          <w:iCs/>
        </w:rPr>
        <w:t>lifelong</w:t>
      </w:r>
      <w:r w:rsidRPr="001E04AE">
        <w:t xml:space="preserve"> </w:t>
      </w:r>
      <w:r w:rsidRPr="001E04AE">
        <w:rPr>
          <w:i/>
          <w:iCs/>
        </w:rPr>
        <w:t>learning</w:t>
      </w:r>
      <w:r w:rsidRPr="001E04AE">
        <w:t xml:space="preserve"> e di </w:t>
      </w:r>
      <w:r w:rsidRPr="001E04AE">
        <w:rPr>
          <w:i/>
          <w:iCs/>
        </w:rPr>
        <w:t>up-</w:t>
      </w:r>
      <w:proofErr w:type="spellStart"/>
      <w:r w:rsidRPr="001E04AE">
        <w:rPr>
          <w:i/>
          <w:iCs/>
        </w:rPr>
        <w:t>skilling</w:t>
      </w:r>
      <w:proofErr w:type="spellEnd"/>
      <w:r w:rsidRPr="001E04AE">
        <w:t xml:space="preserve"> e </w:t>
      </w:r>
      <w:r w:rsidRPr="001E04AE">
        <w:rPr>
          <w:i/>
          <w:iCs/>
        </w:rPr>
        <w:t>re-</w:t>
      </w:r>
      <w:proofErr w:type="spellStart"/>
      <w:r w:rsidRPr="001E04AE">
        <w:rPr>
          <w:i/>
          <w:iCs/>
        </w:rPr>
        <w:t>skilling</w:t>
      </w:r>
      <w:proofErr w:type="spellEnd"/>
      <w:r w:rsidRPr="001E04AE">
        <w:t xml:space="preserve">. L’ambito accademico costituisce un luogo particolarmente rivelante da questo punto di vista. Le startup </w:t>
      </w:r>
      <w:r>
        <w:t>nate</w:t>
      </w:r>
      <w:r w:rsidRPr="001E04AE">
        <w:t xml:space="preserve"> in questo ambito costituiscono un elemento fondamentale per il trasferimento dei risultati della ricerca scientifica e il progresso tecnologico. I ricercatori tuttavia spesso non possiedono le competenze trasversali e manageriali necessarie per introdurre le proprie innovazioni sul mercato con successo. Per queto motivo, molto spesso gli spin-off e le startup nate in ambito accademico non ottengono performance soddisfacenti (</w:t>
      </w:r>
      <w:proofErr w:type="spellStart"/>
      <w:r w:rsidRPr="001E04AE">
        <w:t>Wennberg</w:t>
      </w:r>
      <w:proofErr w:type="spellEnd"/>
      <w:r w:rsidRPr="001E04AE">
        <w:t xml:space="preserve"> et al. 2011)</w:t>
      </w:r>
      <w:r>
        <w:t>.</w:t>
      </w:r>
    </w:p>
    <w:p w14:paraId="14E09C46" w14:textId="77777777" w:rsidR="000B2CE0" w:rsidRDefault="000B2CE0" w:rsidP="00877371"/>
    <w:p w14:paraId="07D7E201" w14:textId="77777777" w:rsidR="00877371" w:rsidRDefault="00877371" w:rsidP="00877371">
      <w:r w:rsidRPr="001E04AE">
        <w:t>Le startup affrontano anche barriere in relazione all’accesso ai mercati. Le “</w:t>
      </w:r>
      <w:r w:rsidRPr="001E04AE">
        <w:rPr>
          <w:i/>
          <w:iCs/>
        </w:rPr>
        <w:t xml:space="preserve">liabilities of </w:t>
      </w:r>
      <w:proofErr w:type="spellStart"/>
      <w:r w:rsidRPr="001E04AE">
        <w:rPr>
          <w:i/>
          <w:iCs/>
        </w:rPr>
        <w:t>newness</w:t>
      </w:r>
      <w:proofErr w:type="spellEnd"/>
      <w:r w:rsidRPr="001E04AE">
        <w:t>” e “</w:t>
      </w:r>
      <w:r w:rsidRPr="001E04AE">
        <w:rPr>
          <w:i/>
          <w:iCs/>
        </w:rPr>
        <w:t xml:space="preserve">liabilities of </w:t>
      </w:r>
      <w:proofErr w:type="spellStart"/>
      <w:r w:rsidRPr="001E04AE">
        <w:rPr>
          <w:i/>
          <w:iCs/>
        </w:rPr>
        <w:t>smallness</w:t>
      </w:r>
      <w:proofErr w:type="spellEnd"/>
      <w:r w:rsidRPr="001E04AE">
        <w:t>” limitano la capacità delle nuove imprese di porsi come interlocutori credibili e di inserirsi nella catena del valore delle imprese già operanti sul mercato. Questo è particolarmente vero nel caso del public procurement (</w:t>
      </w:r>
      <w:proofErr w:type="spellStart"/>
      <w:r w:rsidRPr="001E04AE">
        <w:t>Morand</w:t>
      </w:r>
      <w:proofErr w:type="spellEnd"/>
      <w:r w:rsidRPr="001E04AE">
        <w:t>, 2003). Il settore pubblico ha infatti una bassa propensione al rischio che limita l’attrattività delle nuove imprese. Inoltre, le grosse dimensioni dei contratti pubblici, la complessità e il forte carico amministrativo delle procedure di gara nonché le tempistiche dei pagamenti costituiscono forti barriere per le startup (Storey and Greene, 2010).</w:t>
      </w:r>
    </w:p>
    <w:p w14:paraId="0005F92A" w14:textId="77777777" w:rsidR="000B2CE0" w:rsidRDefault="000B2CE0" w:rsidP="00877371"/>
    <w:p w14:paraId="00346799" w14:textId="77777777" w:rsidR="00877371" w:rsidRDefault="00877371" w:rsidP="00877371">
      <w:r w:rsidRPr="006771F9">
        <w:t>Il quadro legislativo e normativo di un paese costituisce un’altra delle possibili barriere per le nuove imprese. Se da un lato la regolamentazione è necessaria per garantire la competitività dei mercati, essa spesso impone alle imprese di sostenere dei costi che, in termini relativi, risultano relativamente più onerosi per le imprese di nuova costituzione. Ai fini di supportare l’imprenditorialità, le politiche dovrebbero mirare a ridurre il peso burocratico, amministrativo e finanziario per le startup. In questo senso anche la pressione fiscale può costituire una barriera all’imprenditorialità, in quanto può condizionare le prospettive di profitto per gli imprenditori e dunque la decisione di fondare una nuova impresa. Ridurre la pressione fiscale per le startup può dunque contribuire alla nascita e alla crescita delle nuove imprese (</w:t>
      </w:r>
      <w:proofErr w:type="spellStart"/>
      <w:r w:rsidRPr="006771F9">
        <w:t>Chittenden</w:t>
      </w:r>
      <w:proofErr w:type="spellEnd"/>
      <w:r w:rsidRPr="006771F9">
        <w:t xml:space="preserve"> et al, 2005; Pope, 2008). La riduzione della tassazione può inoltre essere utilizzata come utile strumento per incentivare specifiche categorie di imprenditori, come ad esempio i giovani, le donne, gli immigrati, o specifici comportamenti, come ad esempio aumentare gli investimenti in innovazione attraverso un incremento delle spese in ricerca e sviluppo (Pope, 2008). </w:t>
      </w:r>
    </w:p>
    <w:p w14:paraId="757719EB" w14:textId="77777777" w:rsidR="000B2CE0" w:rsidRDefault="000B2CE0" w:rsidP="00877371"/>
    <w:p w14:paraId="752A42D9" w14:textId="77777777" w:rsidR="00877371" w:rsidRDefault="00877371" w:rsidP="00877371">
      <w:r>
        <w:t xml:space="preserve">Infine, anche il grado di sviluppo dell’ecosistema in cui le attività imprenditoriali nascono è in grado di influenzare l’intenzione, le attitudini e i processi di sviluppo delle startup. La letteratura ha mostrato come il vantaggio competitivo delle imprese sempre più dipenda dalla presenza di risorse locali, dai network sociali, dalle relazioni di prossimità con clienti e fornitori, dalla vicinanza alle università e centri di ricerca e dalla presenza di un sistema finanziario sviluppato oltre che dal supporto da parte delle istituzioni locali </w:t>
      </w:r>
      <w:r w:rsidRPr="00163C0D">
        <w:t xml:space="preserve">(Mason and Brown, 2014; </w:t>
      </w:r>
      <w:proofErr w:type="spellStart"/>
      <w:r w:rsidRPr="00163C0D">
        <w:t>Stam</w:t>
      </w:r>
      <w:proofErr w:type="spellEnd"/>
      <w:r w:rsidRPr="00163C0D">
        <w:t>, 2015;</w:t>
      </w:r>
      <w:r>
        <w:t xml:space="preserve"> Colombelli et al. 2019). L’assenza di questi elementi caratterizzanti gli ecosistemi imprenditoriali può inibire il processo di creazione di nuove imprese. Le politiche per l’imprenditorialità non possono dunque trascurare il supporto allo sviluppo di tali ecosistemi. Secondo </w:t>
      </w:r>
      <w:r w:rsidRPr="00091CCE">
        <w:t>Brown and Mason (2017)</w:t>
      </w:r>
      <w:r>
        <w:t xml:space="preserve"> gli elementi fondamentali di un ecosistema che richiedono il supporto pubblico sono la presenza di: “</w:t>
      </w:r>
      <w:proofErr w:type="spellStart"/>
      <w:r w:rsidRPr="006771F9">
        <w:rPr>
          <w:i/>
          <w:iCs/>
        </w:rPr>
        <w:t>entrepreneurial</w:t>
      </w:r>
      <w:proofErr w:type="spellEnd"/>
      <w:r w:rsidRPr="006771F9">
        <w:rPr>
          <w:i/>
          <w:iCs/>
        </w:rPr>
        <w:t xml:space="preserve"> </w:t>
      </w:r>
      <w:proofErr w:type="spellStart"/>
      <w:r w:rsidRPr="006771F9">
        <w:rPr>
          <w:i/>
          <w:iCs/>
        </w:rPr>
        <w:t>actors</w:t>
      </w:r>
      <w:proofErr w:type="spellEnd"/>
      <w:r>
        <w:t>” che forniscono servizi di incubazione, accelerazione, coaching e mentoring alle nuove imprese; “</w:t>
      </w:r>
      <w:proofErr w:type="spellStart"/>
      <w:r w:rsidRPr="00336219">
        <w:rPr>
          <w:i/>
          <w:iCs/>
        </w:rPr>
        <w:t>resource</w:t>
      </w:r>
      <w:proofErr w:type="spellEnd"/>
      <w:r w:rsidRPr="00336219">
        <w:rPr>
          <w:i/>
          <w:iCs/>
        </w:rPr>
        <w:t xml:space="preserve"> providers</w:t>
      </w:r>
      <w:r>
        <w:t xml:space="preserve">” come banche e venture </w:t>
      </w:r>
      <w:proofErr w:type="spellStart"/>
      <w:r>
        <w:t>capitalist</w:t>
      </w:r>
      <w:proofErr w:type="spellEnd"/>
      <w:r>
        <w:t xml:space="preserve">, che forniscono risorse finanziarie; università e centri di ricerca, che favoriscono </w:t>
      </w:r>
      <w:r w:rsidRPr="006771F9">
        <w:rPr>
          <w:i/>
          <w:iCs/>
        </w:rPr>
        <w:t>knowledge spillovers</w:t>
      </w:r>
      <w:r>
        <w:t>; “</w:t>
      </w:r>
      <w:proofErr w:type="spellStart"/>
      <w:r w:rsidRPr="006771F9">
        <w:rPr>
          <w:i/>
          <w:iCs/>
        </w:rPr>
        <w:t>entrepreneurial</w:t>
      </w:r>
      <w:proofErr w:type="spellEnd"/>
      <w:r w:rsidRPr="006771F9">
        <w:rPr>
          <w:i/>
          <w:iCs/>
        </w:rPr>
        <w:t xml:space="preserve"> </w:t>
      </w:r>
      <w:proofErr w:type="spellStart"/>
      <w:r w:rsidRPr="006771F9">
        <w:rPr>
          <w:i/>
          <w:iCs/>
        </w:rPr>
        <w:t>connectors</w:t>
      </w:r>
      <w:proofErr w:type="spellEnd"/>
      <w:r>
        <w:t>” che favoriscono la creazioni di reti sul territorio; e infine, “</w:t>
      </w:r>
      <w:proofErr w:type="spellStart"/>
      <w:r w:rsidRPr="006771F9">
        <w:rPr>
          <w:i/>
          <w:iCs/>
        </w:rPr>
        <w:t>entrepreneurial</w:t>
      </w:r>
      <w:proofErr w:type="spellEnd"/>
      <w:r w:rsidRPr="006771F9">
        <w:rPr>
          <w:i/>
          <w:iCs/>
        </w:rPr>
        <w:t xml:space="preserve"> </w:t>
      </w:r>
      <w:proofErr w:type="spellStart"/>
      <w:r w:rsidRPr="006771F9">
        <w:rPr>
          <w:i/>
          <w:iCs/>
        </w:rPr>
        <w:t>orientation</w:t>
      </w:r>
      <w:proofErr w:type="spellEnd"/>
      <w:r>
        <w:t>”, che include un clima culturale favorevole all’imprenditorialità.</w:t>
      </w:r>
    </w:p>
    <w:p w14:paraId="71537AFC" w14:textId="77777777" w:rsidR="000B2CE0" w:rsidRDefault="000B2CE0" w:rsidP="00877371"/>
    <w:p w14:paraId="2AA21500" w14:textId="77777777" w:rsidR="00877371" w:rsidRDefault="00877371" w:rsidP="00877371">
      <w:r>
        <w:t xml:space="preserve">Al fine di abbattere </w:t>
      </w:r>
      <w:r w:rsidRPr="007F48C6">
        <w:t>le barriere all’imprenditorialità e all’innovazione che ostacola</w:t>
      </w:r>
      <w:r>
        <w:t>no</w:t>
      </w:r>
      <w:r w:rsidRPr="007F48C6">
        <w:t xml:space="preserve"> </w:t>
      </w:r>
      <w:r>
        <w:t xml:space="preserve">la nascita e la crescita di startup innovative e di stimolare i benefici economici e sociali da esse derivanti, i governi nazionali e sovra-nazionali in Europa e oltre oceano hanno adottato una serie di misure e di strumenti a supporto dell’imprenditorialità che vanno dagli sgravi fiscali e un accesso facilitato alle risorse finanziarie e ai mercati fino a strumenti </w:t>
      </w:r>
      <w:r w:rsidRPr="007B23C3">
        <w:t xml:space="preserve">di supporto per la costituzione di un ecosistema favorevole alle attività imprenditoriali (Lerner, 2010; Guerrero and Urbano, 2019; Colombelli et al., 2020). </w:t>
      </w:r>
      <w:r>
        <w:t xml:space="preserve">L’OECD ha identificato e classificato questi strumenti in </w:t>
      </w:r>
      <w:r w:rsidRPr="00C41F15">
        <w:t>tre p</w:t>
      </w:r>
      <w:r>
        <w:t>rincipali tipologie di intervento:</w:t>
      </w:r>
    </w:p>
    <w:p w14:paraId="270C79CB" w14:textId="77777777" w:rsidR="00877371" w:rsidRDefault="00877371" w:rsidP="0038676D">
      <w:pPr>
        <w:pStyle w:val="Paragrafoelenco"/>
        <w:numPr>
          <w:ilvl w:val="0"/>
          <w:numId w:val="27"/>
        </w:numPr>
      </w:pPr>
      <w:r w:rsidRPr="00C41F15">
        <w:t>Politiche che favoriscono la c</w:t>
      </w:r>
      <w:r>
        <w:t>reazione di condizioni favorevoli all’imprenditorialità come iniziative a supporto della creazione di una cultura imprenditoriale, un quadro normativo e una tassazione favorevole alle nuove imprese;</w:t>
      </w:r>
    </w:p>
    <w:p w14:paraId="24A91D97" w14:textId="77777777" w:rsidR="00877371" w:rsidRDefault="00877371" w:rsidP="0038676D">
      <w:pPr>
        <w:pStyle w:val="Paragrafoelenco"/>
        <w:numPr>
          <w:ilvl w:val="0"/>
          <w:numId w:val="27"/>
        </w:numPr>
      </w:pPr>
      <w:r>
        <w:t>Politiche di supporto diretto agli imprenditori e alle startup attraverso strumenti volti alla creazione di percorsi di formazione, coaching e mentoring dei potenziali imprenditori, a facilitare l’accesso a fonti di finanziamento esterne e all’internazionalizzazione;</w:t>
      </w:r>
    </w:p>
    <w:p w14:paraId="06E0F038" w14:textId="77777777" w:rsidR="00877371" w:rsidRPr="00C41F15" w:rsidRDefault="00877371" w:rsidP="0038676D">
      <w:pPr>
        <w:pStyle w:val="Paragrafoelenco"/>
        <w:numPr>
          <w:ilvl w:val="0"/>
          <w:numId w:val="27"/>
        </w:numPr>
      </w:pPr>
      <w:r>
        <w:t xml:space="preserve">Politiche di supporto alla creazione e allo sviluppo di un ecosistema imprenditoriale, </w:t>
      </w:r>
      <w:r w:rsidRPr="00BE0CA4">
        <w:t xml:space="preserve">come incentivi per incubatori e acceleratori e per finanziatori come i venture </w:t>
      </w:r>
      <w:proofErr w:type="spellStart"/>
      <w:r w:rsidRPr="00BE0CA4">
        <w:t>capitalist</w:t>
      </w:r>
      <w:proofErr w:type="spellEnd"/>
      <w:r>
        <w:t xml:space="preserve">. </w:t>
      </w:r>
    </w:p>
    <w:p w14:paraId="7E6C36F5" w14:textId="77777777" w:rsidR="000B2CE0" w:rsidRDefault="000B2CE0" w:rsidP="00877371"/>
    <w:p w14:paraId="18855210" w14:textId="77777777" w:rsidR="00877371" w:rsidRPr="006771F9" w:rsidRDefault="00877371" w:rsidP="00877371">
      <w:r w:rsidRPr="006771F9">
        <w:t>L’adozione di tali strumenti richiede un approccio olistico (Giraudo et al., 2019), capace di fare leva sia sul “sistema nazionale per l’imprenditorialità” (</w:t>
      </w:r>
      <w:proofErr w:type="spellStart"/>
      <w:r w:rsidRPr="006771F9">
        <w:t>Acs</w:t>
      </w:r>
      <w:proofErr w:type="spellEnd"/>
      <w:r w:rsidRPr="006771F9">
        <w:t xml:space="preserve"> et al., 2014) sia sulle specificità degli “ecosistemi imprenditoriali locali</w:t>
      </w:r>
      <w:r>
        <w:t>”</w:t>
      </w:r>
      <w:r w:rsidRPr="006771F9">
        <w:t xml:space="preserve"> (</w:t>
      </w:r>
      <w:proofErr w:type="spellStart"/>
      <w:r w:rsidRPr="006771F9">
        <w:t>Stam</w:t>
      </w:r>
      <w:proofErr w:type="spellEnd"/>
      <w:r w:rsidRPr="006771F9">
        <w:t xml:space="preserve"> and van de </w:t>
      </w:r>
      <w:proofErr w:type="spellStart"/>
      <w:r w:rsidRPr="006771F9">
        <w:t>Ven</w:t>
      </w:r>
      <w:proofErr w:type="spellEnd"/>
      <w:r w:rsidRPr="006771F9">
        <w:t>, 2019). Tuttavia Paesi diversi, caratterizzati da diversi contesti istituzionali, hanno adottato differenti “</w:t>
      </w:r>
      <w:r w:rsidRPr="00336219">
        <w:rPr>
          <w:i/>
          <w:iCs/>
        </w:rPr>
        <w:t>policy mix</w:t>
      </w:r>
      <w:r w:rsidRPr="006771F9">
        <w:t>” a supporto delle startup innovative e le evidenze sull’efficacia ed efficienza di tali politiche sono ancora limitate. Le attività di valutazione e monitoraggio dei vari strumenti adottati da diversi Paesi rappresentano dunque un utile e necessario esercizio ai fini della comprensione dei legami tra teoria, pratica e politica per le startup innovative (</w:t>
      </w:r>
      <w:proofErr w:type="spellStart"/>
      <w:r w:rsidRPr="006771F9">
        <w:t>Autio</w:t>
      </w:r>
      <w:proofErr w:type="spellEnd"/>
      <w:r w:rsidRPr="006771F9">
        <w:t xml:space="preserve"> et al. 2014; Guerrero e Urbano 2019; </w:t>
      </w:r>
      <w:proofErr w:type="spellStart"/>
      <w:r w:rsidRPr="006771F9">
        <w:t>Audretsch</w:t>
      </w:r>
      <w:proofErr w:type="spellEnd"/>
      <w:r w:rsidRPr="006771F9">
        <w:t xml:space="preserve"> et al.2020). </w:t>
      </w:r>
    </w:p>
    <w:p w14:paraId="4DA9E96F" w14:textId="08926573" w:rsidR="00877371" w:rsidRDefault="00877371" w:rsidP="00877371"/>
    <w:p w14:paraId="734AAF50" w14:textId="77777777" w:rsidR="00CF4890" w:rsidRDefault="00CF4890" w:rsidP="00877371"/>
    <w:p w14:paraId="0A6D14F4" w14:textId="77777777" w:rsidR="00B23F12" w:rsidRDefault="00B23F12" w:rsidP="00877371"/>
    <w:p w14:paraId="15C98F03" w14:textId="77777777" w:rsidR="001C60C0" w:rsidRDefault="00877371" w:rsidP="001C60C0">
      <w:pPr>
        <w:pStyle w:val="Titolo2"/>
      </w:pPr>
      <w:bookmarkStart w:id="77" w:name="_Toc91081407"/>
      <w:r>
        <w:t>L</w:t>
      </w:r>
      <w:r w:rsidR="001C60C0">
        <w:t xml:space="preserve">e fasi del ciclo di vita di una nuova impresa </w:t>
      </w:r>
      <w:r>
        <w:t>e gli attori del mercato dei capitali</w:t>
      </w:r>
      <w:bookmarkEnd w:id="77"/>
    </w:p>
    <w:p w14:paraId="70802CAB" w14:textId="77777777" w:rsidR="00624B2A" w:rsidRPr="00624B2A" w:rsidRDefault="00624B2A" w:rsidP="00624B2A"/>
    <w:p w14:paraId="003EA060" w14:textId="77777777" w:rsidR="001C60C0" w:rsidRDefault="001C60C0" w:rsidP="00A35D82">
      <w:pPr>
        <w:pStyle w:val="Titolo3"/>
        <w:rPr>
          <w:rFonts w:eastAsia="Verdana"/>
        </w:rPr>
      </w:pPr>
      <w:bookmarkStart w:id="78" w:name="_Toc77848847"/>
      <w:bookmarkStart w:id="79" w:name="_Toc91081408"/>
      <w:r>
        <w:rPr>
          <w:rFonts w:eastAsia="Verdana"/>
        </w:rPr>
        <w:t>Le fasi del ciclo di vita di una startup</w:t>
      </w:r>
      <w:bookmarkEnd w:id="78"/>
      <w:bookmarkEnd w:id="79"/>
    </w:p>
    <w:p w14:paraId="7D9B26E9" w14:textId="77777777" w:rsidR="00877371" w:rsidRDefault="00877371" w:rsidP="001C60C0">
      <w:pPr>
        <w:rPr>
          <w:rFonts w:eastAsia="Verdana"/>
        </w:rPr>
      </w:pPr>
    </w:p>
    <w:p w14:paraId="4430C703" w14:textId="77777777" w:rsidR="001C60C0" w:rsidRDefault="001C60C0" w:rsidP="001C60C0">
      <w:pPr>
        <w:rPr>
          <w:rFonts w:eastAsia="Verdana"/>
        </w:rPr>
      </w:pPr>
      <w:r>
        <w:rPr>
          <w:rFonts w:eastAsia="Verdana"/>
        </w:rPr>
        <w:t xml:space="preserve">Prima di approfondire le caratteristiche e il ruolo dei principali operatori del mercato italiano dei capitali è importante definire le fasi del ciclo di vita di una startup e di conseguenza le rispettive fasi di finanziamento. Vista la recente crescita, soprattutto in Italia, dell’ecosistema imprenditoriale, non è ancora presente una definizione univoca in merito alle fasi del ciclo di vita e del ciclo finanziario. Tuttavia è possibile individuare un quadro comune tra le diverse definizioni attualmente in uso. La definizione riportata di seguito deriva dalle informazioni fornite da </w:t>
      </w:r>
      <w:r>
        <w:rPr>
          <w:rFonts w:eastAsia="Verdana"/>
          <w:b/>
        </w:rPr>
        <w:t>IBAN (</w:t>
      </w:r>
      <w:proofErr w:type="spellStart"/>
      <w:r>
        <w:rPr>
          <w:rFonts w:eastAsia="Verdana"/>
          <w:b/>
        </w:rPr>
        <w:t>Italian</w:t>
      </w:r>
      <w:proofErr w:type="spellEnd"/>
      <w:r>
        <w:rPr>
          <w:rFonts w:eastAsia="Verdana"/>
          <w:b/>
        </w:rPr>
        <w:t xml:space="preserve"> Business </w:t>
      </w:r>
      <w:proofErr w:type="spellStart"/>
      <w:r>
        <w:rPr>
          <w:rFonts w:eastAsia="Verdana"/>
          <w:b/>
        </w:rPr>
        <w:t>Angels</w:t>
      </w:r>
      <w:proofErr w:type="spellEnd"/>
      <w:r>
        <w:rPr>
          <w:rFonts w:eastAsia="Verdana"/>
          <w:b/>
        </w:rPr>
        <w:t xml:space="preserve"> Network Association)</w:t>
      </w:r>
      <w:r>
        <w:rPr>
          <w:rFonts w:eastAsia="Verdana"/>
        </w:rPr>
        <w:t xml:space="preserve"> attraverso il proprio portale e dalle informazioni e i report realizzati da </w:t>
      </w:r>
      <w:r>
        <w:rPr>
          <w:rFonts w:eastAsia="Verdana"/>
          <w:b/>
        </w:rPr>
        <w:t xml:space="preserve">AIFI (Associazione Italiana del Private Equity, Venture Capital e Private </w:t>
      </w:r>
      <w:proofErr w:type="spellStart"/>
      <w:r>
        <w:rPr>
          <w:rFonts w:eastAsia="Verdana"/>
          <w:b/>
        </w:rPr>
        <w:t>Debt</w:t>
      </w:r>
      <w:proofErr w:type="spellEnd"/>
      <w:r>
        <w:rPr>
          <w:rFonts w:eastAsia="Verdana"/>
          <w:b/>
        </w:rPr>
        <w:t>)</w:t>
      </w:r>
      <w:r>
        <w:rPr>
          <w:rFonts w:eastAsia="Verdana"/>
        </w:rPr>
        <w:t xml:space="preserve"> tramite una delle sue iniziative, </w:t>
      </w:r>
      <w:proofErr w:type="spellStart"/>
      <w:r>
        <w:rPr>
          <w:rFonts w:eastAsia="Verdana"/>
          <w:b/>
        </w:rPr>
        <w:t>VentureUp</w:t>
      </w:r>
      <w:proofErr w:type="spellEnd"/>
      <w:r>
        <w:rPr>
          <w:rFonts w:eastAsia="Verdana"/>
        </w:rPr>
        <w:t xml:space="preserve"> (Guida al Venture Capital, AIFI; Il ciclo di vita della startup e gli attori della filiera del venture capital, </w:t>
      </w:r>
      <w:proofErr w:type="spellStart"/>
      <w:r>
        <w:rPr>
          <w:rFonts w:eastAsia="Verdana"/>
        </w:rPr>
        <w:t>VentureUp</w:t>
      </w:r>
      <w:proofErr w:type="spellEnd"/>
      <w:r>
        <w:rPr>
          <w:rFonts w:eastAsia="Verdana"/>
        </w:rPr>
        <w:t>).</w:t>
      </w:r>
    </w:p>
    <w:p w14:paraId="1E4F8473" w14:textId="77777777" w:rsidR="00877371" w:rsidRDefault="00877371" w:rsidP="001C60C0">
      <w:pPr>
        <w:rPr>
          <w:rFonts w:eastAsia="Verdana"/>
        </w:rPr>
      </w:pPr>
    </w:p>
    <w:p w14:paraId="6B98F8C1" w14:textId="77777777" w:rsidR="005D2800" w:rsidRDefault="005D2800" w:rsidP="005D2800">
      <w:pPr>
        <w:pStyle w:val="Didascalia"/>
        <w:rPr>
          <w:rFonts w:eastAsia="Verdana"/>
        </w:rPr>
      </w:pPr>
      <w:bookmarkStart w:id="80" w:name="_Toc91081455"/>
      <w:r>
        <w:t xml:space="preserve">Tabella </w:t>
      </w:r>
      <w:r w:rsidR="004E6566">
        <w:fldChar w:fldCharType="begin"/>
      </w:r>
      <w:r>
        <w:instrText xml:space="preserve"> SEQ Tabella \* ARABIC </w:instrText>
      </w:r>
      <w:r w:rsidR="004E6566">
        <w:fldChar w:fldCharType="separate"/>
      </w:r>
      <w:r w:rsidR="00E53D6C">
        <w:rPr>
          <w:noProof/>
        </w:rPr>
        <w:t>29</w:t>
      </w:r>
      <w:r w:rsidR="004E6566">
        <w:fldChar w:fldCharType="end"/>
      </w:r>
      <w:r>
        <w:t>. Fasi del ciclo di vita di una nuova impresa</w:t>
      </w:r>
      <w:bookmarkEnd w:id="80"/>
    </w:p>
    <w:tbl>
      <w:tblPr>
        <w:tblStyle w:val="Grigliatabella"/>
        <w:tblW w:w="0" w:type="auto"/>
        <w:shd w:val="clear" w:color="auto" w:fill="D9D9D9" w:themeFill="background1" w:themeFillShade="D9"/>
        <w:tblLook w:val="04A0" w:firstRow="1" w:lastRow="0" w:firstColumn="1" w:lastColumn="0" w:noHBand="0" w:noVBand="1"/>
      </w:tblPr>
      <w:tblGrid>
        <w:gridCol w:w="9628"/>
      </w:tblGrid>
      <w:tr w:rsidR="003270F9" w:rsidRPr="00962500" w14:paraId="2415AE9B" w14:textId="77777777" w:rsidTr="00BF6D01">
        <w:tc>
          <w:tcPr>
            <w:tcW w:w="9629" w:type="dxa"/>
            <w:shd w:val="clear" w:color="auto" w:fill="669748" w:themeFill="accent2" w:themeFillShade="BF"/>
          </w:tcPr>
          <w:p w14:paraId="668C012B" w14:textId="77777777" w:rsidR="003270F9" w:rsidRPr="00E1065C" w:rsidRDefault="00BF6D01" w:rsidP="001C60C0">
            <w:pPr>
              <w:rPr>
                <w:rFonts w:eastAsia="Verdana"/>
                <w:b/>
                <w:bCs/>
                <w:i/>
                <w:iCs/>
                <w:color w:val="FFFFFF" w:themeColor="background1"/>
                <w:sz w:val="20"/>
              </w:rPr>
            </w:pPr>
            <w:proofErr w:type="spellStart"/>
            <w:r w:rsidRPr="00E1065C">
              <w:rPr>
                <w:rFonts w:eastAsia="Verdana"/>
                <w:b/>
                <w:bCs/>
                <w:i/>
                <w:iCs/>
                <w:color w:val="FFFFFF" w:themeColor="background1"/>
                <w:sz w:val="20"/>
              </w:rPr>
              <w:t>Pre-seed</w:t>
            </w:r>
            <w:proofErr w:type="spellEnd"/>
          </w:p>
        </w:tc>
      </w:tr>
      <w:tr w:rsidR="005D2800" w:rsidRPr="00962500" w14:paraId="78CCDA8E" w14:textId="77777777" w:rsidTr="00962500">
        <w:tc>
          <w:tcPr>
            <w:tcW w:w="9629" w:type="dxa"/>
            <w:shd w:val="clear" w:color="auto" w:fill="D9D9D9" w:themeFill="background1" w:themeFillShade="D9"/>
          </w:tcPr>
          <w:p w14:paraId="6ED83DEF" w14:textId="77777777" w:rsidR="005D2800" w:rsidRPr="00962500" w:rsidRDefault="005D2800" w:rsidP="001C60C0">
            <w:pPr>
              <w:rPr>
                <w:rFonts w:eastAsia="Verdana"/>
                <w:sz w:val="20"/>
              </w:rPr>
            </w:pPr>
            <w:r w:rsidRPr="00962500">
              <w:rPr>
                <w:rFonts w:eastAsia="Verdana"/>
                <w:sz w:val="20"/>
              </w:rPr>
              <w:t xml:space="preserve">La fase cosiddetta di </w:t>
            </w:r>
            <w:proofErr w:type="spellStart"/>
            <w:r w:rsidRPr="00962500">
              <w:rPr>
                <w:rFonts w:eastAsia="Verdana"/>
                <w:sz w:val="20"/>
              </w:rPr>
              <w:t>pre-seed</w:t>
            </w:r>
            <w:proofErr w:type="spellEnd"/>
            <w:r w:rsidRPr="00962500">
              <w:rPr>
                <w:rFonts w:eastAsia="Verdana"/>
                <w:sz w:val="20"/>
              </w:rPr>
              <w:t xml:space="preserve"> può essere considerata la prima all’interno del ciclo di vita di una startup. Più precisamente in questa fase l’impresa è ancora non costituita, di conseguenza risulta più appropriato parlare di team imprenditoriale informale. In questa fase le attività sono prevalentemente orientate alla valutazione della possibilità di trasformare una idea innovativa in un prodotto, servizio o modello di business innovativo che risponda delle effettive richieste da parte degli utenti/clienti. Si tratta quindi di una fase orientata alla sperimentazione e prima prototipazione per ottenere riscontri sulla fattibilità tecnica e economica dell’idea. In questa prima fase, a causa della assenza di solide evidenze sulla portata del potenziale mercato di riferimento e della presenza di significativa incertezza di carattere tecnologico, risulta particolarmente difficile per i team imprenditoriali ottenere finanziamenti da parte di investitori istituzionali. Spesso i finanziamenti provengono da familiari, amici e conoscenti.</w:t>
            </w:r>
          </w:p>
        </w:tc>
      </w:tr>
      <w:tr w:rsidR="003270F9" w:rsidRPr="00962500" w14:paraId="46122D3D" w14:textId="77777777" w:rsidTr="00BF6D01">
        <w:tc>
          <w:tcPr>
            <w:tcW w:w="9629" w:type="dxa"/>
            <w:shd w:val="clear" w:color="auto" w:fill="669748" w:themeFill="accent2" w:themeFillShade="BF"/>
          </w:tcPr>
          <w:p w14:paraId="65E9669B" w14:textId="77777777" w:rsidR="003270F9" w:rsidRPr="00E1065C" w:rsidRDefault="003270F9" w:rsidP="001C60C0">
            <w:pPr>
              <w:rPr>
                <w:rFonts w:eastAsia="Verdana"/>
                <w:b/>
                <w:bCs/>
                <w:i/>
                <w:iCs/>
                <w:color w:val="FFFFFF" w:themeColor="background1"/>
                <w:sz w:val="20"/>
              </w:rPr>
            </w:pPr>
            <w:proofErr w:type="spellStart"/>
            <w:r w:rsidRPr="00E1065C">
              <w:rPr>
                <w:rFonts w:eastAsia="Verdana"/>
                <w:b/>
                <w:bCs/>
                <w:i/>
                <w:iCs/>
                <w:color w:val="FFFFFF" w:themeColor="background1"/>
                <w:sz w:val="20"/>
              </w:rPr>
              <w:t>Seed</w:t>
            </w:r>
            <w:proofErr w:type="spellEnd"/>
          </w:p>
        </w:tc>
      </w:tr>
      <w:tr w:rsidR="005D2800" w:rsidRPr="00962500" w14:paraId="3656A287" w14:textId="77777777" w:rsidTr="00962500">
        <w:tc>
          <w:tcPr>
            <w:tcW w:w="9629" w:type="dxa"/>
            <w:shd w:val="clear" w:color="auto" w:fill="D9D9D9" w:themeFill="background1" w:themeFillShade="D9"/>
          </w:tcPr>
          <w:p w14:paraId="425E4A56" w14:textId="77777777" w:rsidR="005D2800" w:rsidRPr="00962500" w:rsidRDefault="005D2800" w:rsidP="00962500">
            <w:pPr>
              <w:rPr>
                <w:rFonts w:eastAsia="Verdana"/>
                <w:sz w:val="20"/>
              </w:rPr>
            </w:pPr>
            <w:r w:rsidRPr="00962500">
              <w:rPr>
                <w:rFonts w:eastAsia="Verdana"/>
                <w:sz w:val="20"/>
              </w:rPr>
              <w:t xml:space="preserve">La fase di </w:t>
            </w:r>
            <w:proofErr w:type="spellStart"/>
            <w:r w:rsidRPr="00962500">
              <w:rPr>
                <w:rFonts w:eastAsia="Verdana"/>
                <w:sz w:val="20"/>
              </w:rPr>
              <w:t>seed</w:t>
            </w:r>
            <w:proofErr w:type="spellEnd"/>
            <w:r w:rsidRPr="00962500">
              <w:rPr>
                <w:rFonts w:eastAsia="Verdana"/>
                <w:sz w:val="20"/>
              </w:rPr>
              <w:t xml:space="preserve">, dopo l’analisi e prima valutazione dell’idea innovativa e quindi della presenza di utenti/clienti per i quali l’innovazione creerebbe valore, è orientata alla valutazione dell’ampiezza e delle caratteristiche del mercato, anche emergente, di riferimento. Allo stesso tempo si inizia a sviluppare il modello di business e un possibile business plan per l’impresa. Un’altra attività di particolare rilievo in questa fase consiste nella realizzazione del Minimum </w:t>
            </w:r>
            <w:proofErr w:type="spellStart"/>
            <w:r w:rsidRPr="00962500">
              <w:rPr>
                <w:rFonts w:eastAsia="Verdana"/>
                <w:sz w:val="20"/>
              </w:rPr>
              <w:t>Viable</w:t>
            </w:r>
            <w:proofErr w:type="spellEnd"/>
            <w:r w:rsidRPr="00962500">
              <w:rPr>
                <w:rFonts w:eastAsia="Verdana"/>
                <w:sz w:val="20"/>
              </w:rPr>
              <w:t xml:space="preserve"> Product (MVP), cioè un prodotto o servizio dotato delle caratteristiche essenziali con il fine di ricevere i primi feedback utili per le successive evoluzioni. In questa fase si iniziano ad ottenere i primi finanziamenti significativi, utili per sviluppare e testare il prototipo. Questi finanziamenti provengono principalmente da Business </w:t>
            </w:r>
            <w:proofErr w:type="spellStart"/>
            <w:r w:rsidRPr="00962500">
              <w:rPr>
                <w:rFonts w:eastAsia="Verdana"/>
                <w:sz w:val="20"/>
              </w:rPr>
              <w:t>Angels</w:t>
            </w:r>
            <w:proofErr w:type="spellEnd"/>
            <w:r w:rsidRPr="00962500">
              <w:rPr>
                <w:rFonts w:eastAsia="Verdana"/>
                <w:sz w:val="20"/>
              </w:rPr>
              <w:t xml:space="preserve">, campagne di equity crowdfunding e operatori pubblici. Questi ultimi offrono diversi strumenti per quanto riguarda sia il capitale di rischio sia il capitale di debito. Raramente si ottengono finanziamenti da venture </w:t>
            </w:r>
            <w:proofErr w:type="spellStart"/>
            <w:r w:rsidRPr="00962500">
              <w:rPr>
                <w:rFonts w:eastAsia="Verdana"/>
                <w:sz w:val="20"/>
              </w:rPr>
              <w:t>capitalist</w:t>
            </w:r>
            <w:proofErr w:type="spellEnd"/>
            <w:r w:rsidRPr="00962500">
              <w:rPr>
                <w:rFonts w:eastAsia="Verdana"/>
                <w:sz w:val="20"/>
              </w:rPr>
              <w:t xml:space="preserve"> in questa fase. Inoltre, in questo stadio è possibile essere coinvolti in percorsi di incubazione, all’interno dei quali gli imprenditori possono ricevere formazione, consulenze e, in generale, supporto non finanziario per lo sviluppo del proprio progetto.</w:t>
            </w:r>
          </w:p>
        </w:tc>
      </w:tr>
      <w:tr w:rsidR="003270F9" w:rsidRPr="00962500" w14:paraId="5D9BFC55" w14:textId="77777777" w:rsidTr="00BF6D01">
        <w:tc>
          <w:tcPr>
            <w:tcW w:w="9629" w:type="dxa"/>
            <w:shd w:val="clear" w:color="auto" w:fill="669748" w:themeFill="accent2" w:themeFillShade="BF"/>
          </w:tcPr>
          <w:p w14:paraId="34A5F45A" w14:textId="77777777" w:rsidR="003270F9" w:rsidRPr="00E1065C" w:rsidRDefault="003270F9" w:rsidP="00962500">
            <w:pPr>
              <w:rPr>
                <w:rFonts w:eastAsia="Verdana"/>
                <w:b/>
                <w:bCs/>
                <w:i/>
                <w:iCs/>
                <w:color w:val="FFFFFF" w:themeColor="background1"/>
                <w:sz w:val="20"/>
              </w:rPr>
            </w:pPr>
            <w:r w:rsidRPr="00E1065C">
              <w:rPr>
                <w:rFonts w:eastAsia="Verdana"/>
                <w:b/>
                <w:bCs/>
                <w:i/>
                <w:iCs/>
                <w:color w:val="FFFFFF" w:themeColor="background1"/>
                <w:sz w:val="20"/>
                <w:lang w:val="en-US"/>
              </w:rPr>
              <w:t xml:space="preserve">Start-up </w:t>
            </w:r>
            <w:r w:rsidRPr="0013063F">
              <w:rPr>
                <w:rFonts w:eastAsia="Verdana"/>
                <w:i/>
                <w:iCs/>
                <w:color w:val="FFFFFF" w:themeColor="background1"/>
                <w:sz w:val="20"/>
                <w:lang w:val="en-US"/>
              </w:rPr>
              <w:t>(Early stage)</w:t>
            </w:r>
          </w:p>
        </w:tc>
      </w:tr>
      <w:tr w:rsidR="005D2800" w:rsidRPr="00962500" w14:paraId="6D1454D0" w14:textId="77777777" w:rsidTr="00962500">
        <w:tc>
          <w:tcPr>
            <w:tcW w:w="9629" w:type="dxa"/>
            <w:shd w:val="clear" w:color="auto" w:fill="D9D9D9" w:themeFill="background1" w:themeFillShade="D9"/>
          </w:tcPr>
          <w:p w14:paraId="442C2856" w14:textId="77777777" w:rsidR="005D2800" w:rsidRPr="00962500" w:rsidRDefault="005D2800" w:rsidP="00962500">
            <w:pPr>
              <w:rPr>
                <w:rFonts w:eastAsia="Verdana"/>
                <w:sz w:val="20"/>
              </w:rPr>
            </w:pPr>
            <w:r w:rsidRPr="00962500">
              <w:rPr>
                <w:rFonts w:eastAsia="Verdana"/>
                <w:sz w:val="20"/>
              </w:rPr>
              <w:t xml:space="preserve">La terza fase è quella di startup, definita in alcuni casi </w:t>
            </w:r>
            <w:proofErr w:type="spellStart"/>
            <w:r w:rsidRPr="00962500">
              <w:rPr>
                <w:rFonts w:eastAsia="Verdana"/>
                <w:sz w:val="20"/>
              </w:rPr>
              <w:t>early</w:t>
            </w:r>
            <w:proofErr w:type="spellEnd"/>
            <w:r w:rsidRPr="00962500">
              <w:rPr>
                <w:rFonts w:eastAsia="Verdana"/>
                <w:sz w:val="20"/>
              </w:rPr>
              <w:t xml:space="preserve"> stage. Generalmente è in questo momento che si procede con la costituzione della società. In termini di attività il team di imprenditori conclude lo sviluppo del prototipo ed è proprio in questa fase che viene avviato il processo di testing. È fondamentale per l’impresa ottenere in questo stadio i primi riscontri dal mercato in modo da individuare i potenziali sviluppi futuri. Inoltre, sempre in questa fase, la startup, con il supporto di eventuali advisor, procede con la ricerca di nuove figure da inserire all’interno del team, quali, ad esempio, figure di tipo manageriale o figure specializzate nel settore di riferimento. In generale, l’obiettivo è rappresentato dall’acquisizione delle competenze mancanti. Tipicamente, in questa fase la startup sostiene una serie di costi senza tuttavia avere entrate, oppure avendo delle entrate non ancora sufficienti per raggiungere la sostenibilità economica. Di conseguenza è necessario continuare nella ricerca di finanziamenti. Rispetto alla fase precedente il rischio d’impresa, seppure ancora alto, è diminuito ed entrano in gioco nuovi attori disposti a finanziare la startup. In questo stadio è più probabile il coinvolgimento di fondi di Venture Capital. Tali figure si occupano di finanziare imprese non del tutto sviluppate, ma con un grado di incertezza minore rispetto alle fasi di avviamento (</w:t>
            </w:r>
            <w:proofErr w:type="spellStart"/>
            <w:r w:rsidRPr="00962500">
              <w:rPr>
                <w:rFonts w:eastAsia="Verdana"/>
                <w:sz w:val="20"/>
              </w:rPr>
              <w:t>pre-seed</w:t>
            </w:r>
            <w:proofErr w:type="spellEnd"/>
            <w:r w:rsidRPr="00962500">
              <w:rPr>
                <w:rFonts w:eastAsia="Verdana"/>
                <w:sz w:val="20"/>
              </w:rPr>
              <w:t xml:space="preserve"> e </w:t>
            </w:r>
            <w:proofErr w:type="spellStart"/>
            <w:r w:rsidRPr="00962500">
              <w:rPr>
                <w:rFonts w:eastAsia="Verdana"/>
                <w:sz w:val="20"/>
              </w:rPr>
              <w:t>seed</w:t>
            </w:r>
            <w:proofErr w:type="spellEnd"/>
            <w:r w:rsidRPr="00962500">
              <w:rPr>
                <w:rFonts w:eastAsia="Verdana"/>
                <w:sz w:val="20"/>
              </w:rPr>
              <w:t xml:space="preserve">) e con un elevato potenziale di crescita. Inoltre sono ancora presenti i Business </w:t>
            </w:r>
            <w:proofErr w:type="spellStart"/>
            <w:r w:rsidRPr="00962500">
              <w:rPr>
                <w:rFonts w:eastAsia="Verdana"/>
                <w:sz w:val="20"/>
              </w:rPr>
              <w:t>Angels</w:t>
            </w:r>
            <w:proofErr w:type="spellEnd"/>
            <w:r w:rsidRPr="00962500">
              <w:rPr>
                <w:rFonts w:eastAsia="Verdana"/>
                <w:sz w:val="20"/>
              </w:rPr>
              <w:t>, gli strumenti pubblici (per capitale di rischio e di debito) e l’equity crowdfunding. A questi si aggiunge un’altra realtà, gli acceleratori. Le startup possono essere coinvolte in programmi di accelerazione all’interno dei quali viene supportata la crescita del modello di business attraverso investimenti e non solo.</w:t>
            </w:r>
          </w:p>
        </w:tc>
      </w:tr>
      <w:tr w:rsidR="003270F9" w:rsidRPr="00962500" w14:paraId="5B2D2866" w14:textId="77777777" w:rsidTr="00BF6D01">
        <w:tc>
          <w:tcPr>
            <w:tcW w:w="9629" w:type="dxa"/>
            <w:shd w:val="clear" w:color="auto" w:fill="669748" w:themeFill="accent2" w:themeFillShade="BF"/>
          </w:tcPr>
          <w:p w14:paraId="4006AD25" w14:textId="77777777" w:rsidR="003270F9" w:rsidRPr="00E1065C" w:rsidRDefault="003270F9" w:rsidP="00962500">
            <w:pPr>
              <w:rPr>
                <w:rFonts w:eastAsia="Verdana"/>
                <w:b/>
                <w:bCs/>
                <w:i/>
                <w:iCs/>
                <w:color w:val="FFFFFF" w:themeColor="background1"/>
                <w:sz w:val="20"/>
              </w:rPr>
            </w:pPr>
            <w:proofErr w:type="spellStart"/>
            <w:r w:rsidRPr="00E1065C">
              <w:rPr>
                <w:rFonts w:eastAsia="Verdana"/>
                <w:b/>
                <w:bCs/>
                <w:i/>
                <w:iCs/>
                <w:color w:val="FFFFFF" w:themeColor="background1"/>
                <w:sz w:val="20"/>
              </w:rPr>
              <w:t>Early</w:t>
            </w:r>
            <w:proofErr w:type="spellEnd"/>
            <w:r w:rsidRPr="00E1065C">
              <w:rPr>
                <w:rFonts w:eastAsia="Verdana"/>
                <w:b/>
                <w:bCs/>
                <w:i/>
                <w:iCs/>
                <w:color w:val="FFFFFF" w:themeColor="background1"/>
                <w:sz w:val="20"/>
              </w:rPr>
              <w:t xml:space="preserve"> </w:t>
            </w:r>
            <w:proofErr w:type="spellStart"/>
            <w:r w:rsidRPr="00E1065C">
              <w:rPr>
                <w:rFonts w:eastAsia="Verdana"/>
                <w:b/>
                <w:bCs/>
                <w:i/>
                <w:iCs/>
                <w:color w:val="FFFFFF" w:themeColor="background1"/>
                <w:sz w:val="20"/>
              </w:rPr>
              <w:t>growth</w:t>
            </w:r>
            <w:proofErr w:type="spellEnd"/>
            <w:r w:rsidRPr="00E1065C">
              <w:rPr>
                <w:rFonts w:eastAsia="Verdana"/>
                <w:b/>
                <w:bCs/>
                <w:i/>
                <w:iCs/>
                <w:color w:val="FFFFFF" w:themeColor="background1"/>
                <w:sz w:val="20"/>
              </w:rPr>
              <w:t xml:space="preserve"> </w:t>
            </w:r>
            <w:r w:rsidRPr="0013063F">
              <w:rPr>
                <w:rFonts w:eastAsia="Verdana"/>
                <w:i/>
                <w:iCs/>
                <w:color w:val="FFFFFF" w:themeColor="background1"/>
                <w:sz w:val="20"/>
              </w:rPr>
              <w:t>(Development)</w:t>
            </w:r>
          </w:p>
        </w:tc>
      </w:tr>
      <w:tr w:rsidR="005D2800" w:rsidRPr="00962500" w14:paraId="6ABCD354" w14:textId="77777777" w:rsidTr="00962500">
        <w:tc>
          <w:tcPr>
            <w:tcW w:w="9629" w:type="dxa"/>
            <w:shd w:val="clear" w:color="auto" w:fill="D9D9D9" w:themeFill="background1" w:themeFillShade="D9"/>
          </w:tcPr>
          <w:p w14:paraId="6E73C797" w14:textId="77777777" w:rsidR="005D2800" w:rsidRPr="00962500" w:rsidRDefault="005D2800" w:rsidP="00962500">
            <w:pPr>
              <w:rPr>
                <w:rFonts w:eastAsia="Verdana"/>
                <w:sz w:val="20"/>
              </w:rPr>
            </w:pPr>
            <w:r w:rsidRPr="00962500">
              <w:rPr>
                <w:rFonts w:eastAsia="Verdana"/>
                <w:sz w:val="20"/>
              </w:rPr>
              <w:t xml:space="preserve">La quarta fase è quella di sviluppo, definita anche di </w:t>
            </w:r>
            <w:proofErr w:type="spellStart"/>
            <w:r w:rsidRPr="00962500">
              <w:rPr>
                <w:rFonts w:eastAsia="Verdana"/>
                <w:sz w:val="20"/>
              </w:rPr>
              <w:t>early</w:t>
            </w:r>
            <w:proofErr w:type="spellEnd"/>
            <w:r w:rsidRPr="00962500">
              <w:rPr>
                <w:rFonts w:eastAsia="Verdana"/>
                <w:sz w:val="20"/>
              </w:rPr>
              <w:t xml:space="preserve"> </w:t>
            </w:r>
            <w:proofErr w:type="spellStart"/>
            <w:r w:rsidRPr="00962500">
              <w:rPr>
                <w:rFonts w:eastAsia="Verdana"/>
                <w:sz w:val="20"/>
              </w:rPr>
              <w:t>growth</w:t>
            </w:r>
            <w:proofErr w:type="spellEnd"/>
            <w:r w:rsidRPr="00962500">
              <w:rPr>
                <w:rFonts w:eastAsia="Verdana"/>
                <w:sz w:val="20"/>
              </w:rPr>
              <w:t xml:space="preserve">. Quando l’idea e il mercato sono stati validati e il MVP (minimum </w:t>
            </w:r>
            <w:proofErr w:type="spellStart"/>
            <w:r w:rsidRPr="00962500">
              <w:rPr>
                <w:rFonts w:eastAsia="Verdana"/>
                <w:sz w:val="20"/>
              </w:rPr>
              <w:t>viable</w:t>
            </w:r>
            <w:proofErr w:type="spellEnd"/>
            <w:r w:rsidRPr="00962500">
              <w:rPr>
                <w:rFonts w:eastAsia="Verdana"/>
                <w:sz w:val="20"/>
              </w:rPr>
              <w:t xml:space="preserve"> product) riscontra l’interesse del mercato, è necessario lavorare per rafforzare il modello di business cercando di raggiungere una condizione che permetta lo scale-up delle attività dell’impresa. In questa fase la startup ha come obiettivo l’espansione della base clienti in un tempo ridotto. Le problematiche principali riguardano l’aspetto operativo, legato per esempio all’avvio della produzione, e l’aspetto relativo al marketing, fondamentale per attrarre un numero sempre maggiore di clienti. In questa fase il fabbisogno finanziario dell’impresa è orientato a sostenere la crescita della domanda. Le startup ottengono finanziamenti attraverso i cosiddetti round di investimento da parte di venture </w:t>
            </w:r>
            <w:proofErr w:type="spellStart"/>
            <w:r w:rsidRPr="00962500">
              <w:rPr>
                <w:rFonts w:eastAsia="Verdana"/>
                <w:sz w:val="20"/>
              </w:rPr>
              <w:t>capitalist</w:t>
            </w:r>
            <w:proofErr w:type="spellEnd"/>
            <w:r w:rsidRPr="00962500">
              <w:rPr>
                <w:rFonts w:eastAsia="Verdana"/>
                <w:sz w:val="20"/>
              </w:rPr>
              <w:t xml:space="preserve"> ed eventualmente da parte dei fondi di private equity. Con l’avanzare dei round di investimento, i finanziamenti aumentano con l’obiettivo di far crescere ulteriormente l’impresa.</w:t>
            </w:r>
          </w:p>
        </w:tc>
      </w:tr>
      <w:tr w:rsidR="003270F9" w:rsidRPr="00962500" w14:paraId="61E0579A" w14:textId="77777777" w:rsidTr="00BF6D01">
        <w:tc>
          <w:tcPr>
            <w:tcW w:w="9629" w:type="dxa"/>
            <w:shd w:val="clear" w:color="auto" w:fill="669748" w:themeFill="accent2" w:themeFillShade="BF"/>
          </w:tcPr>
          <w:p w14:paraId="690437DF" w14:textId="77777777" w:rsidR="003270F9" w:rsidRPr="00E1065C" w:rsidRDefault="003270F9" w:rsidP="005D2800">
            <w:pPr>
              <w:rPr>
                <w:rFonts w:eastAsia="Verdana"/>
                <w:b/>
                <w:bCs/>
                <w:i/>
                <w:iCs/>
                <w:color w:val="FFFFFF" w:themeColor="background1"/>
                <w:sz w:val="20"/>
              </w:rPr>
            </w:pPr>
            <w:proofErr w:type="spellStart"/>
            <w:r w:rsidRPr="00E1065C">
              <w:rPr>
                <w:rFonts w:eastAsia="Verdana"/>
                <w:b/>
                <w:bCs/>
                <w:i/>
                <w:iCs/>
                <w:color w:val="FFFFFF" w:themeColor="background1"/>
                <w:sz w:val="20"/>
              </w:rPr>
              <w:t>Growth</w:t>
            </w:r>
            <w:proofErr w:type="spellEnd"/>
            <w:r w:rsidRPr="00E1065C">
              <w:rPr>
                <w:rFonts w:eastAsia="Verdana"/>
                <w:b/>
                <w:bCs/>
                <w:i/>
                <w:iCs/>
                <w:color w:val="FFFFFF" w:themeColor="background1"/>
                <w:sz w:val="20"/>
              </w:rPr>
              <w:t xml:space="preserve"> </w:t>
            </w:r>
            <w:r w:rsidRPr="0013063F">
              <w:rPr>
                <w:rFonts w:eastAsia="Verdana"/>
                <w:i/>
                <w:iCs/>
                <w:color w:val="FFFFFF" w:themeColor="background1"/>
                <w:sz w:val="20"/>
              </w:rPr>
              <w:t>(Expansion)</w:t>
            </w:r>
          </w:p>
        </w:tc>
      </w:tr>
      <w:tr w:rsidR="005D2800" w:rsidRPr="00962500" w14:paraId="5F9E1B48" w14:textId="77777777" w:rsidTr="00962500">
        <w:tc>
          <w:tcPr>
            <w:tcW w:w="9629" w:type="dxa"/>
            <w:shd w:val="clear" w:color="auto" w:fill="D9D9D9" w:themeFill="background1" w:themeFillShade="D9"/>
          </w:tcPr>
          <w:p w14:paraId="768D96DE" w14:textId="77777777" w:rsidR="005D2800" w:rsidRPr="00962500" w:rsidRDefault="005D2800" w:rsidP="005D2800">
            <w:pPr>
              <w:rPr>
                <w:rFonts w:eastAsia="Verdana"/>
                <w:sz w:val="20"/>
              </w:rPr>
            </w:pPr>
            <w:r w:rsidRPr="00962500">
              <w:rPr>
                <w:rFonts w:eastAsia="Verdana"/>
                <w:sz w:val="20"/>
              </w:rPr>
              <w:t xml:space="preserve">La fase successiva è rappresentata dall’espansione, definita anche fase di </w:t>
            </w:r>
            <w:proofErr w:type="spellStart"/>
            <w:r w:rsidRPr="00962500">
              <w:rPr>
                <w:rFonts w:eastAsia="Verdana"/>
                <w:sz w:val="20"/>
              </w:rPr>
              <w:t>growth</w:t>
            </w:r>
            <w:proofErr w:type="spellEnd"/>
            <w:r w:rsidRPr="00962500">
              <w:rPr>
                <w:rFonts w:eastAsia="Verdana"/>
                <w:sz w:val="20"/>
              </w:rPr>
              <w:t>. In questo stadio l’impresa affronta una crescita che può essere definita esponenziale e la rischiosità del progetto è ulteriormente ridotta rispetto alla fase precedente. Le sfide principali riguardano l’ingresso in nuovi mercati, l’ampliamento dei canali di vendita ed eventualmente il lancio di nuovi prodotti/servizi.</w:t>
            </w:r>
          </w:p>
          <w:p w14:paraId="30E1C061" w14:textId="77777777" w:rsidR="005D2800" w:rsidRPr="00962500" w:rsidRDefault="005D2800" w:rsidP="001C60C0">
            <w:pPr>
              <w:rPr>
                <w:rFonts w:eastAsia="Verdana"/>
                <w:sz w:val="20"/>
              </w:rPr>
            </w:pPr>
            <w:r w:rsidRPr="00962500">
              <w:rPr>
                <w:rFonts w:eastAsia="Verdana"/>
                <w:sz w:val="20"/>
              </w:rPr>
              <w:t>In questa fase la startup continua ad ottenere fondi attraverso i round di investimento con l’obiettivo di rafforzare la propria posizione all’interno del mercato e cercando di affrontare la competizione, sempre crescente, con le altre imprese.</w:t>
            </w:r>
          </w:p>
        </w:tc>
      </w:tr>
      <w:tr w:rsidR="003270F9" w:rsidRPr="00962500" w14:paraId="6C34D6F2" w14:textId="77777777" w:rsidTr="00BF6D01">
        <w:tc>
          <w:tcPr>
            <w:tcW w:w="9629" w:type="dxa"/>
            <w:shd w:val="clear" w:color="auto" w:fill="669748" w:themeFill="accent2" w:themeFillShade="BF"/>
          </w:tcPr>
          <w:p w14:paraId="4F899563" w14:textId="77777777" w:rsidR="003270F9" w:rsidRPr="00E1065C" w:rsidRDefault="003270F9" w:rsidP="00962500">
            <w:pPr>
              <w:rPr>
                <w:rFonts w:eastAsia="Verdana"/>
                <w:b/>
                <w:bCs/>
                <w:i/>
                <w:iCs/>
                <w:color w:val="FFFFFF" w:themeColor="background1"/>
                <w:sz w:val="20"/>
              </w:rPr>
            </w:pPr>
            <w:r w:rsidRPr="00E1065C">
              <w:rPr>
                <w:rFonts w:eastAsia="Verdana"/>
                <w:b/>
                <w:bCs/>
                <w:i/>
                <w:iCs/>
                <w:color w:val="FFFFFF" w:themeColor="background1"/>
                <w:sz w:val="20"/>
              </w:rPr>
              <w:t xml:space="preserve">Exit </w:t>
            </w:r>
            <w:r w:rsidRPr="0013063F">
              <w:rPr>
                <w:rFonts w:eastAsia="Verdana"/>
                <w:i/>
                <w:iCs/>
                <w:color w:val="FFFFFF" w:themeColor="background1"/>
                <w:sz w:val="20"/>
              </w:rPr>
              <w:t>(</w:t>
            </w:r>
            <w:proofErr w:type="spellStart"/>
            <w:r w:rsidRPr="0013063F">
              <w:rPr>
                <w:rFonts w:eastAsia="Verdana"/>
                <w:i/>
                <w:iCs/>
                <w:color w:val="FFFFFF" w:themeColor="background1"/>
                <w:sz w:val="20"/>
              </w:rPr>
              <w:t>Maturity</w:t>
            </w:r>
            <w:proofErr w:type="spellEnd"/>
            <w:r w:rsidRPr="0013063F">
              <w:rPr>
                <w:rFonts w:eastAsia="Verdana"/>
                <w:i/>
                <w:iCs/>
                <w:color w:val="FFFFFF" w:themeColor="background1"/>
                <w:sz w:val="20"/>
              </w:rPr>
              <w:t>)</w:t>
            </w:r>
          </w:p>
        </w:tc>
      </w:tr>
      <w:tr w:rsidR="005D2800" w:rsidRPr="00962500" w14:paraId="6BB47FA6" w14:textId="77777777" w:rsidTr="00962500">
        <w:tc>
          <w:tcPr>
            <w:tcW w:w="9629" w:type="dxa"/>
            <w:shd w:val="clear" w:color="auto" w:fill="D9D9D9" w:themeFill="background1" w:themeFillShade="D9"/>
          </w:tcPr>
          <w:p w14:paraId="4226F5E7" w14:textId="77777777" w:rsidR="005D2800" w:rsidRPr="00962500" w:rsidRDefault="005D2800" w:rsidP="00962500">
            <w:pPr>
              <w:rPr>
                <w:rFonts w:eastAsia="Verdana"/>
                <w:sz w:val="20"/>
              </w:rPr>
            </w:pPr>
            <w:r w:rsidRPr="00962500">
              <w:rPr>
                <w:rFonts w:eastAsia="Verdana"/>
                <w:sz w:val="20"/>
              </w:rPr>
              <w:t>La fase di maturità rappresenta lo stadio finale di una startup ed è il momento in cui viene messa in atto la cosiddetta exit. In questo stadio l’organizzazione dell’impresa è consolidata e si presenta una posizione di mercato affermata.</w:t>
            </w:r>
            <w:r w:rsidR="00962500" w:rsidRPr="00962500">
              <w:rPr>
                <w:rFonts w:eastAsia="Verdana"/>
                <w:sz w:val="20"/>
              </w:rPr>
              <w:t xml:space="preserve"> </w:t>
            </w:r>
            <w:r w:rsidRPr="00962500">
              <w:rPr>
                <w:rFonts w:eastAsia="Verdana"/>
                <w:sz w:val="20"/>
              </w:rPr>
              <w:t>Generalmente in questa ultima fase si procede con la cessione da parte del team fondatore e degli investitori delle quote societarie. L’uscita di queste figure dalla compagine sociale può avvenire in diversi modi. Le alternative principali prevedono la quotazione sui mercati finanziari attraverso una IPO (</w:t>
            </w:r>
            <w:proofErr w:type="spellStart"/>
            <w:r w:rsidRPr="00962500">
              <w:rPr>
                <w:rFonts w:eastAsia="Verdana"/>
                <w:sz w:val="20"/>
              </w:rPr>
              <w:t>Initial</w:t>
            </w:r>
            <w:proofErr w:type="spellEnd"/>
            <w:r w:rsidRPr="00962500">
              <w:rPr>
                <w:rFonts w:eastAsia="Verdana"/>
                <w:sz w:val="20"/>
              </w:rPr>
              <w:t xml:space="preserve"> Public </w:t>
            </w:r>
            <w:proofErr w:type="spellStart"/>
            <w:r w:rsidRPr="00962500">
              <w:rPr>
                <w:rFonts w:eastAsia="Verdana"/>
                <w:sz w:val="20"/>
              </w:rPr>
              <w:t>Offering</w:t>
            </w:r>
            <w:proofErr w:type="spellEnd"/>
            <w:r w:rsidRPr="00962500">
              <w:rPr>
                <w:rFonts w:eastAsia="Verdana"/>
                <w:sz w:val="20"/>
              </w:rPr>
              <w:t>) oppure l’acquisizione da parte di un’altra impresa.</w:t>
            </w:r>
          </w:p>
        </w:tc>
      </w:tr>
    </w:tbl>
    <w:p w14:paraId="0691F041" w14:textId="77777777" w:rsidR="005D2800" w:rsidRDefault="005D2800" w:rsidP="001C60C0">
      <w:pPr>
        <w:rPr>
          <w:rFonts w:eastAsia="Verdana"/>
        </w:rPr>
      </w:pPr>
    </w:p>
    <w:p w14:paraId="27BAA549" w14:textId="77777777" w:rsidR="001C60C0" w:rsidRDefault="005D2800" w:rsidP="00BF3994">
      <w:pPr>
        <w:rPr>
          <w:rFonts w:eastAsia="Verdana"/>
        </w:rPr>
      </w:pPr>
      <w:r w:rsidRPr="00327AAC">
        <w:rPr>
          <w:rFonts w:eastAsia="Verdana"/>
        </w:rPr>
        <w:t>È i</w:t>
      </w:r>
      <w:r w:rsidR="001C60C0" w:rsidRPr="00327AAC">
        <w:rPr>
          <w:rFonts w:eastAsia="Verdana"/>
        </w:rPr>
        <w:t xml:space="preserve">mportante ribadire come </w:t>
      </w:r>
      <w:r w:rsidR="00BB6934" w:rsidRPr="00327AAC">
        <w:rPr>
          <w:rFonts w:eastAsia="Verdana"/>
        </w:rPr>
        <w:t xml:space="preserve">questa </w:t>
      </w:r>
      <w:r w:rsidR="001C60C0" w:rsidRPr="00327AAC">
        <w:rPr>
          <w:rFonts w:eastAsia="Verdana"/>
        </w:rPr>
        <w:t>classificazione per stadi di sviluppo delle startup sia per sua natura caratterizzata</w:t>
      </w:r>
      <w:r w:rsidR="001C60C0">
        <w:rPr>
          <w:rFonts w:eastAsia="Verdana"/>
        </w:rPr>
        <w:t xml:space="preserve"> da confini labili e fortemente dipendenti dal settore tecnologico di riferimento. Indipendentemente dalle specifiche definizioni, è importante sottolineare come le prime fasi di sviluppo (qui indicate come </w:t>
      </w:r>
      <w:proofErr w:type="spellStart"/>
      <w:r w:rsidR="001C60C0">
        <w:rPr>
          <w:rFonts w:eastAsia="Verdana"/>
        </w:rPr>
        <w:t>pre-seed</w:t>
      </w:r>
      <w:proofErr w:type="spellEnd"/>
      <w:r w:rsidR="001C60C0">
        <w:rPr>
          <w:rFonts w:eastAsia="Verdana"/>
        </w:rPr>
        <w:t xml:space="preserve"> e </w:t>
      </w:r>
      <w:proofErr w:type="spellStart"/>
      <w:r w:rsidR="001C60C0">
        <w:rPr>
          <w:rFonts w:eastAsia="Verdana"/>
        </w:rPr>
        <w:t>seed</w:t>
      </w:r>
      <w:proofErr w:type="spellEnd"/>
      <w:r w:rsidR="001C60C0">
        <w:rPr>
          <w:rFonts w:eastAsia="Verdana"/>
        </w:rPr>
        <w:t xml:space="preserve">) risentano tipicamente dei maggior vincoli finanziari.  </w:t>
      </w:r>
    </w:p>
    <w:p w14:paraId="3E63B9C9" w14:textId="77777777" w:rsidR="001C60C0" w:rsidRDefault="001C60C0" w:rsidP="001C60C0">
      <w:pPr>
        <w:rPr>
          <w:rFonts w:ascii="Verdana" w:eastAsia="Verdana" w:hAnsi="Verdana" w:cs="Verdana"/>
          <w:i/>
        </w:rPr>
      </w:pPr>
    </w:p>
    <w:p w14:paraId="12DB2CD0" w14:textId="77777777" w:rsidR="001C60C0" w:rsidRDefault="001C60C0" w:rsidP="00BF3994">
      <w:pPr>
        <w:rPr>
          <w:rFonts w:eastAsia="Verdana"/>
        </w:rPr>
      </w:pPr>
    </w:p>
    <w:p w14:paraId="7D52E467" w14:textId="77777777" w:rsidR="001C60C0" w:rsidRDefault="001C60C0" w:rsidP="00BB6934">
      <w:pPr>
        <w:pStyle w:val="Titolo3"/>
        <w:rPr>
          <w:rFonts w:eastAsia="Verdana"/>
        </w:rPr>
      </w:pPr>
      <w:bookmarkStart w:id="81" w:name="_Toc77848848"/>
      <w:bookmarkStart w:id="82" w:name="_Toc91081409"/>
      <w:r>
        <w:rPr>
          <w:rFonts w:eastAsia="Verdana"/>
        </w:rPr>
        <w:t>Gli attori del mercato dei capitali</w:t>
      </w:r>
      <w:bookmarkEnd w:id="81"/>
      <w:bookmarkEnd w:id="82"/>
    </w:p>
    <w:p w14:paraId="70113023" w14:textId="77777777" w:rsidR="00877371" w:rsidRDefault="00877371" w:rsidP="001C60C0">
      <w:pPr>
        <w:rPr>
          <w:rFonts w:eastAsia="Verdana"/>
        </w:rPr>
      </w:pPr>
    </w:p>
    <w:p w14:paraId="5E709E22" w14:textId="77777777" w:rsidR="00DD1A99" w:rsidRDefault="00DD1A99" w:rsidP="00501111">
      <w:r w:rsidRPr="00DD1A99">
        <w:t xml:space="preserve">Come descritto in precedenza sono diversi gli attori che si occupano di supportare e finanziare le startup durante il loro ciclo di vita. Le necessità e i bisogni delle startup in ogni singola fase sono diversi e di conseguenza il supporto, sia finanziario che non, proviene da realtà diverse tra loro. </w:t>
      </w:r>
      <w:r w:rsidR="00501111">
        <w:t>Nella f</w:t>
      </w:r>
      <w:r w:rsidRPr="00DD1A99">
        <w:t>igura</w:t>
      </w:r>
      <w:r w:rsidR="000B2CE0">
        <w:t xml:space="preserve"> seguente</w:t>
      </w:r>
      <w:r w:rsidRPr="00DD1A99">
        <w:t xml:space="preserve"> è possibile osservare gli operatori privati in relazione alle fasi del ciclo di vita delle startup. Oltre i business </w:t>
      </w:r>
      <w:proofErr w:type="spellStart"/>
      <w:r w:rsidRPr="00DD1A99">
        <w:t>angels</w:t>
      </w:r>
      <w:proofErr w:type="spellEnd"/>
      <w:r w:rsidRPr="00DD1A99">
        <w:t xml:space="preserve"> e i venture </w:t>
      </w:r>
      <w:proofErr w:type="spellStart"/>
      <w:r w:rsidRPr="00DD1A99">
        <w:t>capitalist</w:t>
      </w:r>
      <w:proofErr w:type="spellEnd"/>
      <w:r w:rsidRPr="00DD1A99">
        <w:t xml:space="preserve">, sono presenti altre realtà come gli incubatori e gli acceleratori che tra i loro obiettivi hanno, solamente in parte, quello di supportare finanziariamente le startup. Inoltre sempre in figura è possibile notare la presenza dei family office e delle startup </w:t>
      </w:r>
      <w:proofErr w:type="spellStart"/>
      <w:r w:rsidRPr="00DD1A99">
        <w:t>factory</w:t>
      </w:r>
      <w:proofErr w:type="spellEnd"/>
      <w:r w:rsidRPr="00DD1A99">
        <w:t>, nuovi operatori inseritisi recentemente nel mercato dei capitali destinati alle startup.</w:t>
      </w:r>
    </w:p>
    <w:p w14:paraId="216F5C17" w14:textId="77777777" w:rsidR="00501111" w:rsidRDefault="00501111" w:rsidP="00501111"/>
    <w:p w14:paraId="482C9ABF" w14:textId="77777777" w:rsidR="00E15D1C" w:rsidRDefault="00E15D1C" w:rsidP="00E15D1C">
      <w:pPr>
        <w:pStyle w:val="Didascalia"/>
      </w:pPr>
      <w:bookmarkStart w:id="83" w:name="_Toc91081470"/>
      <w:r>
        <w:t xml:space="preserve">Figura </w:t>
      </w:r>
      <w:r w:rsidR="004E6566">
        <w:fldChar w:fldCharType="begin"/>
      </w:r>
      <w:r>
        <w:instrText xml:space="preserve"> SEQ Figura \* ARABIC </w:instrText>
      </w:r>
      <w:r w:rsidR="004E6566">
        <w:fldChar w:fldCharType="separate"/>
      </w:r>
      <w:r w:rsidR="007251AB">
        <w:rPr>
          <w:noProof/>
        </w:rPr>
        <w:t>1</w:t>
      </w:r>
      <w:r w:rsidR="004E6566">
        <w:fldChar w:fldCharType="end"/>
      </w:r>
      <w:r>
        <w:t xml:space="preserve">. </w:t>
      </w:r>
      <w:r w:rsidRPr="00F11122">
        <w:t>Operatori e strumenti del mercato dei capitali privati in relazione alle fasi del ciclo di vita delle startup</w:t>
      </w:r>
      <w:bookmarkEnd w:id="83"/>
    </w:p>
    <w:p w14:paraId="72397AA9" w14:textId="77777777" w:rsidR="00DD1A99" w:rsidRPr="00DD1A99" w:rsidRDefault="00DD1A99" w:rsidP="00DC65CE">
      <w:r w:rsidRPr="00DD1A99">
        <w:rPr>
          <w:noProof/>
          <w:lang w:eastAsia="it-IT"/>
        </w:rPr>
        <w:drawing>
          <wp:inline distT="0" distB="0" distL="0" distR="0" wp14:anchorId="11587A4F" wp14:editId="0A58D968">
            <wp:extent cx="6000750" cy="2876550"/>
            <wp:effectExtent l="0" t="0" r="0" b="0"/>
            <wp:docPr id="1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3"/>
                    <a:srcRect/>
                    <a:stretch>
                      <a:fillRect/>
                    </a:stretch>
                  </pic:blipFill>
                  <pic:spPr>
                    <a:xfrm>
                      <a:off x="0" y="0"/>
                      <a:ext cx="6001113" cy="2876724"/>
                    </a:xfrm>
                    <a:prstGeom prst="rect">
                      <a:avLst/>
                    </a:prstGeom>
                    <a:ln/>
                  </pic:spPr>
                </pic:pic>
              </a:graphicData>
            </a:graphic>
          </wp:inline>
        </w:drawing>
      </w:r>
    </w:p>
    <w:p w14:paraId="2223871A" w14:textId="77777777" w:rsidR="00DD1A99" w:rsidRDefault="00DD1A99" w:rsidP="00E1065C">
      <w:pPr>
        <w:pStyle w:val="Fonte"/>
      </w:pPr>
      <w:r w:rsidRPr="00E1065C">
        <w:t>Fonte: Ricostruzione a cura degli autori</w:t>
      </w:r>
    </w:p>
    <w:p w14:paraId="4802C4E4" w14:textId="77777777" w:rsidR="00E15D1C" w:rsidRPr="00DD1A99" w:rsidRDefault="00E15D1C" w:rsidP="00E15D1C"/>
    <w:p w14:paraId="2D482D81" w14:textId="77777777" w:rsidR="000B2CE0" w:rsidRDefault="000B2CE0" w:rsidP="00E15D1C"/>
    <w:p w14:paraId="45067D10" w14:textId="77777777" w:rsidR="00DD1A99" w:rsidRDefault="00DD1A99" w:rsidP="00E15D1C">
      <w:r w:rsidRPr="00DD1A99">
        <w:t xml:space="preserve">Di seguito vengono presentati i diversi operatori privati, descrivendo la loro offerta, il ruolo che ricoprono all’interno dell’ecosistema delle startup e alcune caratteristiche utili per comprenderne il posizionamento nel mercato dei capitali. </w:t>
      </w:r>
    </w:p>
    <w:p w14:paraId="24F8A86E" w14:textId="77777777" w:rsidR="00501111" w:rsidRPr="00DD1A99" w:rsidRDefault="00501111" w:rsidP="00501111"/>
    <w:p w14:paraId="726240BA" w14:textId="77777777" w:rsidR="00DD1A99" w:rsidRPr="00501111" w:rsidRDefault="00DD1A99" w:rsidP="00501111">
      <w:pPr>
        <w:rPr>
          <w:b/>
          <w:bCs/>
          <w:i/>
          <w:iCs/>
        </w:rPr>
      </w:pPr>
      <w:r w:rsidRPr="00501111">
        <w:rPr>
          <w:b/>
          <w:bCs/>
          <w:i/>
          <w:iCs/>
        </w:rPr>
        <w:t>Business Angel</w:t>
      </w:r>
    </w:p>
    <w:p w14:paraId="3E5A0553" w14:textId="77777777" w:rsidR="00DD1A99" w:rsidRPr="00DD1A99" w:rsidRDefault="00DD1A99" w:rsidP="00501111">
      <w:r w:rsidRPr="00DD1A99">
        <w:t xml:space="preserve">Il Business Angel è un investitore privato, in genere è un individuo che investe parte del proprio patrimonio personale apportando capitale di rischio a piccole imprese in fase di avviamento e di primo sviluppo (IBAN, 2015). I Business </w:t>
      </w:r>
      <w:proofErr w:type="spellStart"/>
      <w:r w:rsidRPr="00DD1A99">
        <w:t>Angels</w:t>
      </w:r>
      <w:proofErr w:type="spellEnd"/>
      <w:r w:rsidRPr="00DD1A99">
        <w:t xml:space="preserve"> possono essere imprenditori, liberi professionisti e manager in grado di offrire alla startup, oltre ai capitali, competenze strategiche e gestionali, know-how e una diffusa rete di relazioni con il mondo economico-finanziario (IBAN, 2015). Da quest’ultimo punto di vista la reputazione del Business Angel permette di accrescere l’immagine della startup nei confronti del mercato e delle banche.</w:t>
      </w:r>
    </w:p>
    <w:p w14:paraId="1E8B0E68" w14:textId="77777777" w:rsidR="00DD1A99" w:rsidRPr="00DD1A99" w:rsidRDefault="00DD1A99" w:rsidP="00501111">
      <w:r w:rsidRPr="00DD1A99">
        <w:t xml:space="preserve">Grazie al suo background e all’approfondita conoscenza del settore in cui opera la startup, il Business Angel partecipa direttamente alla gestione dell’impresa. Nello specifico il suo ruolo prevede il supporto alla startup dal punto di vista strategico e manageriale, assistendo il team di imprenditori nella definizione del piano strategico e di marketing, e soprattutto nella ricerca di figure da inserire nel team imprenditoriale (manager, professionisti con competenze nel settore, etc.), aspetto fondamentale per una startup nelle prime fasi del ciclo di vita. </w:t>
      </w:r>
    </w:p>
    <w:p w14:paraId="57B469AC" w14:textId="77777777" w:rsidR="00DD1A99" w:rsidRPr="00DD1A99" w:rsidRDefault="00DD1A99" w:rsidP="00501111">
      <w:r w:rsidRPr="00DD1A99">
        <w:t xml:space="preserve">Come anticipato, la figura del Business Angel viene coinvolta nelle prime fasi del ciclo di vita, in particolare nella fase di avvio, denominata anche fase di </w:t>
      </w:r>
      <w:proofErr w:type="spellStart"/>
      <w:r w:rsidRPr="00DD1A99">
        <w:t>seed</w:t>
      </w:r>
      <w:proofErr w:type="spellEnd"/>
      <w:r w:rsidRPr="00DD1A99">
        <w:t>, e nella fase successiva di primo sviluppo, definita fase di startup. In questi primi periodi di vita, l’esperienza pregressa del Business Angel risulta un valore aggiunto per la definizione del modello di business e per la successiva pianificazione.</w:t>
      </w:r>
    </w:p>
    <w:p w14:paraId="3F46C6AC" w14:textId="77777777" w:rsidR="00DD1A99" w:rsidRPr="00DD1A99" w:rsidRDefault="00DD1A99" w:rsidP="00501111">
      <w:r w:rsidRPr="00DD1A99">
        <w:t xml:space="preserve">I Business </w:t>
      </w:r>
      <w:proofErr w:type="spellStart"/>
      <w:r w:rsidRPr="00DD1A99">
        <w:t>Angels</w:t>
      </w:r>
      <w:proofErr w:type="spellEnd"/>
      <w:r w:rsidRPr="00DD1A99">
        <w:t xml:space="preserve"> possono investire individualmente oppure attraverso un network. Tra i principali network italiani di Business </w:t>
      </w:r>
      <w:proofErr w:type="spellStart"/>
      <w:r w:rsidRPr="00DD1A99">
        <w:t>Angels</w:t>
      </w:r>
      <w:proofErr w:type="spellEnd"/>
      <w:r w:rsidRPr="00DD1A99">
        <w:t xml:space="preserve"> è possibile trovare:</w:t>
      </w:r>
    </w:p>
    <w:p w14:paraId="19409080" w14:textId="77777777" w:rsidR="00DD1A99" w:rsidRPr="00DD1A99" w:rsidRDefault="00DD1A99" w:rsidP="0038676D">
      <w:pPr>
        <w:pStyle w:val="Paragrafoelenco"/>
        <w:numPr>
          <w:ilvl w:val="0"/>
          <w:numId w:val="28"/>
        </w:numPr>
      </w:pPr>
      <w:proofErr w:type="spellStart"/>
      <w:r w:rsidRPr="00501111">
        <w:rPr>
          <w:b/>
          <w:i/>
        </w:rPr>
        <w:t>Italian</w:t>
      </w:r>
      <w:proofErr w:type="spellEnd"/>
      <w:r w:rsidRPr="00501111">
        <w:rPr>
          <w:b/>
          <w:i/>
        </w:rPr>
        <w:t xml:space="preserve"> </w:t>
      </w:r>
      <w:proofErr w:type="spellStart"/>
      <w:r w:rsidRPr="00501111">
        <w:rPr>
          <w:b/>
          <w:i/>
        </w:rPr>
        <w:t>Angels</w:t>
      </w:r>
      <w:proofErr w:type="spellEnd"/>
      <w:r w:rsidRPr="00501111">
        <w:rPr>
          <w:b/>
          <w:i/>
        </w:rPr>
        <w:t xml:space="preserve"> for </w:t>
      </w:r>
      <w:proofErr w:type="spellStart"/>
      <w:r w:rsidRPr="00501111">
        <w:rPr>
          <w:b/>
          <w:i/>
        </w:rPr>
        <w:t>Growth</w:t>
      </w:r>
      <w:proofErr w:type="spellEnd"/>
      <w:r w:rsidRPr="00DD1A99">
        <w:t>: il più grande network di Business Angel italiani, investono tipicamente in imprese dei settori Life Science, Deep Tech, Digital e Fintech con un taglio da 200mila a 1,5 milioni di euro;</w:t>
      </w:r>
    </w:p>
    <w:p w14:paraId="5CF43413" w14:textId="77777777" w:rsidR="00DD1A99" w:rsidRPr="00DD1A99" w:rsidRDefault="00DD1A99" w:rsidP="0038676D">
      <w:pPr>
        <w:pStyle w:val="Paragrafoelenco"/>
        <w:numPr>
          <w:ilvl w:val="0"/>
          <w:numId w:val="28"/>
        </w:numPr>
      </w:pPr>
      <w:r w:rsidRPr="00501111">
        <w:rPr>
          <w:b/>
          <w:i/>
        </w:rPr>
        <w:t>Club degli Investitori</w:t>
      </w:r>
      <w:r w:rsidRPr="00DD1A99">
        <w:t xml:space="preserve">: un network di oltre 200 imprenditori, manager e professionisti che investono in tutti i settori dell’innovazione (Digital, Fintech, </w:t>
      </w:r>
      <w:proofErr w:type="spellStart"/>
      <w:r w:rsidRPr="00DD1A99">
        <w:t>Medtech</w:t>
      </w:r>
      <w:proofErr w:type="spellEnd"/>
      <w:r w:rsidRPr="00DD1A99">
        <w:t xml:space="preserve">, Biotech, </w:t>
      </w:r>
      <w:proofErr w:type="spellStart"/>
      <w:r w:rsidRPr="00DD1A99">
        <w:t>Deeptech</w:t>
      </w:r>
      <w:proofErr w:type="spellEnd"/>
      <w:r w:rsidRPr="00DD1A99">
        <w:t xml:space="preserve">, </w:t>
      </w:r>
      <w:proofErr w:type="spellStart"/>
      <w:r w:rsidRPr="00DD1A99">
        <w:t>Foodtech</w:t>
      </w:r>
      <w:proofErr w:type="spellEnd"/>
      <w:r w:rsidRPr="00DD1A99">
        <w:t xml:space="preserve">, </w:t>
      </w:r>
      <w:proofErr w:type="spellStart"/>
      <w:r w:rsidRPr="00DD1A99">
        <w:t>Proptech</w:t>
      </w:r>
      <w:proofErr w:type="spellEnd"/>
      <w:r w:rsidRPr="00DD1A99">
        <w:t>) con un taglio da 100 mila a 1,5 milioni di euro.</w:t>
      </w:r>
    </w:p>
    <w:p w14:paraId="1F7E91E0" w14:textId="77777777" w:rsidR="00E15D1C" w:rsidRDefault="00E15D1C" w:rsidP="00501111"/>
    <w:p w14:paraId="55AEF11A" w14:textId="77777777" w:rsidR="00DD1A99" w:rsidRPr="00DD1A99" w:rsidRDefault="00DD1A99" w:rsidP="00501111">
      <w:r w:rsidRPr="00DD1A99">
        <w:t xml:space="preserve">I network di Business </w:t>
      </w:r>
      <w:proofErr w:type="spellStart"/>
      <w:r w:rsidRPr="00DD1A99">
        <w:t>Angels</w:t>
      </w:r>
      <w:proofErr w:type="spellEnd"/>
      <w:r w:rsidRPr="00DD1A99">
        <w:t xml:space="preserve"> sono uno dei riferimenti principali in Italia, a questi si aggiungono le associazioni di Business </w:t>
      </w:r>
      <w:proofErr w:type="spellStart"/>
      <w:r w:rsidRPr="00DD1A99">
        <w:t>Angels</w:t>
      </w:r>
      <w:proofErr w:type="spellEnd"/>
      <w:r w:rsidRPr="00DD1A99">
        <w:t>, tra le quali è presente IBAN (</w:t>
      </w:r>
      <w:proofErr w:type="spellStart"/>
      <w:r w:rsidRPr="00DD1A99">
        <w:t>Italian</w:t>
      </w:r>
      <w:proofErr w:type="spellEnd"/>
      <w:r w:rsidRPr="00DD1A99">
        <w:t xml:space="preserve"> Business </w:t>
      </w:r>
      <w:proofErr w:type="spellStart"/>
      <w:r w:rsidRPr="00DD1A99">
        <w:t>Angels</w:t>
      </w:r>
      <w:proofErr w:type="spellEnd"/>
      <w:r w:rsidRPr="00DD1A99">
        <w:t xml:space="preserve"> Network Association), associazione che coordina e sviluppa l’attività di investimento da parte di Business </w:t>
      </w:r>
      <w:proofErr w:type="spellStart"/>
      <w:r w:rsidRPr="00DD1A99">
        <w:t>Angels</w:t>
      </w:r>
      <w:proofErr w:type="spellEnd"/>
      <w:r w:rsidRPr="00DD1A99">
        <w:t xml:space="preserve"> nel capitale di rischio di piccole imprese e startup. IBAN oltre ad essere un punto di riferimento in Italia, è una presenza rilevante nel panorama europeo, dove si colloca tra i membri permanenti di BAE (Business Angel Europe), la Confederazione delle Associazioni di Business Angel in Europa.</w:t>
      </w:r>
    </w:p>
    <w:p w14:paraId="33644B29" w14:textId="77777777" w:rsidR="00DD1A99" w:rsidRPr="00DD1A99" w:rsidRDefault="00DD1A99" w:rsidP="00501111">
      <w:r w:rsidRPr="00DD1A99">
        <w:t xml:space="preserve">IBAN svolge diverse attività nell’ambito degli investimenti in startup, tra cui un’indagine sul mercato dell’Angel </w:t>
      </w:r>
      <w:proofErr w:type="spellStart"/>
      <w:r w:rsidRPr="00DD1A99">
        <w:t>Investing</w:t>
      </w:r>
      <w:proofErr w:type="spellEnd"/>
      <w:r w:rsidRPr="00DD1A99">
        <w:t xml:space="preserve"> in Italia che viene condotta ogni anno. Di seguito vengono riportati alcuni dei risultati dell’indagine realizzata nel 2019 su un campione di 267 Business </w:t>
      </w:r>
      <w:proofErr w:type="spellStart"/>
      <w:r w:rsidRPr="00DD1A99">
        <w:t>Angels</w:t>
      </w:r>
      <w:proofErr w:type="spellEnd"/>
      <w:r w:rsidRPr="00DD1A99">
        <w:t xml:space="preserve"> (IBAN, 2020). Tali risultati permettono di descrivere la figura e le caratteristiche dei Business </w:t>
      </w:r>
      <w:proofErr w:type="spellStart"/>
      <w:r w:rsidRPr="00DD1A99">
        <w:t>Angels</w:t>
      </w:r>
      <w:proofErr w:type="spellEnd"/>
      <w:r w:rsidRPr="00DD1A99">
        <w:t xml:space="preserve"> italiani.</w:t>
      </w:r>
    </w:p>
    <w:p w14:paraId="29A44022" w14:textId="77777777" w:rsidR="00DD1A99" w:rsidRDefault="00DD1A99" w:rsidP="00501111">
      <w:r w:rsidRPr="00DD1A99">
        <w:t xml:space="preserve">Gli investimenti complessivi dei Business </w:t>
      </w:r>
      <w:proofErr w:type="spellStart"/>
      <w:r w:rsidRPr="00DD1A99">
        <w:t>Angels</w:t>
      </w:r>
      <w:proofErr w:type="spellEnd"/>
      <w:r w:rsidRPr="00DD1A99">
        <w:t xml:space="preserve"> in Italia nel 2019 hanno raggiunto circa 53 milioni di euro (</w:t>
      </w:r>
      <w:r w:rsidR="00E15D1C">
        <w:t>vedere f</w:t>
      </w:r>
      <w:r w:rsidRPr="00DD1A99">
        <w:t xml:space="preserve">igura </w:t>
      </w:r>
      <w:r w:rsidR="00E15D1C">
        <w:t>sotto)</w:t>
      </w:r>
      <w:r w:rsidRPr="00DD1A99">
        <w:t>. Si tratta di un valore in crescita rispetto al 2018 (39,7 milioni di euro) e soprattutto in netto miglioramento rispetto all’ammontare annuo investito dal 2013 fino al 2017.</w:t>
      </w:r>
    </w:p>
    <w:p w14:paraId="1D3D22D5" w14:textId="77777777" w:rsidR="00501111" w:rsidRDefault="00501111" w:rsidP="00501111"/>
    <w:p w14:paraId="4D6E0DFC" w14:textId="77777777" w:rsidR="00E15D1C" w:rsidRPr="00DD1A99" w:rsidRDefault="00E15D1C" w:rsidP="00E15D1C">
      <w:pPr>
        <w:pStyle w:val="Didascalia"/>
      </w:pPr>
      <w:bookmarkStart w:id="84" w:name="_Toc91081471"/>
      <w:r>
        <w:t xml:space="preserve">Figura </w:t>
      </w:r>
      <w:r w:rsidR="004E6566">
        <w:fldChar w:fldCharType="begin"/>
      </w:r>
      <w:r>
        <w:instrText xml:space="preserve"> SEQ Figura \* ARABIC </w:instrText>
      </w:r>
      <w:r w:rsidR="004E6566">
        <w:fldChar w:fldCharType="separate"/>
      </w:r>
      <w:r w:rsidR="007251AB">
        <w:rPr>
          <w:noProof/>
        </w:rPr>
        <w:t>2</w:t>
      </w:r>
      <w:r w:rsidR="004E6566">
        <w:fldChar w:fldCharType="end"/>
      </w:r>
      <w:r>
        <w:t xml:space="preserve">. </w:t>
      </w:r>
      <w:r w:rsidRPr="00BA7827">
        <w:t xml:space="preserve">Ammontare annuo investito (in milioni di euro) dai Business </w:t>
      </w:r>
      <w:proofErr w:type="spellStart"/>
      <w:r w:rsidRPr="00BA7827">
        <w:t>Angels</w:t>
      </w:r>
      <w:bookmarkEnd w:id="84"/>
      <w:proofErr w:type="spellEnd"/>
    </w:p>
    <w:p w14:paraId="121B56C3" w14:textId="77777777" w:rsidR="00DD1A99" w:rsidRPr="00DD1A99" w:rsidRDefault="00DD1A99" w:rsidP="00DC65CE">
      <w:r w:rsidRPr="00DD1A99">
        <w:rPr>
          <w:noProof/>
          <w:lang w:eastAsia="it-IT"/>
        </w:rPr>
        <w:drawing>
          <wp:inline distT="0" distB="0" distL="0" distR="0" wp14:anchorId="0D992C4F" wp14:editId="48459366">
            <wp:extent cx="4872251" cy="2920621"/>
            <wp:effectExtent l="0" t="0" r="0" b="0"/>
            <wp:docPr id="3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4">
                      <a:duotone>
                        <a:prstClr val="black"/>
                        <a:schemeClr val="accent2">
                          <a:tint val="45000"/>
                          <a:satMod val="400000"/>
                        </a:schemeClr>
                      </a:duotone>
                      <a:extLst>
                        <a:ext uri="{BEBA8EAE-BF5A-486C-A8C5-ECC9F3942E4B}">
                          <a14:imgProps xmlns:a14="http://schemas.microsoft.com/office/drawing/2010/main">
                            <a14:imgLayer r:embed="rId15">
                              <a14:imgEffect>
                                <a14:colorTemperature colorTemp="4700"/>
                              </a14:imgEffect>
                            </a14:imgLayer>
                          </a14:imgProps>
                        </a:ext>
                      </a:extLst>
                    </a:blip>
                    <a:srcRect/>
                    <a:stretch>
                      <a:fillRect/>
                    </a:stretch>
                  </pic:blipFill>
                  <pic:spPr>
                    <a:xfrm>
                      <a:off x="0" y="0"/>
                      <a:ext cx="4884142" cy="2927749"/>
                    </a:xfrm>
                    <a:prstGeom prst="rect">
                      <a:avLst/>
                    </a:prstGeom>
                    <a:ln/>
                  </pic:spPr>
                </pic:pic>
              </a:graphicData>
            </a:graphic>
          </wp:inline>
        </w:drawing>
      </w:r>
    </w:p>
    <w:p w14:paraId="3DDC44FE" w14:textId="77777777" w:rsidR="00DD1A99" w:rsidRDefault="00DD1A99" w:rsidP="00E15D1C">
      <w:r w:rsidRPr="00DD1A99">
        <w:t xml:space="preserve">Fonte: Il mercato dell’Angel </w:t>
      </w:r>
      <w:proofErr w:type="spellStart"/>
      <w:r w:rsidRPr="00DD1A99">
        <w:t>Investing</w:t>
      </w:r>
      <w:proofErr w:type="spellEnd"/>
      <w:r w:rsidRPr="00DD1A99">
        <w:t xml:space="preserve"> in Italia: i risultati della survey annuale 2019, IBAN</w:t>
      </w:r>
    </w:p>
    <w:p w14:paraId="464F890F" w14:textId="77777777" w:rsidR="00E15D1C" w:rsidRPr="00DD1A99" w:rsidRDefault="00E15D1C" w:rsidP="00E15D1C"/>
    <w:p w14:paraId="7449D48B" w14:textId="77777777" w:rsidR="00DD1A99" w:rsidRDefault="00E15D1C" w:rsidP="00E15D1C">
      <w:r>
        <w:t>La figura successiva mostra</w:t>
      </w:r>
      <w:r w:rsidR="00DD1A99" w:rsidRPr="00DD1A99">
        <w:t xml:space="preserve"> la distribuzione percentuale degli investimenti in relazione alla dimensione finanziaria. In particolare il 26% degli investimenti è stato di importo superiore a 300mila euro, il 32% tra 100mila e 300mila euro e il 42% inferiore a 100mila euro.</w:t>
      </w:r>
    </w:p>
    <w:p w14:paraId="4F6BDF5E" w14:textId="77777777" w:rsidR="00E15D1C" w:rsidRPr="00DD1A99" w:rsidRDefault="00E15D1C" w:rsidP="00E15D1C"/>
    <w:p w14:paraId="7864F130" w14:textId="77777777" w:rsidR="00DD1A99" w:rsidRPr="00DD1A99" w:rsidRDefault="00E15D1C" w:rsidP="00E15D1C">
      <w:pPr>
        <w:pStyle w:val="Didascalia"/>
        <w:rPr>
          <w:bCs/>
        </w:rPr>
      </w:pPr>
      <w:bookmarkStart w:id="85" w:name="_Toc91081472"/>
      <w:r>
        <w:t xml:space="preserve">Figura </w:t>
      </w:r>
      <w:r w:rsidR="004E6566">
        <w:fldChar w:fldCharType="begin"/>
      </w:r>
      <w:r>
        <w:instrText xml:space="preserve"> SEQ Figura \* ARABIC </w:instrText>
      </w:r>
      <w:r w:rsidR="004E6566">
        <w:fldChar w:fldCharType="separate"/>
      </w:r>
      <w:r w:rsidR="007251AB">
        <w:rPr>
          <w:noProof/>
        </w:rPr>
        <w:t>3</w:t>
      </w:r>
      <w:r w:rsidR="004E6566">
        <w:fldChar w:fldCharType="end"/>
      </w:r>
      <w:r>
        <w:t xml:space="preserve">. </w:t>
      </w:r>
      <w:r w:rsidRPr="007116BC">
        <w:t xml:space="preserve">Percentuale degli investimenti </w:t>
      </w:r>
      <w:r w:rsidR="0027415B">
        <w:t xml:space="preserve">dei business </w:t>
      </w:r>
      <w:proofErr w:type="spellStart"/>
      <w:r w:rsidR="0027415B">
        <w:t>angels</w:t>
      </w:r>
      <w:proofErr w:type="spellEnd"/>
      <w:r w:rsidR="0027415B">
        <w:t xml:space="preserve"> </w:t>
      </w:r>
      <w:r w:rsidRPr="007116BC">
        <w:t>in relazione all’importo dell’investimento, nel 2019</w:t>
      </w:r>
      <w:bookmarkEnd w:id="85"/>
      <w:r w:rsidR="00DD1A99" w:rsidRPr="00DD1A99">
        <w:rPr>
          <w:bCs/>
        </w:rPr>
        <w:t xml:space="preserve"> </w:t>
      </w:r>
    </w:p>
    <w:p w14:paraId="5385A8AF" w14:textId="77777777" w:rsidR="00DD1A99" w:rsidRPr="00DD1A99" w:rsidRDefault="00DD1A99" w:rsidP="00DC65CE">
      <w:r w:rsidRPr="00DD1A99">
        <w:rPr>
          <w:noProof/>
          <w:lang w:eastAsia="it-IT"/>
        </w:rPr>
        <w:drawing>
          <wp:inline distT="0" distB="0" distL="0" distR="0" wp14:anchorId="30349732" wp14:editId="6C9920F1">
            <wp:extent cx="5255812" cy="2393342"/>
            <wp:effectExtent l="0" t="0" r="0" b="0"/>
            <wp:docPr id="3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6">
                      <a:duotone>
                        <a:prstClr val="black"/>
                        <a:schemeClr val="accent2">
                          <a:tint val="45000"/>
                          <a:satMod val="400000"/>
                        </a:schemeClr>
                      </a:duotone>
                      <a:extLst>
                        <a:ext uri="{BEBA8EAE-BF5A-486C-A8C5-ECC9F3942E4B}">
                          <a14:imgProps xmlns:a14="http://schemas.microsoft.com/office/drawing/2010/main">
                            <a14:imgLayer r:embed="rId17">
                              <a14:imgEffect>
                                <a14:colorTemperature colorTemp="4700"/>
                              </a14:imgEffect>
                            </a14:imgLayer>
                          </a14:imgProps>
                        </a:ext>
                      </a:extLst>
                    </a:blip>
                    <a:srcRect/>
                    <a:stretch>
                      <a:fillRect/>
                    </a:stretch>
                  </pic:blipFill>
                  <pic:spPr>
                    <a:xfrm>
                      <a:off x="0" y="0"/>
                      <a:ext cx="5266064" cy="2398010"/>
                    </a:xfrm>
                    <a:prstGeom prst="rect">
                      <a:avLst/>
                    </a:prstGeom>
                    <a:ln/>
                  </pic:spPr>
                </pic:pic>
              </a:graphicData>
            </a:graphic>
          </wp:inline>
        </w:drawing>
      </w:r>
    </w:p>
    <w:p w14:paraId="49A5314B" w14:textId="77777777" w:rsidR="00DD1A99" w:rsidRDefault="00DD1A99" w:rsidP="00E15D1C">
      <w:r w:rsidRPr="00DD1A99">
        <w:t xml:space="preserve">Fonte: Il mercato dell’Angel </w:t>
      </w:r>
      <w:proofErr w:type="spellStart"/>
      <w:r w:rsidRPr="00DD1A99">
        <w:t>Investing</w:t>
      </w:r>
      <w:proofErr w:type="spellEnd"/>
      <w:r w:rsidRPr="00DD1A99">
        <w:t xml:space="preserve"> in Italia: i risultati della survey annuale 2019, IBAN</w:t>
      </w:r>
    </w:p>
    <w:p w14:paraId="6160DD6A" w14:textId="77777777" w:rsidR="00E15D1C" w:rsidRPr="00DD1A99" w:rsidRDefault="00E15D1C" w:rsidP="00E15D1C"/>
    <w:p w14:paraId="5C1B1D2C" w14:textId="77777777" w:rsidR="00DD1A99" w:rsidRDefault="00DD1A99" w:rsidP="00E15D1C">
      <w:r w:rsidRPr="00DD1A99">
        <w:t xml:space="preserve">Come scritto in precedenza, i Business </w:t>
      </w:r>
      <w:proofErr w:type="spellStart"/>
      <w:r w:rsidRPr="00DD1A99">
        <w:t>Angels</w:t>
      </w:r>
      <w:proofErr w:type="spellEnd"/>
      <w:r w:rsidRPr="00DD1A99">
        <w:t xml:space="preserve"> investono nelle startup che si trovano in una fase iniziale del proprio ciclo di vita. Nel 2019 gli investimenti hanno riguardato nel 66% dei casi imprese in fase di startup, mentre nel 34% imprese in fase di </w:t>
      </w:r>
      <w:proofErr w:type="spellStart"/>
      <w:r w:rsidRPr="00DD1A99">
        <w:t>seed</w:t>
      </w:r>
      <w:proofErr w:type="spellEnd"/>
      <w:r w:rsidRPr="00DD1A99">
        <w:t xml:space="preserve"> (</w:t>
      </w:r>
      <w:r w:rsidR="00E15D1C">
        <w:t>f</w:t>
      </w:r>
      <w:r w:rsidRPr="00DD1A99">
        <w:t xml:space="preserve">igura </w:t>
      </w:r>
      <w:r w:rsidR="00E15D1C">
        <w:t>successiva</w:t>
      </w:r>
      <w:r w:rsidRPr="00DD1A99">
        <w:t>).</w:t>
      </w:r>
    </w:p>
    <w:p w14:paraId="173B0FE2" w14:textId="77777777" w:rsidR="00B23F12" w:rsidRPr="00DD1A99" w:rsidRDefault="00B23F12" w:rsidP="00E15D1C"/>
    <w:p w14:paraId="4FDCFDFC" w14:textId="77777777" w:rsidR="00DD1A99" w:rsidRPr="00DD1A99" w:rsidRDefault="00E15D1C" w:rsidP="00E15D1C">
      <w:pPr>
        <w:pStyle w:val="Didascalia"/>
        <w:rPr>
          <w:bCs/>
        </w:rPr>
      </w:pPr>
      <w:bookmarkStart w:id="86" w:name="_Toc91081473"/>
      <w:r>
        <w:t xml:space="preserve">Figura </w:t>
      </w:r>
      <w:r w:rsidR="004E6566">
        <w:fldChar w:fldCharType="begin"/>
      </w:r>
      <w:r>
        <w:instrText xml:space="preserve"> SEQ Figura \* ARABIC </w:instrText>
      </w:r>
      <w:r w:rsidR="004E6566">
        <w:fldChar w:fldCharType="separate"/>
      </w:r>
      <w:r w:rsidR="007251AB">
        <w:rPr>
          <w:noProof/>
        </w:rPr>
        <w:t>4</w:t>
      </w:r>
      <w:r w:rsidR="004E6566">
        <w:fldChar w:fldCharType="end"/>
      </w:r>
      <w:r>
        <w:t xml:space="preserve">. </w:t>
      </w:r>
      <w:r w:rsidRPr="00CC6ABF">
        <w:t>Percentuale degli investimenti</w:t>
      </w:r>
      <w:r w:rsidR="0027415B">
        <w:t xml:space="preserve"> dei business </w:t>
      </w:r>
      <w:proofErr w:type="spellStart"/>
      <w:r w:rsidR="0027415B">
        <w:t>angels</w:t>
      </w:r>
      <w:proofErr w:type="spellEnd"/>
      <w:r w:rsidRPr="00CC6ABF">
        <w:t>, nel 2019, in relazione alla fase di sviluppo del ciclo di vita dell’impresa</w:t>
      </w:r>
      <w:bookmarkEnd w:id="86"/>
    </w:p>
    <w:p w14:paraId="6C087ED1" w14:textId="77777777" w:rsidR="00DD1A99" w:rsidRPr="00DD1A99" w:rsidRDefault="00DD1A99" w:rsidP="00DC65CE">
      <w:r w:rsidRPr="00DD1A99">
        <w:rPr>
          <w:noProof/>
          <w:lang w:eastAsia="it-IT"/>
        </w:rPr>
        <w:drawing>
          <wp:inline distT="0" distB="0" distL="0" distR="0" wp14:anchorId="4991BE34" wp14:editId="773AA615">
            <wp:extent cx="3497326" cy="2679838"/>
            <wp:effectExtent l="0" t="0" r="0" b="0"/>
            <wp:docPr id="2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8">
                      <a:duotone>
                        <a:prstClr val="black"/>
                        <a:schemeClr val="accent2">
                          <a:tint val="45000"/>
                          <a:satMod val="400000"/>
                        </a:schemeClr>
                      </a:duotone>
                    </a:blip>
                    <a:srcRect/>
                    <a:stretch>
                      <a:fillRect/>
                    </a:stretch>
                  </pic:blipFill>
                  <pic:spPr>
                    <a:xfrm>
                      <a:off x="0" y="0"/>
                      <a:ext cx="3497326" cy="2679838"/>
                    </a:xfrm>
                    <a:prstGeom prst="rect">
                      <a:avLst/>
                    </a:prstGeom>
                    <a:ln/>
                  </pic:spPr>
                </pic:pic>
              </a:graphicData>
            </a:graphic>
          </wp:inline>
        </w:drawing>
      </w:r>
    </w:p>
    <w:p w14:paraId="1CF602B3" w14:textId="77777777" w:rsidR="00DD1A99" w:rsidRDefault="00DD1A99" w:rsidP="00E15D1C">
      <w:r w:rsidRPr="00DD1A99">
        <w:t xml:space="preserve">Fonte: Il mercato dell’Angel </w:t>
      </w:r>
      <w:proofErr w:type="spellStart"/>
      <w:r w:rsidRPr="00DD1A99">
        <w:t>Investing</w:t>
      </w:r>
      <w:proofErr w:type="spellEnd"/>
      <w:r w:rsidRPr="00DD1A99">
        <w:t xml:space="preserve"> in Italia: i risultati della survey annuale 2019, IBAN</w:t>
      </w:r>
    </w:p>
    <w:p w14:paraId="24D260B9" w14:textId="77777777" w:rsidR="00E15D1C" w:rsidRPr="00DD1A99" w:rsidRDefault="00E15D1C" w:rsidP="00E15D1C"/>
    <w:p w14:paraId="35D56EED" w14:textId="77777777" w:rsidR="00DD1A99" w:rsidRPr="00DD1A99" w:rsidRDefault="00DD1A99" w:rsidP="00E15D1C">
      <w:r w:rsidRPr="00DD1A99">
        <w:t xml:space="preserve">La figura successiva considera i fattori che spingono i Business </w:t>
      </w:r>
      <w:proofErr w:type="spellStart"/>
      <w:r w:rsidRPr="00DD1A99">
        <w:t>Angels</w:t>
      </w:r>
      <w:proofErr w:type="spellEnd"/>
      <w:r w:rsidRPr="00DD1A99">
        <w:t xml:space="preserve"> ad investire in una startup. Gli aspetti più rilevanti per un investitore riguardano il potenziale di crescita del mercato in cui opera la startup (45%) e la presenza di un team con competenze manageriali (26%). Gli altri criteri di valutazione afferiscono alla strategia d’uscita (11%), alle caratteristiche del prodotto e/o servizio (9%), ai ricavi attesi (6%) e al settore industriale di riferimento (4%).</w:t>
      </w:r>
    </w:p>
    <w:p w14:paraId="580D4C25" w14:textId="77777777" w:rsidR="00DD1A99" w:rsidRPr="00DD1A99" w:rsidRDefault="00E15D1C" w:rsidP="00E15D1C">
      <w:pPr>
        <w:pStyle w:val="Didascalia"/>
        <w:rPr>
          <w:bCs/>
        </w:rPr>
      </w:pPr>
      <w:bookmarkStart w:id="87" w:name="_Toc91081474"/>
      <w:r>
        <w:t xml:space="preserve">Figura </w:t>
      </w:r>
      <w:r w:rsidR="004E6566">
        <w:fldChar w:fldCharType="begin"/>
      </w:r>
      <w:r>
        <w:instrText xml:space="preserve"> SEQ Figura \* ARABIC </w:instrText>
      </w:r>
      <w:r w:rsidR="004E6566">
        <w:fldChar w:fldCharType="separate"/>
      </w:r>
      <w:r w:rsidR="007251AB">
        <w:rPr>
          <w:noProof/>
        </w:rPr>
        <w:t>5</w:t>
      </w:r>
      <w:r w:rsidR="004E6566">
        <w:fldChar w:fldCharType="end"/>
      </w:r>
      <w:r>
        <w:t xml:space="preserve">. </w:t>
      </w:r>
      <w:r w:rsidRPr="00527104">
        <w:t>Distribuzione percentuale della rilevanza dei fattori per la valutazione di una startup</w:t>
      </w:r>
      <w:r w:rsidR="0027415B">
        <w:t xml:space="preserve"> da parte dei business </w:t>
      </w:r>
      <w:proofErr w:type="spellStart"/>
      <w:r w:rsidR="0027415B">
        <w:t>angels</w:t>
      </w:r>
      <w:proofErr w:type="spellEnd"/>
      <w:r w:rsidRPr="00527104">
        <w:t>, nel 2019</w:t>
      </w:r>
      <w:bookmarkEnd w:id="87"/>
      <w:r w:rsidR="00DD1A99" w:rsidRPr="00DD1A99">
        <w:rPr>
          <w:bCs/>
        </w:rPr>
        <w:t xml:space="preserve"> </w:t>
      </w:r>
    </w:p>
    <w:p w14:paraId="112EFD50" w14:textId="77777777" w:rsidR="00DD1A99" w:rsidRPr="00DD1A99" w:rsidRDefault="00DD1A99" w:rsidP="00DC65CE">
      <w:r w:rsidRPr="00DD1A99">
        <w:rPr>
          <w:noProof/>
          <w:lang w:eastAsia="it-IT"/>
        </w:rPr>
        <w:drawing>
          <wp:inline distT="0" distB="0" distL="0" distR="0" wp14:anchorId="200261A0" wp14:editId="1668037B">
            <wp:extent cx="5081934" cy="3078063"/>
            <wp:effectExtent l="0" t="0" r="0" b="0"/>
            <wp:docPr id="40"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9">
                      <a:duotone>
                        <a:prstClr val="black"/>
                        <a:schemeClr val="accent2">
                          <a:tint val="45000"/>
                          <a:satMod val="400000"/>
                        </a:schemeClr>
                      </a:duotone>
                    </a:blip>
                    <a:srcRect/>
                    <a:stretch>
                      <a:fillRect/>
                    </a:stretch>
                  </pic:blipFill>
                  <pic:spPr>
                    <a:xfrm>
                      <a:off x="0" y="0"/>
                      <a:ext cx="5081934" cy="3078063"/>
                    </a:xfrm>
                    <a:prstGeom prst="rect">
                      <a:avLst/>
                    </a:prstGeom>
                    <a:ln/>
                  </pic:spPr>
                </pic:pic>
              </a:graphicData>
            </a:graphic>
          </wp:inline>
        </w:drawing>
      </w:r>
    </w:p>
    <w:p w14:paraId="52B89FAE" w14:textId="77777777" w:rsidR="00DD1A99" w:rsidRDefault="00DD1A99" w:rsidP="00E15D1C">
      <w:r w:rsidRPr="00DD1A99">
        <w:t xml:space="preserve">Fonte: Il mercato dell’Angel </w:t>
      </w:r>
      <w:proofErr w:type="spellStart"/>
      <w:r w:rsidRPr="00DD1A99">
        <w:t>Investing</w:t>
      </w:r>
      <w:proofErr w:type="spellEnd"/>
      <w:r w:rsidRPr="00DD1A99">
        <w:t xml:space="preserve"> in Italia: i risultati della survey annuale 2019, IBAN</w:t>
      </w:r>
    </w:p>
    <w:p w14:paraId="0FD2CA34" w14:textId="77777777" w:rsidR="00E15D1C" w:rsidRPr="00DD1A99" w:rsidRDefault="00E15D1C" w:rsidP="00E15D1C"/>
    <w:p w14:paraId="24A3E743" w14:textId="77777777" w:rsidR="00DD1A99" w:rsidRDefault="00DD1A99" w:rsidP="00E15D1C">
      <w:r w:rsidRPr="00DD1A99">
        <w:t>Dal punto di vista della distribuzione geografica degli investimenti (</w:t>
      </w:r>
      <w:r w:rsidR="00E15D1C">
        <w:t>si v</w:t>
      </w:r>
      <w:r w:rsidR="003D0E26">
        <w:t>e</w:t>
      </w:r>
      <w:r w:rsidR="00E15D1C">
        <w:t>da f</w:t>
      </w:r>
      <w:r w:rsidRPr="00DD1A99">
        <w:t xml:space="preserve">igura </w:t>
      </w:r>
      <w:r w:rsidR="00E15D1C">
        <w:t>sotto</w:t>
      </w:r>
      <w:r w:rsidRPr="00DD1A99">
        <w:t>) emerge uno sbilanciamento a favore delle imprese del Nord Italia, alle quali viene destinato circa il 70% degli investimenti.</w:t>
      </w:r>
    </w:p>
    <w:p w14:paraId="3EEBBBEC" w14:textId="77777777" w:rsidR="00E15D1C" w:rsidRPr="00DD1A99" w:rsidRDefault="00E15D1C" w:rsidP="00E15D1C"/>
    <w:p w14:paraId="74952A9E" w14:textId="77777777" w:rsidR="00DD1A99" w:rsidRPr="00DD1A99" w:rsidRDefault="00E15D1C" w:rsidP="00E15D1C">
      <w:pPr>
        <w:pStyle w:val="Didascalia"/>
        <w:rPr>
          <w:bCs/>
        </w:rPr>
      </w:pPr>
      <w:bookmarkStart w:id="88" w:name="_Toc91081475"/>
      <w:r>
        <w:t xml:space="preserve">Figura </w:t>
      </w:r>
      <w:r w:rsidR="004E6566">
        <w:fldChar w:fldCharType="begin"/>
      </w:r>
      <w:r>
        <w:instrText xml:space="preserve"> SEQ Figura \* ARABIC </w:instrText>
      </w:r>
      <w:r w:rsidR="004E6566">
        <w:fldChar w:fldCharType="separate"/>
      </w:r>
      <w:r w:rsidR="007251AB">
        <w:rPr>
          <w:noProof/>
        </w:rPr>
        <w:t>6</w:t>
      </w:r>
      <w:r w:rsidR="004E6566">
        <w:fldChar w:fldCharType="end"/>
      </w:r>
      <w:r>
        <w:t xml:space="preserve">. </w:t>
      </w:r>
      <w:r w:rsidRPr="0030675C">
        <w:t xml:space="preserve">Distribuzione geografica degli investimenti </w:t>
      </w:r>
      <w:r w:rsidR="0027415B">
        <w:t xml:space="preserve">dei business </w:t>
      </w:r>
      <w:proofErr w:type="spellStart"/>
      <w:r w:rsidR="0027415B">
        <w:t>angels</w:t>
      </w:r>
      <w:proofErr w:type="spellEnd"/>
      <w:r w:rsidR="0027415B">
        <w:t xml:space="preserve"> </w:t>
      </w:r>
      <w:r w:rsidRPr="0030675C">
        <w:t>nel 2019</w:t>
      </w:r>
      <w:bookmarkEnd w:id="88"/>
    </w:p>
    <w:p w14:paraId="1990E018" w14:textId="77777777" w:rsidR="00DD1A99" w:rsidRPr="00DD1A99" w:rsidRDefault="00DD1A99" w:rsidP="00DC65CE">
      <w:r w:rsidRPr="00DD1A99">
        <w:rPr>
          <w:noProof/>
          <w:lang w:eastAsia="it-IT"/>
        </w:rPr>
        <w:drawing>
          <wp:inline distT="0" distB="0" distL="0" distR="0" wp14:anchorId="2F5A3CAF" wp14:editId="33D6C57D">
            <wp:extent cx="3596640" cy="2743200"/>
            <wp:effectExtent l="0" t="0" r="0" b="0"/>
            <wp:docPr id="22"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20">
                      <a:duotone>
                        <a:prstClr val="black"/>
                        <a:schemeClr val="accent2">
                          <a:tint val="45000"/>
                          <a:satMod val="400000"/>
                        </a:schemeClr>
                      </a:duotone>
                    </a:blip>
                    <a:srcRect/>
                    <a:stretch>
                      <a:fillRect/>
                    </a:stretch>
                  </pic:blipFill>
                  <pic:spPr>
                    <a:xfrm>
                      <a:off x="0" y="0"/>
                      <a:ext cx="3596640" cy="2743200"/>
                    </a:xfrm>
                    <a:prstGeom prst="rect">
                      <a:avLst/>
                    </a:prstGeom>
                    <a:ln/>
                  </pic:spPr>
                </pic:pic>
              </a:graphicData>
            </a:graphic>
          </wp:inline>
        </w:drawing>
      </w:r>
    </w:p>
    <w:p w14:paraId="65F1B363" w14:textId="77777777" w:rsidR="00E15D1C" w:rsidRDefault="00DD1A99" w:rsidP="00E15D1C">
      <w:r w:rsidRPr="00DD1A99">
        <w:t xml:space="preserve">Fonte: Il mercato dell’Angel </w:t>
      </w:r>
      <w:proofErr w:type="spellStart"/>
      <w:r w:rsidRPr="00DD1A99">
        <w:t>Investing</w:t>
      </w:r>
      <w:proofErr w:type="spellEnd"/>
      <w:r w:rsidRPr="00DD1A99">
        <w:t xml:space="preserve"> in Italia: i risultati della survey annuale 2019, IBAN</w:t>
      </w:r>
    </w:p>
    <w:p w14:paraId="047BBF6D" w14:textId="77777777" w:rsidR="00E15D1C" w:rsidRDefault="00E15D1C" w:rsidP="00E15D1C"/>
    <w:p w14:paraId="1A6B5FA3" w14:textId="77777777" w:rsidR="00DD1A99" w:rsidRDefault="00DD1A99" w:rsidP="00E15D1C">
      <w:r w:rsidRPr="00DD1A99">
        <w:t xml:space="preserve">Infine è interessante osservare come il settore maggiormente coinvolto dagli investimenti dei Business </w:t>
      </w:r>
      <w:proofErr w:type="spellStart"/>
      <w:r w:rsidRPr="00DD1A99">
        <w:t>Angels</w:t>
      </w:r>
      <w:proofErr w:type="spellEnd"/>
      <w:r w:rsidRPr="00DD1A99">
        <w:t xml:space="preserve"> nel 2019 sia stato l’ICT (34%), seguito dal settore dei beni di consumo e dal settore dei servizi professionali e sociali, entrambi con circa il 10% degli investimenti.</w:t>
      </w:r>
    </w:p>
    <w:p w14:paraId="2440BC0B" w14:textId="77777777" w:rsidR="00E15D1C" w:rsidRPr="00DD1A99" w:rsidRDefault="00E15D1C" w:rsidP="00E15D1C"/>
    <w:p w14:paraId="627AC4F1" w14:textId="77777777" w:rsidR="00DD1A99" w:rsidRPr="00DD1A99" w:rsidRDefault="00E15D1C" w:rsidP="00E15D1C">
      <w:pPr>
        <w:pStyle w:val="Didascalia"/>
        <w:rPr>
          <w:bCs/>
        </w:rPr>
      </w:pPr>
      <w:bookmarkStart w:id="89" w:name="_Toc91081476"/>
      <w:r>
        <w:t xml:space="preserve">Figura </w:t>
      </w:r>
      <w:r w:rsidR="004E6566">
        <w:fldChar w:fldCharType="begin"/>
      </w:r>
      <w:r>
        <w:instrText xml:space="preserve"> SEQ Figura \* ARABIC </w:instrText>
      </w:r>
      <w:r w:rsidR="004E6566">
        <w:fldChar w:fldCharType="separate"/>
      </w:r>
      <w:r w:rsidR="007251AB">
        <w:rPr>
          <w:noProof/>
        </w:rPr>
        <w:t>7</w:t>
      </w:r>
      <w:r w:rsidR="004E6566">
        <w:fldChar w:fldCharType="end"/>
      </w:r>
      <w:r>
        <w:t xml:space="preserve">. </w:t>
      </w:r>
      <w:r w:rsidRPr="00F148AD">
        <w:t>Percentuale degli investimenti per settore, nel 2019</w:t>
      </w:r>
      <w:bookmarkEnd w:id="89"/>
    </w:p>
    <w:p w14:paraId="1AE22E51" w14:textId="77777777" w:rsidR="00DD1A99" w:rsidRPr="00DD1A99" w:rsidRDefault="00DD1A99" w:rsidP="00DC65CE">
      <w:r w:rsidRPr="00DD1A99">
        <w:rPr>
          <w:noProof/>
          <w:lang w:eastAsia="it-IT"/>
        </w:rPr>
        <w:drawing>
          <wp:inline distT="0" distB="0" distL="0" distR="0" wp14:anchorId="516323ED" wp14:editId="63661AEE">
            <wp:extent cx="5630130" cy="2714308"/>
            <wp:effectExtent l="0" t="0" r="0" b="0"/>
            <wp:docPr id="23"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1">
                      <a:duotone>
                        <a:prstClr val="black"/>
                        <a:schemeClr val="accent2">
                          <a:tint val="45000"/>
                          <a:satMod val="400000"/>
                        </a:schemeClr>
                      </a:duotone>
                    </a:blip>
                    <a:srcRect/>
                    <a:stretch>
                      <a:fillRect/>
                    </a:stretch>
                  </pic:blipFill>
                  <pic:spPr>
                    <a:xfrm>
                      <a:off x="0" y="0"/>
                      <a:ext cx="5630130" cy="2714308"/>
                    </a:xfrm>
                    <a:prstGeom prst="rect">
                      <a:avLst/>
                    </a:prstGeom>
                    <a:ln/>
                  </pic:spPr>
                </pic:pic>
              </a:graphicData>
            </a:graphic>
          </wp:inline>
        </w:drawing>
      </w:r>
    </w:p>
    <w:p w14:paraId="721787F4" w14:textId="77777777" w:rsidR="00DD1A99" w:rsidRPr="00DD1A99" w:rsidRDefault="00DD1A99" w:rsidP="00E15D1C">
      <w:r w:rsidRPr="00DD1A99">
        <w:t xml:space="preserve">Fonte: Il mercato dell’Angel </w:t>
      </w:r>
      <w:proofErr w:type="spellStart"/>
      <w:r w:rsidRPr="00DD1A99">
        <w:t>Investing</w:t>
      </w:r>
      <w:proofErr w:type="spellEnd"/>
      <w:r w:rsidRPr="00DD1A99">
        <w:t xml:space="preserve"> in Italia: i risultati della survey annuale 2019, IBAN</w:t>
      </w:r>
    </w:p>
    <w:p w14:paraId="0BC79421" w14:textId="77777777" w:rsidR="00DD1A99" w:rsidRDefault="00DD1A99" w:rsidP="00E15D1C"/>
    <w:p w14:paraId="028A6C77" w14:textId="77777777" w:rsidR="00470C68" w:rsidRPr="00DD1A99" w:rsidRDefault="00470C68" w:rsidP="00E15D1C"/>
    <w:p w14:paraId="136FC6BB" w14:textId="77777777" w:rsidR="00DD1A99" w:rsidRPr="00BF3994" w:rsidRDefault="00DD1A99" w:rsidP="00E15D1C">
      <w:pPr>
        <w:rPr>
          <w:b/>
          <w:i/>
          <w:iCs/>
        </w:rPr>
      </w:pPr>
      <w:r w:rsidRPr="00BF3994">
        <w:rPr>
          <w:b/>
          <w:i/>
          <w:iCs/>
        </w:rPr>
        <w:t>Incubatori e acceleratori</w:t>
      </w:r>
    </w:p>
    <w:p w14:paraId="4227C1F0" w14:textId="77777777" w:rsidR="00DD1A99" w:rsidRPr="00DD1A99" w:rsidRDefault="00DD1A99" w:rsidP="00E15D1C">
      <w:r w:rsidRPr="00DD1A99">
        <w:t xml:space="preserve">Incubatori ed acceleratori hanno l’obiettivo di fornire servizi diretti (consulenza strategica, finanziaria, legale, marketing e sviluppo prodotto) e di networking (con partner industriali e finanziari) per supportare la nascita e lo sviluppo di startup innovative. Consultando il portale di </w:t>
      </w:r>
      <w:proofErr w:type="spellStart"/>
      <w:r w:rsidRPr="00DD1A99">
        <w:t>VentureUp</w:t>
      </w:r>
      <w:proofErr w:type="spellEnd"/>
      <w:r w:rsidRPr="00DD1A99">
        <w:t xml:space="preserve">, un’iniziativa di AIFI (Associazione Italiana del Private Equity, Venture Capital e Private </w:t>
      </w:r>
      <w:proofErr w:type="spellStart"/>
      <w:r w:rsidRPr="00DD1A99">
        <w:t>Debt</w:t>
      </w:r>
      <w:proofErr w:type="spellEnd"/>
      <w:r w:rsidRPr="00DD1A99">
        <w:t xml:space="preserve">), è possibile trovare una descrizione del ruolo degli incubatori e degli acceleratori all’interno dell’ecosistema delle startup. I primi, gli incubatori, sono organizzazioni che implementano e rendono sistematico il processo di creazione di nuove imprese fornendo loro una vasta gamma di servizi di supporto che includono spazi fisici, attività per lo sviluppo del business, opportunità di integrazione e networking, consulenza sotto il profilo legale, amministrativo e di marketing. I secondi, gli acceleratori, supportano le startup con servizi di </w:t>
      </w:r>
      <w:proofErr w:type="spellStart"/>
      <w:r w:rsidRPr="00DD1A99">
        <w:t>mentorship</w:t>
      </w:r>
      <w:proofErr w:type="spellEnd"/>
      <w:r w:rsidRPr="00DD1A99">
        <w:t>, oltre ad offrire ulteriori servizi necessari alla loro crescita.</w:t>
      </w:r>
    </w:p>
    <w:p w14:paraId="0A47E20B" w14:textId="77777777" w:rsidR="00DD1A99" w:rsidRPr="00DD1A99" w:rsidRDefault="00DD1A99" w:rsidP="00E15D1C">
      <w:r w:rsidRPr="00DD1A99">
        <w:t>Dalla descrizione appena riportata è possibile osservare come incubatori e acceleratori operino con finalità diverse e di conseguenza in fasi diverse del ciclo di vita della startup. Gli incubatori ricoprono un ruolo utile nella fase di avvio (</w:t>
      </w:r>
      <w:proofErr w:type="spellStart"/>
      <w:r w:rsidRPr="00DD1A99">
        <w:t>seed</w:t>
      </w:r>
      <w:proofErr w:type="spellEnd"/>
      <w:r w:rsidRPr="00DD1A99">
        <w:t>) e nella fase di startup, quindi intervengono a supporto delle imprese nelle prime fasi di vita. Invece gli acceleratori intervengono in una fase leggermente più avanzata, cioè nella fase di startup e nella fase di sviluppo. In questo caso il modello di business è già stato definito e l’obiettivo consiste nel fare crescere rapidamente l’impresa.</w:t>
      </w:r>
    </w:p>
    <w:p w14:paraId="02B768E9" w14:textId="77777777" w:rsidR="00DD1A99" w:rsidRPr="00DD1A99" w:rsidRDefault="00DD1A99" w:rsidP="00E15D1C">
      <w:r w:rsidRPr="00DD1A99">
        <w:t xml:space="preserve">In relazione al mercato dei capitali è importante sottolineare una differenza tra queste due realtà. Più frequentemente, gli acceleratori oltre a supportare le startup prevedono anche la possibilità di investire nelle imprese, anche attraverso forme to work-for-equity. </w:t>
      </w:r>
    </w:p>
    <w:p w14:paraId="51406CDD" w14:textId="77777777" w:rsidR="00DD1A99" w:rsidRPr="00DD1A99" w:rsidRDefault="00DD1A99" w:rsidP="00E15D1C">
      <w:r w:rsidRPr="00DD1A99">
        <w:t>Un altro aspetto che permette di posizionare incubatori e acceleratori rispetto agli altri operatori riguarda i criteri di valutazione utilizzati per selezionare le startup da supportare. Questo aspetto è una diretta conseguenza delle fasi del ciclo di vita in cui intervengono questi due attori. In generale entrambe le realtà pongono attenzione alle caratteristiche del team imprenditoriale, quindi al background pregresso e alle competenze di ciascun componente, e alle caratteristiche dell’idea proposta, dando priorità ai progetti con carattere innovativo. Nello specifico gli incubatori assegnano un peso maggiore al team e all’idea rispetto agli acceleratori. Quest’ultimi, pur considerando tali criteri, attribuiscono maggior peso relativo alla sostenibilità economica e finanziaria e cercano di valutare anche la fattibilità operativa del progetto proposto.</w:t>
      </w:r>
    </w:p>
    <w:p w14:paraId="2F9D394C" w14:textId="77777777" w:rsidR="00DD1A99" w:rsidRPr="00DD1A99" w:rsidRDefault="00DD1A99" w:rsidP="00E15D1C">
      <w:r w:rsidRPr="00DD1A99">
        <w:t>Per approfondire le caratteristiche degli incubatori, degli acceleratori e delle startup a cui si rivolgono è possibile consultare il report sugli incubatori/acceleratori italiani redatto annualmente dal SIM (Social Innovation Monitor), centro di ricerca di ricerca del Politecnico di Torino. Di seguito vengono riportate alcune statistiche per le quali non vengono distinti gli incubatori dagli acceleratori. Come viene precisato all’interno del Report del SIM nel 2021, coloro che hanno elaborato tali statistiche hanno deciso di utilizzare i due termini quasi come sinonimi in ragione del fatto che entrambe le realtà perseguono obiettivi simili (</w:t>
      </w:r>
      <w:proofErr w:type="spellStart"/>
      <w:r w:rsidRPr="00DD1A99">
        <w:t>Mian</w:t>
      </w:r>
      <w:proofErr w:type="spellEnd"/>
      <w:r w:rsidRPr="00DD1A99">
        <w:t xml:space="preserve"> et al., 2016; Sansone et al., 2020).</w:t>
      </w:r>
    </w:p>
    <w:p w14:paraId="3DABEF60" w14:textId="77777777" w:rsidR="00DD1A99" w:rsidRDefault="00DD1A99" w:rsidP="00E15D1C">
      <w:r w:rsidRPr="00DD1A99">
        <w:t>Il Report presenta l’indagine su un campione di 85 tra incubatori e acceleratori su un totale di 212 realtà presenti in Italia. All’interno dello studio questi attori vengono distinti in base alla natura giuridica: pubblica, pubblica-privata, privata. In Italia la maggior parte degli incubatori e acceleratori (63%) sono di natura privata (</w:t>
      </w:r>
      <w:r w:rsidR="00E15D1C">
        <w:t>f</w:t>
      </w:r>
      <w:r w:rsidRPr="00DD1A99">
        <w:t xml:space="preserve">igura </w:t>
      </w:r>
      <w:r w:rsidR="00E15D1C">
        <w:t>successiva</w:t>
      </w:r>
      <w:r w:rsidRPr="00DD1A99">
        <w:t>).</w:t>
      </w:r>
    </w:p>
    <w:p w14:paraId="080B1CC1" w14:textId="77777777" w:rsidR="00E15D1C" w:rsidRDefault="00E15D1C" w:rsidP="00E15D1C"/>
    <w:p w14:paraId="2D5ADAA7" w14:textId="77777777" w:rsidR="00E15D1C" w:rsidRPr="00DD1A99" w:rsidRDefault="00E15D1C" w:rsidP="00E15D1C">
      <w:pPr>
        <w:pStyle w:val="Didascalia"/>
      </w:pPr>
      <w:bookmarkStart w:id="90" w:name="_Toc91081477"/>
      <w:r>
        <w:t xml:space="preserve">Figura </w:t>
      </w:r>
      <w:r w:rsidR="004E6566">
        <w:fldChar w:fldCharType="begin"/>
      </w:r>
      <w:r>
        <w:instrText xml:space="preserve"> SEQ Figura \* ARABIC </w:instrText>
      </w:r>
      <w:r w:rsidR="004E6566">
        <w:fldChar w:fldCharType="separate"/>
      </w:r>
      <w:r w:rsidR="007251AB">
        <w:rPr>
          <w:noProof/>
        </w:rPr>
        <w:t>8</w:t>
      </w:r>
      <w:r w:rsidR="004E6566">
        <w:fldChar w:fldCharType="end"/>
      </w:r>
      <w:r>
        <w:t xml:space="preserve">. </w:t>
      </w:r>
      <w:r w:rsidRPr="004D59A6">
        <w:t>Distribuzione % per natura giuridica dei 212 incubatori/acceleratori italiani</w:t>
      </w:r>
      <w:bookmarkEnd w:id="90"/>
    </w:p>
    <w:p w14:paraId="1182F789" w14:textId="77777777" w:rsidR="00DD1A99" w:rsidRPr="00DD1A99" w:rsidRDefault="00DD1A99" w:rsidP="00DC65CE">
      <w:r w:rsidRPr="00DD1A99">
        <w:rPr>
          <w:noProof/>
          <w:lang w:eastAsia="it-IT"/>
        </w:rPr>
        <w:drawing>
          <wp:inline distT="0" distB="0" distL="0" distR="0" wp14:anchorId="5F240283" wp14:editId="03814492">
            <wp:extent cx="3712191" cy="2442949"/>
            <wp:effectExtent l="0" t="0" r="0" b="0"/>
            <wp:docPr id="4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2">
                      <a:duotone>
                        <a:prstClr val="black"/>
                        <a:schemeClr val="accent2">
                          <a:tint val="45000"/>
                          <a:satMod val="400000"/>
                        </a:schemeClr>
                      </a:duotone>
                    </a:blip>
                    <a:srcRect/>
                    <a:stretch>
                      <a:fillRect/>
                    </a:stretch>
                  </pic:blipFill>
                  <pic:spPr>
                    <a:xfrm>
                      <a:off x="0" y="0"/>
                      <a:ext cx="3727759" cy="2453194"/>
                    </a:xfrm>
                    <a:prstGeom prst="rect">
                      <a:avLst/>
                    </a:prstGeom>
                    <a:ln/>
                  </pic:spPr>
                </pic:pic>
              </a:graphicData>
            </a:graphic>
          </wp:inline>
        </w:drawing>
      </w:r>
    </w:p>
    <w:p w14:paraId="685F0574" w14:textId="77777777" w:rsidR="00DD1A99" w:rsidRDefault="00DD1A99" w:rsidP="00E15D1C">
      <w:r w:rsidRPr="00DD1A99">
        <w:t>Fonte: Report sugli incubatori / acceleratori italiani. SIM – Social Innovation Monitor, 2021</w:t>
      </w:r>
    </w:p>
    <w:p w14:paraId="2061264F" w14:textId="77777777" w:rsidR="00E15D1C" w:rsidRPr="00DD1A99" w:rsidRDefault="00E15D1C" w:rsidP="00E15D1C"/>
    <w:p w14:paraId="4A075F25" w14:textId="77777777" w:rsidR="00B82EF6" w:rsidRDefault="00B82EF6" w:rsidP="00B82EF6"/>
    <w:p w14:paraId="17D9DBFF" w14:textId="77777777" w:rsidR="00DD1A99" w:rsidRDefault="00DD1A99" w:rsidP="00B82EF6">
      <w:r w:rsidRPr="00DD1A99">
        <w:t>Per quanto riguarda i servizi offerti alle startup (</w:t>
      </w:r>
      <w:r w:rsidR="00B82EF6">
        <w:t>f</w:t>
      </w:r>
      <w:r w:rsidRPr="00DD1A99">
        <w:t xml:space="preserve">igura </w:t>
      </w:r>
      <w:r w:rsidR="00B82EF6">
        <w:t>in basso</w:t>
      </w:r>
      <w:r w:rsidRPr="00DD1A99">
        <w:t>), quelli considerati maggiormente rilevanti dagli incubatori/acceleratori interessano il supporto allo sviluppo di relazioni, l’accompagnamento manageriale e il supporto alla ricerca di finanziamenti.</w:t>
      </w:r>
    </w:p>
    <w:p w14:paraId="1BD9790A" w14:textId="77777777" w:rsidR="00B82EF6" w:rsidRPr="00DD1A99" w:rsidRDefault="00B82EF6" w:rsidP="00B82EF6"/>
    <w:p w14:paraId="01053F57" w14:textId="77777777" w:rsidR="00DD1A99" w:rsidRPr="00DD1A99" w:rsidRDefault="00B82EF6" w:rsidP="00B82EF6">
      <w:pPr>
        <w:pStyle w:val="Didascalia"/>
        <w:rPr>
          <w:bCs/>
        </w:rPr>
      </w:pPr>
      <w:bookmarkStart w:id="91" w:name="_Toc91081478"/>
      <w:r>
        <w:t xml:space="preserve">Figura </w:t>
      </w:r>
      <w:r w:rsidR="004E6566">
        <w:fldChar w:fldCharType="begin"/>
      </w:r>
      <w:r>
        <w:instrText xml:space="preserve"> SEQ Figura \* ARABIC </w:instrText>
      </w:r>
      <w:r w:rsidR="004E6566">
        <w:fldChar w:fldCharType="separate"/>
      </w:r>
      <w:r w:rsidR="007251AB">
        <w:rPr>
          <w:noProof/>
        </w:rPr>
        <w:t>9</w:t>
      </w:r>
      <w:r w:rsidR="004E6566">
        <w:fldChar w:fldCharType="end"/>
      </w:r>
      <w:r>
        <w:t xml:space="preserve">. </w:t>
      </w:r>
      <w:r w:rsidRPr="00ED1833">
        <w:t>Rilevanza dei servizi offerti dagli incubatori/acceleratori</w:t>
      </w:r>
      <w:bookmarkEnd w:id="91"/>
      <w:r w:rsidR="00DD1A99" w:rsidRPr="00DD1A99">
        <w:rPr>
          <w:bCs/>
        </w:rPr>
        <w:t xml:space="preserve"> </w:t>
      </w:r>
    </w:p>
    <w:p w14:paraId="415BA3C1" w14:textId="77777777" w:rsidR="00DD1A99" w:rsidRPr="00DD1A99" w:rsidRDefault="00DD1A99" w:rsidP="00DC65CE">
      <w:r w:rsidRPr="00DD1A99">
        <w:rPr>
          <w:noProof/>
          <w:lang w:eastAsia="it-IT"/>
        </w:rPr>
        <w:drawing>
          <wp:inline distT="0" distB="0" distL="0" distR="0" wp14:anchorId="11303483" wp14:editId="015B4429">
            <wp:extent cx="4268208" cy="2725683"/>
            <wp:effectExtent l="0" t="0" r="0" b="0"/>
            <wp:docPr id="46"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23">
                      <a:duotone>
                        <a:prstClr val="black"/>
                        <a:schemeClr val="accent2">
                          <a:tint val="45000"/>
                          <a:satMod val="400000"/>
                        </a:schemeClr>
                      </a:duotone>
                    </a:blip>
                    <a:srcRect l="5499" t="11207" r="7854" b="7546"/>
                    <a:stretch>
                      <a:fillRect/>
                    </a:stretch>
                  </pic:blipFill>
                  <pic:spPr>
                    <a:xfrm>
                      <a:off x="0" y="0"/>
                      <a:ext cx="4268208" cy="2725683"/>
                    </a:xfrm>
                    <a:prstGeom prst="rect">
                      <a:avLst/>
                    </a:prstGeom>
                    <a:ln/>
                  </pic:spPr>
                </pic:pic>
              </a:graphicData>
            </a:graphic>
          </wp:inline>
        </w:drawing>
      </w:r>
    </w:p>
    <w:p w14:paraId="73A5F0F6" w14:textId="77777777" w:rsidR="00DD1A99" w:rsidRPr="00DD1A99" w:rsidRDefault="00DD1A99" w:rsidP="00B82EF6">
      <w:r w:rsidRPr="00DD1A99">
        <w:t>Fonte: Report sugli incubatori / acceleratori italiani. SIM – Social Innovation Monitor, 2021</w:t>
      </w:r>
    </w:p>
    <w:p w14:paraId="401A0E78" w14:textId="77777777" w:rsidR="00B82EF6" w:rsidRDefault="00B82EF6" w:rsidP="00B82EF6"/>
    <w:p w14:paraId="42A9EA3C" w14:textId="77777777" w:rsidR="00DD1A99" w:rsidRDefault="00DD1A99" w:rsidP="00B82EF6">
      <w:r w:rsidRPr="00DD1A99">
        <w:t xml:space="preserve">Un aspetto rilevante da considerare riguarda l’acquisizione di quote societarie da parte degli incubatori/acceleratori. Tale acquisizione può avvenire tramite investimenti di capitale di rischio oppure in cambio di prestazioni e servizi. </w:t>
      </w:r>
      <w:r w:rsidR="00B82EF6">
        <w:t>N</w:t>
      </w:r>
      <w:r w:rsidRPr="00DD1A99">
        <w:t xml:space="preserve">el 2020 oltre i due terzi degli incubatori/acceleratori del campione di analisi </w:t>
      </w:r>
      <w:r w:rsidR="00B82EF6">
        <w:t>h</w:t>
      </w:r>
      <w:r w:rsidRPr="00DD1A99">
        <w:t>a acquisito quote societarie nelle organizzazioni supportate.</w:t>
      </w:r>
    </w:p>
    <w:p w14:paraId="0B8BD512" w14:textId="77777777" w:rsidR="00B82EF6" w:rsidRPr="00DD1A99" w:rsidRDefault="00B82EF6" w:rsidP="00B82EF6">
      <w:pPr>
        <w:pStyle w:val="Didascalia"/>
      </w:pPr>
      <w:bookmarkStart w:id="92" w:name="_Toc91081479"/>
      <w:r>
        <w:t xml:space="preserve">Figura </w:t>
      </w:r>
      <w:r w:rsidR="004E6566">
        <w:fldChar w:fldCharType="begin"/>
      </w:r>
      <w:r>
        <w:instrText xml:space="preserve"> SEQ Figura \* ARABIC </w:instrText>
      </w:r>
      <w:r w:rsidR="004E6566">
        <w:fldChar w:fldCharType="separate"/>
      </w:r>
      <w:r w:rsidR="007251AB">
        <w:rPr>
          <w:noProof/>
        </w:rPr>
        <w:t>10</w:t>
      </w:r>
      <w:r w:rsidR="004E6566">
        <w:fldChar w:fldCharType="end"/>
      </w:r>
      <w:r>
        <w:t xml:space="preserve">. </w:t>
      </w:r>
      <w:r w:rsidRPr="00E71C61">
        <w:t>Distribuzione percentuale degli incubatori/acceleratori che acquisiscono quote societarie nelle organizzazioni supportate</w:t>
      </w:r>
      <w:bookmarkEnd w:id="92"/>
    </w:p>
    <w:p w14:paraId="0E79BBC7" w14:textId="77777777" w:rsidR="00B82EF6" w:rsidRDefault="00DD1A99" w:rsidP="00DC65CE">
      <w:r w:rsidRPr="00DD1A99">
        <w:rPr>
          <w:noProof/>
          <w:lang w:eastAsia="it-IT"/>
        </w:rPr>
        <w:drawing>
          <wp:inline distT="0" distB="0" distL="0" distR="0" wp14:anchorId="25527FB6" wp14:editId="68FA200A">
            <wp:extent cx="3138985" cy="2388359"/>
            <wp:effectExtent l="0" t="0" r="0" b="0"/>
            <wp:docPr id="47"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4">
                      <a:duotone>
                        <a:prstClr val="black"/>
                        <a:schemeClr val="accent2">
                          <a:tint val="45000"/>
                          <a:satMod val="400000"/>
                        </a:schemeClr>
                      </a:duotone>
                    </a:blip>
                    <a:srcRect/>
                    <a:stretch>
                      <a:fillRect/>
                    </a:stretch>
                  </pic:blipFill>
                  <pic:spPr>
                    <a:xfrm>
                      <a:off x="0" y="0"/>
                      <a:ext cx="3147064" cy="2394506"/>
                    </a:xfrm>
                    <a:prstGeom prst="rect">
                      <a:avLst/>
                    </a:prstGeom>
                    <a:ln/>
                  </pic:spPr>
                </pic:pic>
              </a:graphicData>
            </a:graphic>
          </wp:inline>
        </w:drawing>
      </w:r>
    </w:p>
    <w:p w14:paraId="6F258985" w14:textId="77777777" w:rsidR="00DD1A99" w:rsidRPr="00DD1A99" w:rsidRDefault="00DD1A99" w:rsidP="00B82EF6">
      <w:r w:rsidRPr="00DD1A99">
        <w:t>Fonte: Report sugli incubatori / acceleratori italiani. SIM – Social Innovation Monitor, 2021</w:t>
      </w:r>
    </w:p>
    <w:p w14:paraId="0E19B76B" w14:textId="77777777" w:rsidR="00B82EF6" w:rsidRDefault="00B82EF6" w:rsidP="00B82EF6"/>
    <w:p w14:paraId="0B9E4057" w14:textId="77777777" w:rsidR="00DD1A99" w:rsidRDefault="00DD1A99" w:rsidP="00B82EF6">
      <w:r w:rsidRPr="00DD1A99">
        <w:t xml:space="preserve">La </w:t>
      </w:r>
      <w:r w:rsidR="00B82EF6">
        <w:t>f</w:t>
      </w:r>
      <w:r w:rsidRPr="00DD1A99">
        <w:t xml:space="preserve">igura </w:t>
      </w:r>
      <w:r w:rsidR="00B82EF6">
        <w:t>seguente</w:t>
      </w:r>
      <w:r w:rsidRPr="00DD1A99">
        <w:t xml:space="preserve"> mette in evidenza come la maggior parte delle startup coinvolte in un percorso di incubazione/accelerazione provenga dal Nord Italia. Si tratta del 78% delle realtà coinvolte, un valore nettamente superiore rispetto al 13% relativo al Centro Italia e al 9% relativo a Sud e Isole.</w:t>
      </w:r>
    </w:p>
    <w:p w14:paraId="5117137C" w14:textId="77777777" w:rsidR="00B82EF6" w:rsidRPr="00DD1A99" w:rsidRDefault="00B82EF6" w:rsidP="00B82EF6"/>
    <w:p w14:paraId="7D5359A1" w14:textId="77777777" w:rsidR="00DD1A99" w:rsidRPr="00DD1A99" w:rsidRDefault="00B82EF6" w:rsidP="00B82EF6">
      <w:pPr>
        <w:pStyle w:val="Didascalia"/>
        <w:rPr>
          <w:bCs/>
        </w:rPr>
      </w:pPr>
      <w:bookmarkStart w:id="93" w:name="_Toc91081480"/>
      <w:r>
        <w:t xml:space="preserve">Figura </w:t>
      </w:r>
      <w:r w:rsidR="004E6566">
        <w:fldChar w:fldCharType="begin"/>
      </w:r>
      <w:r>
        <w:instrText xml:space="preserve"> SEQ Figura \* ARABIC </w:instrText>
      </w:r>
      <w:r w:rsidR="004E6566">
        <w:fldChar w:fldCharType="separate"/>
      </w:r>
      <w:r w:rsidR="007251AB">
        <w:rPr>
          <w:noProof/>
        </w:rPr>
        <w:t>11</w:t>
      </w:r>
      <w:r w:rsidR="004E6566">
        <w:fldChar w:fldCharType="end"/>
      </w:r>
      <w:r>
        <w:t xml:space="preserve">. </w:t>
      </w:r>
      <w:r w:rsidRPr="00EC72CA">
        <w:t>Distribuzione geografica delle startup incubate/accelerate nel 2020</w:t>
      </w:r>
      <w:bookmarkEnd w:id="93"/>
    </w:p>
    <w:p w14:paraId="01A270AD" w14:textId="77777777" w:rsidR="00DD1A99" w:rsidRPr="00DD1A99" w:rsidRDefault="00DD1A99" w:rsidP="00DC65CE">
      <w:r w:rsidRPr="00DD1A99">
        <w:rPr>
          <w:noProof/>
          <w:lang w:eastAsia="it-IT"/>
        </w:rPr>
        <w:drawing>
          <wp:inline distT="0" distB="0" distL="0" distR="0" wp14:anchorId="5EAC0A71" wp14:editId="09197B4E">
            <wp:extent cx="3280964" cy="2313973"/>
            <wp:effectExtent l="0" t="0" r="0" b="0"/>
            <wp:docPr id="51"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25">
                      <a:duotone>
                        <a:prstClr val="black"/>
                        <a:schemeClr val="accent2">
                          <a:tint val="45000"/>
                          <a:satMod val="400000"/>
                        </a:schemeClr>
                      </a:duotone>
                    </a:blip>
                    <a:srcRect/>
                    <a:stretch>
                      <a:fillRect/>
                    </a:stretch>
                  </pic:blipFill>
                  <pic:spPr>
                    <a:xfrm>
                      <a:off x="0" y="0"/>
                      <a:ext cx="3280964" cy="2313973"/>
                    </a:xfrm>
                    <a:prstGeom prst="rect">
                      <a:avLst/>
                    </a:prstGeom>
                    <a:ln/>
                  </pic:spPr>
                </pic:pic>
              </a:graphicData>
            </a:graphic>
          </wp:inline>
        </w:drawing>
      </w:r>
    </w:p>
    <w:p w14:paraId="4FC941A3" w14:textId="77777777" w:rsidR="00DD1A99" w:rsidRPr="00DD1A99" w:rsidRDefault="00DD1A99" w:rsidP="00B82EF6">
      <w:r w:rsidRPr="00DD1A99">
        <w:t>Fonte: Report sugli incubatori / acceleratori italiani. SIM – Social Innovation Monitor, 2021</w:t>
      </w:r>
    </w:p>
    <w:p w14:paraId="76E7EB2C" w14:textId="77777777" w:rsidR="00B82EF6" w:rsidRDefault="00B82EF6" w:rsidP="00B82EF6"/>
    <w:p w14:paraId="3A35DDF0" w14:textId="77777777" w:rsidR="00DD1A99" w:rsidRDefault="00B82EF6" w:rsidP="00B82EF6">
      <w:r>
        <w:t>Infine, l</w:t>
      </w:r>
      <w:r w:rsidR="00DD1A99" w:rsidRPr="00DD1A99">
        <w:t xml:space="preserve">a </w:t>
      </w:r>
      <w:r>
        <w:t>f</w:t>
      </w:r>
      <w:r w:rsidR="00DD1A99" w:rsidRPr="00DD1A99">
        <w:t xml:space="preserve">igura </w:t>
      </w:r>
      <w:r>
        <w:t>successiva</w:t>
      </w:r>
      <w:r w:rsidR="00DD1A99" w:rsidRPr="00DD1A99">
        <w:t xml:space="preserve"> evidenzia come siano tre i settori principali in cui operano le startup incubate/accelerate. Il primo riguarda i “servizi di informazione e comunicazione”, con circa il 40% delle startup. Il secondo settore è quello relativo alle “attività professionali, scientifiche e tecniche” (24%), il terzo le “attività manifatturiere” (16%).</w:t>
      </w:r>
    </w:p>
    <w:p w14:paraId="3F9009D8" w14:textId="77777777" w:rsidR="00B82EF6" w:rsidRPr="00DD1A99" w:rsidRDefault="00B82EF6" w:rsidP="00B82EF6"/>
    <w:p w14:paraId="13D66C27" w14:textId="77777777" w:rsidR="00DD1A99" w:rsidRPr="00DD1A99" w:rsidRDefault="00B82EF6" w:rsidP="00B82EF6">
      <w:pPr>
        <w:pStyle w:val="Didascalia"/>
        <w:rPr>
          <w:bCs/>
        </w:rPr>
      </w:pPr>
      <w:bookmarkStart w:id="94" w:name="_Toc91081481"/>
      <w:r>
        <w:t xml:space="preserve">Figura </w:t>
      </w:r>
      <w:r w:rsidR="004E6566">
        <w:fldChar w:fldCharType="begin"/>
      </w:r>
      <w:r>
        <w:instrText xml:space="preserve"> SEQ Figura \* ARABIC </w:instrText>
      </w:r>
      <w:r w:rsidR="004E6566">
        <w:fldChar w:fldCharType="separate"/>
      </w:r>
      <w:r w:rsidR="007251AB">
        <w:rPr>
          <w:noProof/>
        </w:rPr>
        <w:t>12</w:t>
      </w:r>
      <w:r w:rsidR="004E6566">
        <w:fldChar w:fldCharType="end"/>
      </w:r>
      <w:r>
        <w:t xml:space="preserve">. </w:t>
      </w:r>
      <w:r w:rsidRPr="004A3A03">
        <w:t>Distribuzione % delle startup incubate/accelerate in relazione al settore ATECO</w:t>
      </w:r>
      <w:bookmarkEnd w:id="94"/>
    </w:p>
    <w:p w14:paraId="23FFCEFD" w14:textId="77777777" w:rsidR="00DD1A99" w:rsidRPr="00DD1A99" w:rsidRDefault="00DD1A99" w:rsidP="00DC65CE">
      <w:r w:rsidRPr="00DD1A99">
        <w:rPr>
          <w:noProof/>
          <w:lang w:eastAsia="it-IT"/>
        </w:rPr>
        <w:drawing>
          <wp:inline distT="0" distB="0" distL="0" distR="0" wp14:anchorId="319C022E" wp14:editId="490C63F2">
            <wp:extent cx="5996940" cy="2202180"/>
            <wp:effectExtent l="0" t="0" r="3810" b="7620"/>
            <wp:docPr id="52"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6">
                      <a:duotone>
                        <a:prstClr val="black"/>
                        <a:schemeClr val="accent2">
                          <a:tint val="45000"/>
                          <a:satMod val="400000"/>
                        </a:schemeClr>
                      </a:duotone>
                    </a:blip>
                    <a:srcRect l="871" t="3212" r="1148" b="3934"/>
                    <a:stretch>
                      <a:fillRect/>
                    </a:stretch>
                  </pic:blipFill>
                  <pic:spPr>
                    <a:xfrm>
                      <a:off x="0" y="0"/>
                      <a:ext cx="5996940" cy="2202180"/>
                    </a:xfrm>
                    <a:prstGeom prst="rect">
                      <a:avLst/>
                    </a:prstGeom>
                    <a:ln/>
                  </pic:spPr>
                </pic:pic>
              </a:graphicData>
            </a:graphic>
          </wp:inline>
        </w:drawing>
      </w:r>
    </w:p>
    <w:p w14:paraId="27B489F1" w14:textId="77777777" w:rsidR="00DD1A99" w:rsidRPr="00DD1A99" w:rsidRDefault="00DD1A99" w:rsidP="00B82EF6">
      <w:r w:rsidRPr="00DD1A99">
        <w:t>Fonte: Report sugli incubatori / acceleratori italiani. SIM – Social Innovation Monitor, 2021</w:t>
      </w:r>
    </w:p>
    <w:p w14:paraId="541CA7B5" w14:textId="77777777" w:rsidR="00DD1A99" w:rsidRDefault="00DD1A99" w:rsidP="00B82EF6">
      <w:pPr>
        <w:rPr>
          <w:u w:val="single"/>
        </w:rPr>
      </w:pPr>
    </w:p>
    <w:p w14:paraId="6A5ABDB1" w14:textId="77777777" w:rsidR="00BF3994" w:rsidRPr="00DD1A99" w:rsidRDefault="00BF3994" w:rsidP="00B82EF6">
      <w:pPr>
        <w:rPr>
          <w:u w:val="single"/>
        </w:rPr>
      </w:pPr>
    </w:p>
    <w:p w14:paraId="362C2191" w14:textId="77777777" w:rsidR="00DD1A99" w:rsidRPr="00BF3994" w:rsidRDefault="00DD1A99" w:rsidP="00B82EF6">
      <w:pPr>
        <w:rPr>
          <w:b/>
          <w:bCs/>
          <w:i/>
          <w:iCs/>
        </w:rPr>
      </w:pPr>
      <w:r w:rsidRPr="00BF3994">
        <w:rPr>
          <w:b/>
          <w:bCs/>
          <w:i/>
          <w:iCs/>
        </w:rPr>
        <w:t>Venture capital, corporate venture capital e private equity</w:t>
      </w:r>
    </w:p>
    <w:p w14:paraId="56109197" w14:textId="77777777" w:rsidR="00DD1A99" w:rsidRPr="00BF3994" w:rsidRDefault="00DD1A99" w:rsidP="00B82EF6">
      <w:r w:rsidRPr="00BF3994">
        <w:t xml:space="preserve">Gli operatori di venture capital e in generale quelli di private equity a differenza dei business </w:t>
      </w:r>
      <w:proofErr w:type="spellStart"/>
      <w:r w:rsidRPr="00BF3994">
        <w:t>angel</w:t>
      </w:r>
      <w:proofErr w:type="spellEnd"/>
      <w:r w:rsidRPr="00BF3994">
        <w:t xml:space="preserve"> sono investitori formali e operano attraverso strutture giuridiche riconoscibili e definite. I fondi di venture capital operano generalmente attraverso lo strumento del fondo di investimento mobiliare chiuso, promosso da una società di gestione del risparmio. Quando viene costituito un fondo, l’obiettivo principale consiste nel raccogliere capitali presso investitori istituzionali o privati per investirli in società non quotate ad alto potenziale di sviluppo. I soggetti che operano attraverso un fondo chiuso si trovano ad affrontare tre fasi:</w:t>
      </w:r>
    </w:p>
    <w:p w14:paraId="54AE267F" w14:textId="77777777" w:rsidR="00DD1A99" w:rsidRPr="00DD1A99" w:rsidRDefault="00DD1A99" w:rsidP="0038676D">
      <w:pPr>
        <w:pStyle w:val="Paragrafoelenco"/>
        <w:numPr>
          <w:ilvl w:val="0"/>
          <w:numId w:val="29"/>
        </w:numPr>
      </w:pPr>
      <w:r w:rsidRPr="00BF3994">
        <w:rPr>
          <w:i/>
        </w:rPr>
        <w:t>Fundraising</w:t>
      </w:r>
      <w:r w:rsidRPr="00BF3994">
        <w:t>: in questa fase la società di gestione, proprietaria del fondo, raccoglie capitali dai</w:t>
      </w:r>
      <w:r w:rsidRPr="00DD1A99">
        <w:t xml:space="preserve"> cosiddetti sottoscrittori, cioè coloro che apportano denaro in cambio di quote del fondo. Vista la natura chiusa del fondo, tali quote non possono essere riscattate fino alla scadenza predefinita.</w:t>
      </w:r>
    </w:p>
    <w:p w14:paraId="3807AB68" w14:textId="77777777" w:rsidR="00DD1A99" w:rsidRPr="00DD1A99" w:rsidRDefault="00DD1A99" w:rsidP="0038676D">
      <w:pPr>
        <w:pStyle w:val="Paragrafoelenco"/>
        <w:numPr>
          <w:ilvl w:val="0"/>
          <w:numId w:val="29"/>
        </w:numPr>
      </w:pPr>
      <w:r w:rsidRPr="00B82EF6">
        <w:rPr>
          <w:i/>
        </w:rPr>
        <w:t>Investimento</w:t>
      </w:r>
      <w:r w:rsidRPr="00DD1A99">
        <w:t>: nella seconda fase la società di gestione, attraverso il fondo, si occupa di investire nelle imprese target i capitali raccolti in cambio di quote societarie delle imprese stesse.</w:t>
      </w:r>
    </w:p>
    <w:p w14:paraId="19478362" w14:textId="77777777" w:rsidR="00DD1A99" w:rsidRPr="00DD1A99" w:rsidRDefault="00DD1A99" w:rsidP="0038676D">
      <w:pPr>
        <w:pStyle w:val="Paragrafoelenco"/>
        <w:numPr>
          <w:ilvl w:val="0"/>
          <w:numId w:val="29"/>
        </w:numPr>
      </w:pPr>
      <w:r w:rsidRPr="00B82EF6">
        <w:rPr>
          <w:i/>
        </w:rPr>
        <w:t>Disinvestimento</w:t>
      </w:r>
      <w:r w:rsidRPr="00DD1A99">
        <w:t>: infine nell’ultima fase la società di gestione vende le quote societarie acquisite dalle imprese target, auspicabilmente ad un prezzo maggiore rispetto a quello di acquisizione. A questo punto l’ultimo atto consiste nel restituire ai sottoscrittori i capitali forniti, anche in questo caso auspicabilmente incrementati rispetto al momento della sottoscrizione.</w:t>
      </w:r>
    </w:p>
    <w:p w14:paraId="67880ED5" w14:textId="77777777" w:rsidR="0057601B" w:rsidRDefault="0057601B" w:rsidP="00B82EF6"/>
    <w:p w14:paraId="69ADDF1D" w14:textId="77777777" w:rsidR="00DD1A99" w:rsidRPr="00DD1A99" w:rsidRDefault="00DD1A99" w:rsidP="00B82EF6">
      <w:r w:rsidRPr="00DD1A99">
        <w:t>Il Corporate Venture Capital (CVC) descrive un'ampia varietà di forme di investimento azionario esercitate dalle società. Al livello più elementare il CVC descrive un investimento azionario fatto da una società o sua entità di investimento in un'impresa privata ad alta crescita e ad alto. Rispetto ad un fondo chiuso di venture capital che ha come obiettivo l’ottenimento di un rendimento, le società che mettono in pratica il CVC hanno un ulteriore obiettivo che riguarda l’aspetto strategico della società stessa. Nello specifico l’investimento potrebbe avere l’obiettivo di acquisire competenze che la società non possiede al proprio interno. Inoltre un’altra differenza riguarda l’origine dei capitali investiti, i quali provengono interamente dalla società e non da investitori istituzionali o privati come accade per i fondi di venture capital. Anche in relazione alla durata del fondo è presente una differenza, mentre i fondi di venture capital hanno una durata predeterminata, quelli di CVC non hanno una durata prestabilita e vincolata in termini contrattuali.</w:t>
      </w:r>
    </w:p>
    <w:p w14:paraId="4E553E4A" w14:textId="77777777" w:rsidR="0057601B" w:rsidRDefault="0057601B" w:rsidP="00B82EF6"/>
    <w:p w14:paraId="37438628" w14:textId="77777777" w:rsidR="00DD1A99" w:rsidRPr="00DD1A99" w:rsidRDefault="00DD1A99" w:rsidP="00B82EF6">
      <w:r w:rsidRPr="00DD1A99">
        <w:t xml:space="preserve">Il ruolo del venture </w:t>
      </w:r>
      <w:proofErr w:type="spellStart"/>
      <w:r w:rsidRPr="00DD1A99">
        <w:t>capitalist</w:t>
      </w:r>
      <w:proofErr w:type="spellEnd"/>
      <w:r w:rsidRPr="00DD1A99">
        <w:t xml:space="preserve"> non si esaurisce con l’apporto di capitale, ma prende parte in maniera attiva alla gestione dell’impresa offrendo supporto per l’implementazione del business plan e il raggiungimento degli obiettivi. Il venture </w:t>
      </w:r>
      <w:proofErr w:type="spellStart"/>
      <w:r w:rsidRPr="00DD1A99">
        <w:t>capitalist</w:t>
      </w:r>
      <w:proofErr w:type="spellEnd"/>
      <w:r w:rsidRPr="00DD1A99">
        <w:t xml:space="preserve"> condivide le proprie competenze sotto diversi punti di vista, tra i quali quello manageriale, finanziario e di marketing. Inoltre, la presenza di tale figura permette di accrescere l’immagine dell’impresa nei confronti delle banche e del mercato. Quindi la figura del venture </w:t>
      </w:r>
      <w:proofErr w:type="spellStart"/>
      <w:r w:rsidRPr="00DD1A99">
        <w:t>capitalist</w:t>
      </w:r>
      <w:proofErr w:type="spellEnd"/>
      <w:r w:rsidRPr="00DD1A99">
        <w:t xml:space="preserve"> si occupa di fornire capitale all’impresa e supportare l’imprenditore dal punto di vista operativo e strategico grazie al proprio background.</w:t>
      </w:r>
    </w:p>
    <w:p w14:paraId="347E8E3D" w14:textId="77777777" w:rsidR="0057601B" w:rsidRDefault="0057601B" w:rsidP="00B82EF6"/>
    <w:p w14:paraId="76238E9A" w14:textId="77777777" w:rsidR="00DD1A99" w:rsidRPr="00DD1A99" w:rsidRDefault="00DD1A99" w:rsidP="00B82EF6">
      <w:r w:rsidRPr="00DD1A99">
        <w:t>Per quanto riguarda il ciclo di vita delle startup, gli operatori di venture capital e private equity forniscono</w:t>
      </w:r>
      <w:r w:rsidR="0057601B">
        <w:t xml:space="preserve"> </w:t>
      </w:r>
      <w:r w:rsidRPr="00DD1A99">
        <w:t xml:space="preserve">capitale di rischio in alcune fasi più avanzate rispetto alle fasi in cui vengono coinvolti i business </w:t>
      </w:r>
      <w:proofErr w:type="spellStart"/>
      <w:r w:rsidRPr="00DD1A99">
        <w:t>angel</w:t>
      </w:r>
      <w:proofErr w:type="spellEnd"/>
      <w:r w:rsidRPr="00DD1A99">
        <w:t>. In particolare le imprese si rivolgono a questi operatori nella fase di startup, in quella di sviluppo e, in alcuni casi, nella fase più avanzata di espansione.</w:t>
      </w:r>
    </w:p>
    <w:p w14:paraId="4D229EFC" w14:textId="77777777" w:rsidR="0057601B" w:rsidRDefault="0057601B" w:rsidP="00B82EF6"/>
    <w:p w14:paraId="4439F8E5" w14:textId="77777777" w:rsidR="0057601B" w:rsidRDefault="00DD1A99" w:rsidP="00B82EF6">
      <w:r w:rsidRPr="00DD1A99">
        <w:t xml:space="preserve">Le statistiche presentate </w:t>
      </w:r>
      <w:r w:rsidR="0057601B">
        <w:t xml:space="preserve">nel proseguo </w:t>
      </w:r>
      <w:r w:rsidRPr="00DD1A99">
        <w:t xml:space="preserve">sono state elaborate da AIFI (Associazione Italiana del Private Equity, Venture Capital e Private </w:t>
      </w:r>
      <w:proofErr w:type="spellStart"/>
      <w:r w:rsidRPr="00DD1A99">
        <w:t>Debt</w:t>
      </w:r>
      <w:proofErr w:type="spellEnd"/>
      <w:r w:rsidRPr="00DD1A99">
        <w:t>) utilizzando i dati raccolti attraverso l’</w:t>
      </w:r>
      <w:proofErr w:type="spellStart"/>
      <w:r w:rsidRPr="00DD1A99">
        <w:t>European</w:t>
      </w:r>
      <w:proofErr w:type="spellEnd"/>
      <w:r w:rsidRPr="00DD1A99">
        <w:t xml:space="preserve"> Data Cooperative – EDC, un database comune alle principali associazioni europee del venture capital e del private equity.</w:t>
      </w:r>
      <w:r w:rsidR="0057601B" w:rsidRPr="0057601B">
        <w:t xml:space="preserve"> </w:t>
      </w:r>
      <w:r w:rsidR="0057601B">
        <w:t>La finalità è fornire informazioni sulle ca</w:t>
      </w:r>
      <w:r w:rsidR="0057601B" w:rsidRPr="00DD1A99">
        <w:t xml:space="preserve">ratteristiche degli operatori di venture capital e private equity in Italia e </w:t>
      </w:r>
      <w:r w:rsidR="0057601B">
        <w:t xml:space="preserve">sulle </w:t>
      </w:r>
      <w:r w:rsidR="0057601B" w:rsidRPr="00DD1A99">
        <w:t>imprese target.</w:t>
      </w:r>
      <w:r w:rsidR="0057601B">
        <w:t xml:space="preserve"> </w:t>
      </w:r>
      <w:r w:rsidRPr="00DD1A99">
        <w:t xml:space="preserve">L’elaborazione dei dati condotta da AIFI prende in considerazione 155 operatori. </w:t>
      </w:r>
    </w:p>
    <w:p w14:paraId="7F0E50BD" w14:textId="77777777" w:rsidR="0057601B" w:rsidRDefault="0057601B" w:rsidP="00B82EF6"/>
    <w:p w14:paraId="633C63E9" w14:textId="77777777" w:rsidR="00DD1A99" w:rsidRDefault="00DD1A99" w:rsidP="00B82EF6">
      <w:r w:rsidRPr="00DD1A99">
        <w:t xml:space="preserve">Nella </w:t>
      </w:r>
      <w:r w:rsidR="00DC65CE">
        <w:t>f</w:t>
      </w:r>
      <w:r w:rsidRPr="00DD1A99">
        <w:t xml:space="preserve">igura </w:t>
      </w:r>
      <w:r w:rsidR="00DC65CE">
        <w:t xml:space="preserve">seguente </w:t>
      </w:r>
      <w:r w:rsidRPr="00DD1A99">
        <w:t>è possibile osservare come si sono distribuiti gli operatori rispetto alle tre fasi del ciclo di vita di un fondo. In particolare la maggior parte del campione (83%) è risultata attiva nella seconda fase, quella dedicata agli investimenti.</w:t>
      </w:r>
    </w:p>
    <w:p w14:paraId="1ED1C839" w14:textId="77777777" w:rsidR="00B82EF6" w:rsidRPr="00DD1A99" w:rsidRDefault="00B82EF6" w:rsidP="00B82EF6"/>
    <w:p w14:paraId="70FAFFBB" w14:textId="77777777" w:rsidR="00DD1A99" w:rsidRPr="00DD1A99" w:rsidRDefault="00DC65CE" w:rsidP="00DC65CE">
      <w:pPr>
        <w:pStyle w:val="Didascalia"/>
        <w:rPr>
          <w:b w:val="0"/>
          <w:bCs/>
        </w:rPr>
      </w:pPr>
      <w:bookmarkStart w:id="95" w:name="_Toc91081482"/>
      <w:r>
        <w:t xml:space="preserve">Figura </w:t>
      </w:r>
      <w:r w:rsidR="004E6566">
        <w:fldChar w:fldCharType="begin"/>
      </w:r>
      <w:r>
        <w:instrText xml:space="preserve"> SEQ Figura \* ARABIC </w:instrText>
      </w:r>
      <w:r w:rsidR="004E6566">
        <w:fldChar w:fldCharType="separate"/>
      </w:r>
      <w:r w:rsidR="007251AB">
        <w:rPr>
          <w:noProof/>
        </w:rPr>
        <w:t>13</w:t>
      </w:r>
      <w:r w:rsidR="004E6566">
        <w:fldChar w:fldCharType="end"/>
      </w:r>
      <w:r>
        <w:t xml:space="preserve">. </w:t>
      </w:r>
      <w:r w:rsidRPr="003F0589">
        <w:t xml:space="preserve">Distribuzione % degli operatori </w:t>
      </w:r>
      <w:r w:rsidR="0027415B">
        <w:t xml:space="preserve">di Venture Capital </w:t>
      </w:r>
      <w:r w:rsidRPr="003F0589">
        <w:t>attivi nelle diverse fasi di attività nel 2019</w:t>
      </w:r>
      <w:bookmarkEnd w:id="95"/>
    </w:p>
    <w:p w14:paraId="68319EA5" w14:textId="77777777" w:rsidR="00DD1A99" w:rsidRPr="00DD1A99" w:rsidRDefault="00DD1A99" w:rsidP="00DC65CE">
      <w:r w:rsidRPr="00DD1A99">
        <w:rPr>
          <w:noProof/>
          <w:lang w:eastAsia="it-IT"/>
        </w:rPr>
        <w:drawing>
          <wp:inline distT="0" distB="0" distL="0" distR="0" wp14:anchorId="7B630E75" wp14:editId="222E8CA7">
            <wp:extent cx="4570819" cy="2334624"/>
            <wp:effectExtent l="0" t="0" r="0" b="0"/>
            <wp:docPr id="53"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7">
                      <a:duotone>
                        <a:prstClr val="black"/>
                        <a:schemeClr val="accent2">
                          <a:tint val="45000"/>
                          <a:satMod val="400000"/>
                        </a:schemeClr>
                      </a:duotone>
                    </a:blip>
                    <a:srcRect/>
                    <a:stretch>
                      <a:fillRect/>
                    </a:stretch>
                  </pic:blipFill>
                  <pic:spPr>
                    <a:xfrm>
                      <a:off x="0" y="0"/>
                      <a:ext cx="4570819" cy="2334624"/>
                    </a:xfrm>
                    <a:prstGeom prst="rect">
                      <a:avLst/>
                    </a:prstGeom>
                    <a:ln/>
                  </pic:spPr>
                </pic:pic>
              </a:graphicData>
            </a:graphic>
          </wp:inline>
        </w:drawing>
      </w:r>
    </w:p>
    <w:p w14:paraId="52A00791" w14:textId="77777777" w:rsidR="00DD1A99" w:rsidRDefault="00DD1A99" w:rsidP="00B82EF6">
      <w:r w:rsidRPr="00DD1A99">
        <w:t>Fonte: Il mercato italiano del private equity e venture capital, 2019, AIFI</w:t>
      </w:r>
    </w:p>
    <w:p w14:paraId="604F2788" w14:textId="77777777" w:rsidR="00B82EF6" w:rsidRPr="00DD1A99" w:rsidRDefault="00B82EF6" w:rsidP="00B82EF6"/>
    <w:p w14:paraId="57AC6EC9" w14:textId="77777777" w:rsidR="00DD1A99" w:rsidRDefault="00DD1A99" w:rsidP="00B82EF6">
      <w:r w:rsidRPr="00DD1A99">
        <w:t xml:space="preserve">Nella </w:t>
      </w:r>
      <w:r w:rsidR="00DC65CE">
        <w:t>f</w:t>
      </w:r>
      <w:r w:rsidRPr="00DD1A99">
        <w:t xml:space="preserve">igura </w:t>
      </w:r>
      <w:r w:rsidR="00DC65CE">
        <w:t>sottostante,</w:t>
      </w:r>
      <w:r w:rsidRPr="00DD1A99">
        <w:t xml:space="preserve"> invece, è stato rappresentato l’andamento dei capitali raccolti durante la fase di fundraising tra il 2015 e il 2019. Si nota come l’ammontare raccolto dal 2017 sia diminuito fino ad arrivare ai 1.591 milioni di euro nel 2019.</w:t>
      </w:r>
    </w:p>
    <w:p w14:paraId="0D2301D2" w14:textId="77777777" w:rsidR="00DC65CE" w:rsidRPr="00DD1A99" w:rsidRDefault="00DC65CE" w:rsidP="00B82EF6"/>
    <w:p w14:paraId="13097EE1" w14:textId="77777777" w:rsidR="00DD1A99" w:rsidRPr="00DD1A99" w:rsidRDefault="00DC65CE" w:rsidP="00DC65CE">
      <w:pPr>
        <w:pStyle w:val="Didascalia"/>
        <w:rPr>
          <w:b w:val="0"/>
          <w:bCs/>
        </w:rPr>
      </w:pPr>
      <w:bookmarkStart w:id="96" w:name="_Toc91081483"/>
      <w:r>
        <w:t xml:space="preserve">Figura </w:t>
      </w:r>
      <w:r w:rsidR="004E6566">
        <w:fldChar w:fldCharType="begin"/>
      </w:r>
      <w:r>
        <w:instrText xml:space="preserve"> SEQ Figura \* ARABIC </w:instrText>
      </w:r>
      <w:r w:rsidR="004E6566">
        <w:fldChar w:fldCharType="separate"/>
      </w:r>
      <w:r w:rsidR="007251AB">
        <w:rPr>
          <w:noProof/>
        </w:rPr>
        <w:t>14</w:t>
      </w:r>
      <w:r w:rsidR="004E6566">
        <w:fldChar w:fldCharType="end"/>
      </w:r>
      <w:r>
        <w:t xml:space="preserve">. </w:t>
      </w:r>
      <w:r w:rsidRPr="00BE6C2F">
        <w:t xml:space="preserve">Evoluzione dei capitali raccolti </w:t>
      </w:r>
      <w:r w:rsidR="0027415B">
        <w:t xml:space="preserve">da Venture Capital </w:t>
      </w:r>
      <w:r w:rsidRPr="00BE6C2F">
        <w:t>(Euro Mln)</w:t>
      </w:r>
      <w:bookmarkEnd w:id="96"/>
    </w:p>
    <w:p w14:paraId="6E5529F2" w14:textId="77777777" w:rsidR="00DD1A99" w:rsidRPr="00DD1A99" w:rsidRDefault="00DD1A99" w:rsidP="00DC65CE">
      <w:r w:rsidRPr="00DD1A99">
        <w:rPr>
          <w:noProof/>
          <w:lang w:eastAsia="it-IT"/>
        </w:rPr>
        <w:drawing>
          <wp:inline distT="0" distB="0" distL="0" distR="0" wp14:anchorId="6ED696BE" wp14:editId="3961DA14">
            <wp:extent cx="4484535" cy="2321781"/>
            <wp:effectExtent l="0" t="0" r="0" b="0"/>
            <wp:docPr id="54"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28">
                      <a:duotone>
                        <a:prstClr val="black"/>
                        <a:schemeClr val="accent2">
                          <a:tint val="45000"/>
                          <a:satMod val="400000"/>
                        </a:schemeClr>
                      </a:duotone>
                    </a:blip>
                    <a:srcRect/>
                    <a:stretch>
                      <a:fillRect/>
                    </a:stretch>
                  </pic:blipFill>
                  <pic:spPr>
                    <a:xfrm>
                      <a:off x="0" y="0"/>
                      <a:ext cx="4489708" cy="2324459"/>
                    </a:xfrm>
                    <a:prstGeom prst="rect">
                      <a:avLst/>
                    </a:prstGeom>
                    <a:ln/>
                  </pic:spPr>
                </pic:pic>
              </a:graphicData>
            </a:graphic>
          </wp:inline>
        </w:drawing>
      </w:r>
    </w:p>
    <w:p w14:paraId="54370932" w14:textId="77777777" w:rsidR="00DD1A99" w:rsidRDefault="00DD1A99" w:rsidP="00B82EF6">
      <w:r w:rsidRPr="00DD1A99">
        <w:t>Fonte: Il mercato italiano del private equity e venture capital, 2019, AIFI</w:t>
      </w:r>
    </w:p>
    <w:p w14:paraId="5E68ACBD" w14:textId="77777777" w:rsidR="00B82EF6" w:rsidRPr="00DD1A99" w:rsidRDefault="00B82EF6" w:rsidP="00B82EF6"/>
    <w:p w14:paraId="70B7A5E0" w14:textId="77777777" w:rsidR="00DD1A99" w:rsidRPr="00DD1A99" w:rsidRDefault="00DD1A99" w:rsidP="00B82EF6">
      <w:r w:rsidRPr="00DD1A99">
        <w:t xml:space="preserve">I capitali raccolti possono provenire da diverse fonti. </w:t>
      </w:r>
      <w:r w:rsidR="00DC65CE">
        <w:t>N</w:t>
      </w:r>
      <w:r w:rsidRPr="00DD1A99">
        <w:t>el 2019, i principali sottoscrittori dei fondi sono stati i fondi pensione e le casse di previdenza (23,6%), il settore pubblico e i fondi istituzionali (22,2%), gli investitori individuali e i family office (20,6%).</w:t>
      </w:r>
    </w:p>
    <w:p w14:paraId="50636CB3" w14:textId="77777777" w:rsidR="00DD1A99" w:rsidRPr="00DD1A99" w:rsidRDefault="00DD1A99" w:rsidP="00DD1A99">
      <w:pPr>
        <w:spacing w:after="320" w:line="300" w:lineRule="auto"/>
        <w:jc w:val="left"/>
      </w:pPr>
    </w:p>
    <w:p w14:paraId="114DDF47" w14:textId="77777777" w:rsidR="00DD1A99" w:rsidRPr="00DD1A99" w:rsidRDefault="00DC65CE" w:rsidP="00DC65CE">
      <w:pPr>
        <w:pStyle w:val="Didascalia"/>
        <w:rPr>
          <w:b w:val="0"/>
          <w:bCs/>
        </w:rPr>
      </w:pPr>
      <w:bookmarkStart w:id="97" w:name="_Toc91081484"/>
      <w:r>
        <w:t xml:space="preserve">Figura </w:t>
      </w:r>
      <w:r w:rsidR="004E6566">
        <w:fldChar w:fldCharType="begin"/>
      </w:r>
      <w:r>
        <w:instrText xml:space="preserve"> SEQ Figura \* ARABIC </w:instrText>
      </w:r>
      <w:r w:rsidR="004E6566">
        <w:fldChar w:fldCharType="separate"/>
      </w:r>
      <w:r w:rsidR="007251AB">
        <w:rPr>
          <w:noProof/>
        </w:rPr>
        <w:t>15</w:t>
      </w:r>
      <w:r w:rsidR="004E6566">
        <w:fldChar w:fldCharType="end"/>
      </w:r>
      <w:r>
        <w:t xml:space="preserve">. </w:t>
      </w:r>
      <w:r w:rsidRPr="000C76A4">
        <w:t xml:space="preserve">Origine dei capitali raccolti sul mercato </w:t>
      </w:r>
      <w:r w:rsidR="00216F3A">
        <w:t xml:space="preserve">(Venture Capital e Private Equity) </w:t>
      </w:r>
      <w:r w:rsidRPr="000C76A4">
        <w:t>per tipologie di fonte, nel 2019</w:t>
      </w:r>
      <w:bookmarkEnd w:id="97"/>
    </w:p>
    <w:p w14:paraId="737B6EDF" w14:textId="77777777" w:rsidR="00DD1A99" w:rsidRPr="00DD1A99" w:rsidRDefault="00DD1A99" w:rsidP="00DC65CE">
      <w:r w:rsidRPr="00DD1A99">
        <w:rPr>
          <w:noProof/>
          <w:lang w:eastAsia="it-IT"/>
        </w:rPr>
        <w:drawing>
          <wp:inline distT="0" distB="0" distL="0" distR="0" wp14:anchorId="79F81032" wp14:editId="3C9253B0">
            <wp:extent cx="4977516" cy="2083242"/>
            <wp:effectExtent l="0" t="0" r="0" b="0"/>
            <wp:docPr id="55"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9">
                      <a:duotone>
                        <a:prstClr val="black"/>
                        <a:schemeClr val="accent2">
                          <a:tint val="45000"/>
                          <a:satMod val="400000"/>
                        </a:schemeClr>
                      </a:duotone>
                    </a:blip>
                    <a:srcRect l="1108" t="2913" r="386" b="4182"/>
                    <a:stretch>
                      <a:fillRect/>
                    </a:stretch>
                  </pic:blipFill>
                  <pic:spPr>
                    <a:xfrm>
                      <a:off x="0" y="0"/>
                      <a:ext cx="4990899" cy="2088843"/>
                    </a:xfrm>
                    <a:prstGeom prst="rect">
                      <a:avLst/>
                    </a:prstGeom>
                    <a:ln/>
                  </pic:spPr>
                </pic:pic>
              </a:graphicData>
            </a:graphic>
          </wp:inline>
        </w:drawing>
      </w:r>
    </w:p>
    <w:p w14:paraId="6159572C" w14:textId="77777777" w:rsidR="00DD1A99" w:rsidRDefault="00DD1A99" w:rsidP="00DC65CE">
      <w:r w:rsidRPr="00DD1A99">
        <w:t>Fonte: Il mercato italiano del private equity e venture capital, 2019, AIFI</w:t>
      </w:r>
    </w:p>
    <w:p w14:paraId="3B721E0F" w14:textId="77777777" w:rsidR="00DC65CE" w:rsidRPr="00DD1A99" w:rsidRDefault="00DC65CE" w:rsidP="00DC65CE"/>
    <w:p w14:paraId="23F7EE95" w14:textId="77777777" w:rsidR="00DC65CE" w:rsidRPr="00DD1A99" w:rsidRDefault="00DC65CE" w:rsidP="00DC65CE"/>
    <w:p w14:paraId="79888864" w14:textId="77777777" w:rsidR="00DD1A99" w:rsidRDefault="00DD1A99" w:rsidP="00DC65CE">
      <w:r w:rsidRPr="00DD1A99">
        <w:t>Dal punto di vista della distribuzione geografica</w:t>
      </w:r>
      <w:r w:rsidR="00DC65CE">
        <w:t xml:space="preserve">, </w:t>
      </w:r>
      <w:r w:rsidRPr="00DD1A99">
        <w:t>l’ammontare investito risulta prevalente nelle regioni del Nord Italia, con un valore pari al 78% degli investimenti complessivi nel 2019.</w:t>
      </w:r>
    </w:p>
    <w:p w14:paraId="05E5625D" w14:textId="77777777" w:rsidR="00DC65CE" w:rsidRDefault="00DC65CE" w:rsidP="00DC65CE"/>
    <w:p w14:paraId="4BFB2AFA" w14:textId="77777777" w:rsidR="00DC65CE" w:rsidRPr="00DD1A99" w:rsidRDefault="00DC65CE" w:rsidP="00DC65CE">
      <w:pPr>
        <w:pStyle w:val="Didascalia"/>
      </w:pPr>
      <w:bookmarkStart w:id="98" w:name="_Toc91081485"/>
      <w:r>
        <w:t xml:space="preserve">Figura </w:t>
      </w:r>
      <w:r w:rsidR="004E6566">
        <w:fldChar w:fldCharType="begin"/>
      </w:r>
      <w:r>
        <w:instrText xml:space="preserve"> SEQ Figura \* ARABIC </w:instrText>
      </w:r>
      <w:r w:rsidR="004E6566">
        <w:fldChar w:fldCharType="separate"/>
      </w:r>
      <w:r w:rsidR="007251AB">
        <w:rPr>
          <w:noProof/>
        </w:rPr>
        <w:t>16</w:t>
      </w:r>
      <w:r w:rsidR="004E6566">
        <w:fldChar w:fldCharType="end"/>
      </w:r>
      <w:r>
        <w:t xml:space="preserve">. </w:t>
      </w:r>
      <w:r w:rsidRPr="00276039">
        <w:t>Distribuzione geografica dell’ammontare investito nel 2019</w:t>
      </w:r>
      <w:r w:rsidR="0027415B">
        <w:t xml:space="preserve"> (Venture Capital)</w:t>
      </w:r>
      <w:bookmarkEnd w:id="98"/>
    </w:p>
    <w:p w14:paraId="7DACA490" w14:textId="77777777" w:rsidR="00DD1A99" w:rsidRPr="00DD1A99" w:rsidRDefault="00DD1A99" w:rsidP="00DC65CE">
      <w:r w:rsidRPr="00DD1A99">
        <w:rPr>
          <w:noProof/>
          <w:lang w:eastAsia="it-IT"/>
        </w:rPr>
        <w:drawing>
          <wp:inline distT="0" distB="0" distL="0" distR="0" wp14:anchorId="54A154C9" wp14:editId="4C3E98A8">
            <wp:extent cx="4929808" cy="2594748"/>
            <wp:effectExtent l="0" t="0" r="0" b="0"/>
            <wp:docPr id="2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0">
                      <a:duotone>
                        <a:prstClr val="black"/>
                        <a:schemeClr val="accent2">
                          <a:tint val="45000"/>
                          <a:satMod val="400000"/>
                        </a:schemeClr>
                      </a:duotone>
                    </a:blip>
                    <a:srcRect/>
                    <a:stretch>
                      <a:fillRect/>
                    </a:stretch>
                  </pic:blipFill>
                  <pic:spPr>
                    <a:xfrm>
                      <a:off x="0" y="0"/>
                      <a:ext cx="4935070" cy="2597518"/>
                    </a:xfrm>
                    <a:prstGeom prst="rect">
                      <a:avLst/>
                    </a:prstGeom>
                    <a:ln/>
                  </pic:spPr>
                </pic:pic>
              </a:graphicData>
            </a:graphic>
          </wp:inline>
        </w:drawing>
      </w:r>
    </w:p>
    <w:p w14:paraId="63323028" w14:textId="77777777" w:rsidR="00DD1A99" w:rsidRPr="00DD1A99" w:rsidRDefault="00DD1A99" w:rsidP="00DC65CE">
      <w:r w:rsidRPr="00DD1A99">
        <w:t>Fonte: Il mercato italiano del private equity e venture capital, 2019, AIFI</w:t>
      </w:r>
    </w:p>
    <w:p w14:paraId="176E5483" w14:textId="77777777" w:rsidR="00DC65CE" w:rsidRDefault="00DC65CE" w:rsidP="00DC65CE"/>
    <w:p w14:paraId="7EACE13B" w14:textId="77777777" w:rsidR="00DD1A99" w:rsidRDefault="00DD1A99" w:rsidP="00DC65CE">
      <w:r w:rsidRPr="00DD1A99">
        <w:t xml:space="preserve">Un dato interessante viene fornito dalla statistica relativa ai settori in cui operano le imprese oggetto degli investimenti. Nella </w:t>
      </w:r>
      <w:r w:rsidR="00DC65CE">
        <w:t>f</w:t>
      </w:r>
      <w:r w:rsidRPr="00DD1A99">
        <w:t xml:space="preserve">igura </w:t>
      </w:r>
      <w:r w:rsidR="00DC65CE">
        <w:t>seguente</w:t>
      </w:r>
      <w:r w:rsidRPr="00DD1A99">
        <w:t xml:space="preserve"> si può osservare come siano tre i settori maggiormente coinvolti: ICT (17% degli investimenti totali), Beni e Servizi Industriali (15%) e Medicale (13%).</w:t>
      </w:r>
    </w:p>
    <w:p w14:paraId="494984C0" w14:textId="77777777" w:rsidR="00DC65CE" w:rsidRDefault="00DC65CE" w:rsidP="00DC65CE"/>
    <w:p w14:paraId="24769E61" w14:textId="77777777" w:rsidR="00DC65CE" w:rsidRPr="00DD1A99" w:rsidRDefault="00DC65CE" w:rsidP="00DC65CE">
      <w:pPr>
        <w:pStyle w:val="Didascalia"/>
      </w:pPr>
      <w:bookmarkStart w:id="99" w:name="_Toc91081486"/>
      <w:r>
        <w:t xml:space="preserve">Figura </w:t>
      </w:r>
      <w:r w:rsidR="004E6566">
        <w:fldChar w:fldCharType="begin"/>
      </w:r>
      <w:r>
        <w:instrText xml:space="preserve"> SEQ Figura \* ARABIC </w:instrText>
      </w:r>
      <w:r w:rsidR="004E6566">
        <w:fldChar w:fldCharType="separate"/>
      </w:r>
      <w:r w:rsidR="007251AB">
        <w:rPr>
          <w:noProof/>
        </w:rPr>
        <w:t>17</w:t>
      </w:r>
      <w:r w:rsidR="004E6566">
        <w:fldChar w:fldCharType="end"/>
      </w:r>
      <w:r>
        <w:t xml:space="preserve">. </w:t>
      </w:r>
      <w:r w:rsidRPr="00001F1F">
        <w:t>Distribuzione settoriale della percentuale di investimenti realizzati nel 2019</w:t>
      </w:r>
      <w:r w:rsidR="00216F3A">
        <w:t xml:space="preserve"> (Venture Capital e Private Equity)</w:t>
      </w:r>
      <w:bookmarkEnd w:id="99"/>
    </w:p>
    <w:p w14:paraId="75A6C6E7" w14:textId="77777777" w:rsidR="00DD1A99" w:rsidRPr="00DD1A99" w:rsidRDefault="00DD1A99" w:rsidP="00DC65CE">
      <w:r w:rsidRPr="00DD1A99">
        <w:rPr>
          <w:noProof/>
          <w:lang w:eastAsia="it-IT"/>
        </w:rPr>
        <w:drawing>
          <wp:inline distT="0" distB="0" distL="0" distR="0" wp14:anchorId="1873459E" wp14:editId="1942770C">
            <wp:extent cx="5808121" cy="3564874"/>
            <wp:effectExtent l="0" t="0" r="2540" b="0"/>
            <wp:docPr id="2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1">
                      <a:duotone>
                        <a:prstClr val="black"/>
                        <a:schemeClr val="accent2">
                          <a:tint val="45000"/>
                          <a:satMod val="400000"/>
                        </a:schemeClr>
                      </a:duotone>
                    </a:blip>
                    <a:srcRect l="968" t="2885" r="4138" b="3705"/>
                    <a:stretch>
                      <a:fillRect/>
                    </a:stretch>
                  </pic:blipFill>
                  <pic:spPr>
                    <a:xfrm>
                      <a:off x="0" y="0"/>
                      <a:ext cx="5808121" cy="3564874"/>
                    </a:xfrm>
                    <a:prstGeom prst="rect">
                      <a:avLst/>
                    </a:prstGeom>
                    <a:noFill/>
                    <a:ln/>
                  </pic:spPr>
                </pic:pic>
              </a:graphicData>
            </a:graphic>
          </wp:inline>
        </w:drawing>
      </w:r>
    </w:p>
    <w:p w14:paraId="1A2979B1" w14:textId="77777777" w:rsidR="00DD1A99" w:rsidRDefault="00DD1A99" w:rsidP="00DC65CE">
      <w:r w:rsidRPr="00DD1A99">
        <w:t>Fonte: Il mercato italiano del private equity e venture capital, 2019, AIFI</w:t>
      </w:r>
    </w:p>
    <w:p w14:paraId="442E32D3" w14:textId="77777777" w:rsidR="00DD1A99" w:rsidRPr="00DD1A99" w:rsidRDefault="00DD1A99" w:rsidP="00DD1A99">
      <w:pPr>
        <w:spacing w:after="320" w:line="300" w:lineRule="auto"/>
        <w:jc w:val="left"/>
        <w:rPr>
          <w:i/>
          <w:u w:val="single"/>
        </w:rPr>
      </w:pPr>
    </w:p>
    <w:p w14:paraId="3B6092FB" w14:textId="77777777" w:rsidR="00DD1A99" w:rsidRPr="00DC65CE" w:rsidRDefault="00DD1A99" w:rsidP="00DC65CE">
      <w:pPr>
        <w:rPr>
          <w:b/>
          <w:bCs/>
          <w:i/>
          <w:iCs/>
        </w:rPr>
      </w:pPr>
      <w:r w:rsidRPr="00DC65CE">
        <w:rPr>
          <w:b/>
          <w:bCs/>
          <w:i/>
          <w:iCs/>
        </w:rPr>
        <w:t>Equity crowdfunding</w:t>
      </w:r>
    </w:p>
    <w:p w14:paraId="02F38838" w14:textId="77777777" w:rsidR="00DD1A99" w:rsidRPr="00DD1A99" w:rsidRDefault="00DD1A99" w:rsidP="00DC65CE">
      <w:r w:rsidRPr="00DD1A99">
        <w:t>Tra le diverse alternative di raccolta dei capitali che le startup hanno a disposizione è presente anche l’equity crowdfunding, un sistema di raccolta di capitali tramite portali internet autorizzati da Consob e orientati a sostenere i progetti imprenditoriali delle startup innovative.</w:t>
      </w:r>
    </w:p>
    <w:p w14:paraId="53BD886F" w14:textId="77777777" w:rsidR="00DD1A99" w:rsidRPr="00DD1A99" w:rsidRDefault="00DD1A99" w:rsidP="00DC65CE">
      <w:r w:rsidRPr="00DD1A99">
        <w:t>Attraverso le piattaforme di equity crowdfunding si possono raccogliere capitali, consentendo a persone fisiche o giuridiche di sottoscrivere titoli di partecipazione di startup innovative attraverso portali online, diventandone soci a tutti gli effetti (</w:t>
      </w:r>
      <w:proofErr w:type="spellStart"/>
      <w:r w:rsidRPr="00DD1A99">
        <w:t>VentureUp</w:t>
      </w:r>
      <w:proofErr w:type="spellEnd"/>
      <w:r w:rsidRPr="00DD1A99">
        <w:t>, AIFI). Questa attività si caratterizza, rispetto ad altre forme di raccolta fondi (“funding”), dall’essere rivolta a un elevato numero di destinatari (“</w:t>
      </w:r>
      <w:proofErr w:type="spellStart"/>
      <w:r w:rsidRPr="00DD1A99">
        <w:t>crowd</w:t>
      </w:r>
      <w:proofErr w:type="spellEnd"/>
      <w:r w:rsidRPr="00DD1A99">
        <w:t>”) offrendo strumenti partecipativi al capitale di rischio.</w:t>
      </w:r>
    </w:p>
    <w:p w14:paraId="2927FE18" w14:textId="77777777" w:rsidR="00DD1A99" w:rsidRPr="00DD1A99" w:rsidRDefault="00DD1A99" w:rsidP="00DC65CE">
      <w:r w:rsidRPr="00DD1A99">
        <w:t xml:space="preserve">Dal punto di vista del ciclo di vita, generalmente le startup avviano campagne di equity crowdfunding nelle fasi iniziali, in particolare nella fase di </w:t>
      </w:r>
      <w:proofErr w:type="spellStart"/>
      <w:r w:rsidRPr="00DD1A99">
        <w:t>seed</w:t>
      </w:r>
      <w:proofErr w:type="spellEnd"/>
      <w:r w:rsidRPr="00DD1A99">
        <w:t xml:space="preserve"> e in quella di start-up.</w:t>
      </w:r>
    </w:p>
    <w:p w14:paraId="7E4B9B2F" w14:textId="77777777" w:rsidR="00DD1A99" w:rsidRPr="00DD1A99" w:rsidRDefault="00DD1A99" w:rsidP="00DC65CE">
      <w:r w:rsidRPr="00DD1A99">
        <w:t xml:space="preserve">Di seguito vengono riportate alcune statistiche sulle campagne di equity crowdfunding in Italia e sulle caratteristiche delle startup coinvolte. Tali statistiche sono riportate nel 5° Report italiano sul </w:t>
      </w:r>
      <w:proofErr w:type="spellStart"/>
      <w:r w:rsidRPr="00DD1A99">
        <w:t>CrowdInvesting</w:t>
      </w:r>
      <w:proofErr w:type="spellEnd"/>
      <w:r w:rsidRPr="00DD1A99">
        <w:t xml:space="preserve"> realizzato dal Dipartimento di Ingegneria Gestionale del Politecnico di Milano nel 2020 e sono state elaborate sul campione delle 595 campagne di equity crowdfunding avviate in Italia a partire dal 2014.</w:t>
      </w:r>
    </w:p>
    <w:p w14:paraId="358D4A51" w14:textId="77777777" w:rsidR="00DD1A99" w:rsidRDefault="00DD1A99" w:rsidP="00DC65CE">
      <w:r w:rsidRPr="00DD1A99">
        <w:t>In Italia il numero di campagne di equity crowdfunding concluse ogni anno risulta sempre in crescita dal 2014. In particolare, nel primo semestre del 2020 il numero di campagne chiuse con successo è stato pari a 70, in linea con il valore del 2019 e in crescita rispetto agli anni precedenti. Inoltre è possibile osservare come nel 2019 e nel primo semestre del 2020 il numero di campagne chiuse senza successo sia circa un quarto rispetto al totale delle campagne concluse.</w:t>
      </w:r>
    </w:p>
    <w:p w14:paraId="0868E32A" w14:textId="77777777" w:rsidR="00BF19A0" w:rsidRPr="00DD1A99" w:rsidRDefault="00BF19A0" w:rsidP="00DC65CE"/>
    <w:p w14:paraId="3ADF7EA7" w14:textId="77777777" w:rsidR="00AB45DF" w:rsidRDefault="00AB45DF" w:rsidP="00AB45DF">
      <w:pPr>
        <w:pStyle w:val="Didascalia"/>
        <w:rPr>
          <w:bCs/>
        </w:rPr>
      </w:pPr>
      <w:bookmarkStart w:id="100" w:name="_Toc91081487"/>
      <w:r>
        <w:t xml:space="preserve">Figura </w:t>
      </w:r>
      <w:r w:rsidR="004E6566">
        <w:fldChar w:fldCharType="begin"/>
      </w:r>
      <w:r>
        <w:instrText xml:space="preserve"> SEQ Figura \* ARABIC </w:instrText>
      </w:r>
      <w:r w:rsidR="004E6566">
        <w:fldChar w:fldCharType="separate"/>
      </w:r>
      <w:r w:rsidR="007251AB">
        <w:rPr>
          <w:noProof/>
        </w:rPr>
        <w:t>18</w:t>
      </w:r>
      <w:r w:rsidR="004E6566">
        <w:fldChar w:fldCharType="end"/>
      </w:r>
      <w:r>
        <w:rPr>
          <w:bCs/>
        </w:rPr>
        <w:t xml:space="preserve">. </w:t>
      </w:r>
      <w:r w:rsidRPr="006F5AF3">
        <w:rPr>
          <w:bCs/>
        </w:rPr>
        <w:t>Flusso temporale delle 595 campagne di equity crowdfunding in Itali</w:t>
      </w:r>
      <w:r>
        <w:rPr>
          <w:bCs/>
        </w:rPr>
        <w:t>a</w:t>
      </w:r>
      <w:bookmarkEnd w:id="100"/>
    </w:p>
    <w:p w14:paraId="2B0A8F95" w14:textId="77777777" w:rsidR="00DD1A99" w:rsidRPr="00AB45DF" w:rsidRDefault="00DD1A99" w:rsidP="00AB45DF">
      <w:r w:rsidRPr="00DD1A99">
        <w:rPr>
          <w:noProof/>
          <w:lang w:eastAsia="it-IT"/>
        </w:rPr>
        <w:drawing>
          <wp:inline distT="0" distB="0" distL="0" distR="0" wp14:anchorId="25DDC720" wp14:editId="482CE034">
            <wp:extent cx="4435475" cy="2438400"/>
            <wp:effectExtent l="0" t="0" r="3175" b="0"/>
            <wp:docPr id="3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2">
                      <a:duotone>
                        <a:prstClr val="black"/>
                        <a:schemeClr val="accent2">
                          <a:tint val="45000"/>
                          <a:satMod val="400000"/>
                        </a:schemeClr>
                      </a:duotone>
                    </a:blip>
                    <a:srcRect l="1288" t="1446" r="2021" b="8274"/>
                    <a:stretch>
                      <a:fillRect/>
                    </a:stretch>
                  </pic:blipFill>
                  <pic:spPr>
                    <a:xfrm>
                      <a:off x="0" y="0"/>
                      <a:ext cx="4436530" cy="2438980"/>
                    </a:xfrm>
                    <a:prstGeom prst="rect">
                      <a:avLst/>
                    </a:prstGeom>
                    <a:ln/>
                  </pic:spPr>
                </pic:pic>
              </a:graphicData>
            </a:graphic>
          </wp:inline>
        </w:drawing>
      </w:r>
    </w:p>
    <w:p w14:paraId="4F330279" w14:textId="77777777" w:rsidR="00DD1A99" w:rsidRDefault="00DD1A99" w:rsidP="00DC65CE">
      <w:r w:rsidRPr="00DD1A99">
        <w:t xml:space="preserve">Fonte: 5° Report italiano sul </w:t>
      </w:r>
      <w:proofErr w:type="spellStart"/>
      <w:r w:rsidRPr="00DD1A99">
        <w:t>CrowdInvesting</w:t>
      </w:r>
      <w:proofErr w:type="spellEnd"/>
      <w:r w:rsidRPr="00DD1A99">
        <w:t>. Dipartimento di Ingegneria Gestionale, Politecnico di Milano, 2020</w:t>
      </w:r>
    </w:p>
    <w:p w14:paraId="72F2B066" w14:textId="77777777" w:rsidR="00DC65CE" w:rsidRPr="00DD1A99" w:rsidRDefault="00DC65CE" w:rsidP="00DC65CE"/>
    <w:p w14:paraId="63662E17" w14:textId="77777777" w:rsidR="00DD1A99" w:rsidRDefault="00DD1A99" w:rsidP="00DC65CE">
      <w:r w:rsidRPr="00DD1A99">
        <w:t xml:space="preserve">Nella tabella </w:t>
      </w:r>
      <w:r w:rsidR="0032008C">
        <w:t xml:space="preserve">seguente </w:t>
      </w:r>
      <w:r w:rsidRPr="00DD1A99">
        <w:t>è possibile osservare l’obiettivo di raccolta medio delle campagne di equity crowdfunding dal 2014 al primo semestre del 2020. Si osserva come, per i progetti non immobiliari, il valore medio del target di raccolta nel 2020 abbia ripreso a crescere dopo alcuni anni di decrescita, mentre il valore medio dei progetti immobiliari risulti in continua crescita. È anche possibile analizzare il valore minimo e il valore massimo delle campagne di equity crowdfunding. In merito a questi valori si precisa come le imprese in fase di definizione della campagna specifichino l’obiettivo da raggiungere e allo stesso tempo una soglia minima e una soglia massima. La raccolta di capitale risulta efficace solamente all’interno dell’intervallo definito, al di sotto della soglia minima e al di sopra della soglia massima la raccolta è inefficace e di conseguenza la campagna non va a buon fine.</w:t>
      </w:r>
    </w:p>
    <w:p w14:paraId="62031E11" w14:textId="77777777" w:rsidR="0032008C" w:rsidRPr="00DD1A99" w:rsidRDefault="0032008C" w:rsidP="00DC65CE"/>
    <w:p w14:paraId="2CA559BA" w14:textId="77777777" w:rsidR="00DD1A99" w:rsidRDefault="00DD1A99" w:rsidP="00DC65CE">
      <w:r w:rsidRPr="00DD1A99">
        <w:t>Dal punto di vista dei capitali raccolti (</w:t>
      </w:r>
      <w:r w:rsidR="0032008C">
        <w:t>f</w:t>
      </w:r>
      <w:r w:rsidRPr="00DD1A99">
        <w:t xml:space="preserve">igura </w:t>
      </w:r>
      <w:r w:rsidR="0032008C">
        <w:t>sottostante</w:t>
      </w:r>
      <w:r w:rsidRPr="00DD1A99">
        <w:t>) è presente una crescita continua dal 2014 fino al primo semestre del 2020. Nell’ultimo semestre preso in considerazione sono stati raccolti 38,37 milioni di euro, un andamento che presuppone il superamento, nel 2020, dell’ammontare complessivo raccolto nel 2019 (65,18 milioni di euro).</w:t>
      </w:r>
    </w:p>
    <w:p w14:paraId="5E700F75" w14:textId="77777777" w:rsidR="0032008C" w:rsidRDefault="0032008C" w:rsidP="00DC65CE"/>
    <w:p w14:paraId="0C0DE202" w14:textId="77777777" w:rsidR="00DD1A99" w:rsidRPr="00DD1A99" w:rsidRDefault="0032008C" w:rsidP="0032008C">
      <w:pPr>
        <w:pStyle w:val="Didascalia"/>
      </w:pPr>
      <w:bookmarkStart w:id="101" w:name="_Toc91081488"/>
      <w:r>
        <w:t xml:space="preserve">Figura </w:t>
      </w:r>
      <w:r w:rsidR="004E6566">
        <w:fldChar w:fldCharType="begin"/>
      </w:r>
      <w:r>
        <w:instrText xml:space="preserve"> SEQ Figura \* ARABIC </w:instrText>
      </w:r>
      <w:r w:rsidR="004E6566">
        <w:fldChar w:fldCharType="separate"/>
      </w:r>
      <w:r w:rsidR="007251AB">
        <w:rPr>
          <w:noProof/>
        </w:rPr>
        <w:t>19</w:t>
      </w:r>
      <w:r w:rsidR="004E6566">
        <w:fldChar w:fldCharType="end"/>
      </w:r>
      <w:r>
        <w:t xml:space="preserve">. </w:t>
      </w:r>
      <w:r w:rsidRPr="00797A09">
        <w:t>Flusso di raccolta annuale delle 402 campagne di equity crowdfunding chiuse con successo. Valori in € milioni. L’anno di riferimento è quello di chiusura della campagna</w:t>
      </w:r>
      <w:bookmarkEnd w:id="101"/>
    </w:p>
    <w:p w14:paraId="0BA42CCA" w14:textId="77777777" w:rsidR="00DD1A99" w:rsidRPr="00DD1A99" w:rsidRDefault="00DD1A99" w:rsidP="00DC65CE">
      <w:r w:rsidRPr="00DD1A99">
        <w:rPr>
          <w:noProof/>
          <w:lang w:eastAsia="it-IT"/>
        </w:rPr>
        <w:drawing>
          <wp:inline distT="0" distB="0" distL="0" distR="0" wp14:anchorId="7CA212F6" wp14:editId="70BE7308">
            <wp:extent cx="4435866" cy="2416512"/>
            <wp:effectExtent l="0" t="0" r="0" b="0"/>
            <wp:docPr id="3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3">
                      <a:duotone>
                        <a:prstClr val="black"/>
                        <a:schemeClr val="accent2">
                          <a:tint val="45000"/>
                          <a:satMod val="400000"/>
                        </a:schemeClr>
                      </a:duotone>
                    </a:blip>
                    <a:srcRect/>
                    <a:stretch>
                      <a:fillRect/>
                    </a:stretch>
                  </pic:blipFill>
                  <pic:spPr>
                    <a:xfrm>
                      <a:off x="0" y="0"/>
                      <a:ext cx="4435866" cy="2416512"/>
                    </a:xfrm>
                    <a:prstGeom prst="rect">
                      <a:avLst/>
                    </a:prstGeom>
                    <a:ln/>
                  </pic:spPr>
                </pic:pic>
              </a:graphicData>
            </a:graphic>
          </wp:inline>
        </w:drawing>
      </w:r>
    </w:p>
    <w:p w14:paraId="3456EE7E" w14:textId="77777777" w:rsidR="00DD1A99" w:rsidRPr="00DD1A99" w:rsidRDefault="00DD1A99" w:rsidP="00DC65CE">
      <w:r w:rsidRPr="00DD1A99">
        <w:t xml:space="preserve">Fonte: 5° Report italiano sul </w:t>
      </w:r>
      <w:proofErr w:type="spellStart"/>
      <w:r w:rsidRPr="00DD1A99">
        <w:t>CrowdInvesting</w:t>
      </w:r>
      <w:proofErr w:type="spellEnd"/>
      <w:r w:rsidRPr="00DD1A99">
        <w:t>. Dipartimento di Ingegneria Gestionale, Politecnico di Milano, 2020</w:t>
      </w:r>
    </w:p>
    <w:p w14:paraId="06081897" w14:textId="77777777" w:rsidR="0032008C" w:rsidRDefault="0032008C" w:rsidP="00DC65CE"/>
    <w:p w14:paraId="7FA410E6" w14:textId="77777777" w:rsidR="00DD1A99" w:rsidRDefault="00DD1A99" w:rsidP="00DC65CE">
      <w:r w:rsidRPr="00DD1A99">
        <w:t>Per quanto riguarda le tipologie di impresa che utilizzano lo strumento dell’equity crowdfunding, è interessante osservare (</w:t>
      </w:r>
      <w:r w:rsidR="0032008C">
        <w:t>f</w:t>
      </w:r>
      <w:r w:rsidRPr="00DD1A99">
        <w:t xml:space="preserve">igura </w:t>
      </w:r>
      <w:r w:rsidR="0032008C">
        <w:t>sotto</w:t>
      </w:r>
      <w:r w:rsidRPr="00DD1A99">
        <w:t>) come tra il secondo semestre del 2019 e il primo semestre del 2020, il 58% delle campagne sia stato promosso da startup innovative. Si tratta di una percentuale nettamente superiore rispetto alle altre tipologie di impresa coinvolte (PMI, PMI innovative, Veicolo di investimento).</w:t>
      </w:r>
    </w:p>
    <w:p w14:paraId="542942A9" w14:textId="77777777" w:rsidR="0032008C" w:rsidRDefault="0032008C" w:rsidP="00DC65CE"/>
    <w:p w14:paraId="4DEF3804" w14:textId="77777777" w:rsidR="0032008C" w:rsidRPr="00DD1A99" w:rsidRDefault="0032008C" w:rsidP="0032008C">
      <w:pPr>
        <w:pStyle w:val="Didascalia"/>
      </w:pPr>
      <w:bookmarkStart w:id="102" w:name="_Toc91081489"/>
      <w:r>
        <w:t xml:space="preserve">Figura </w:t>
      </w:r>
      <w:r w:rsidR="004E6566">
        <w:fldChar w:fldCharType="begin"/>
      </w:r>
      <w:r>
        <w:instrText xml:space="preserve"> SEQ Figura \* ARABIC </w:instrText>
      </w:r>
      <w:r w:rsidR="004E6566">
        <w:fldChar w:fldCharType="separate"/>
      </w:r>
      <w:r w:rsidR="007251AB">
        <w:rPr>
          <w:noProof/>
        </w:rPr>
        <w:t>20</w:t>
      </w:r>
      <w:r w:rsidR="004E6566">
        <w:fldChar w:fldCharType="end"/>
      </w:r>
      <w:r>
        <w:t xml:space="preserve">. </w:t>
      </w:r>
      <w:r w:rsidRPr="00192FD2">
        <w:t>Tipologia delle 177 imprese protagoniste di una campagna di crowdfunding su portali autorizzati da Consob negli ultimi 12 mesi fino al 30/06/2020</w:t>
      </w:r>
      <w:bookmarkEnd w:id="102"/>
    </w:p>
    <w:p w14:paraId="6D44DD7F" w14:textId="77777777" w:rsidR="00DD1A99" w:rsidRPr="00DD1A99" w:rsidRDefault="00DD1A99" w:rsidP="00DC65CE">
      <w:r w:rsidRPr="00DD1A99">
        <w:rPr>
          <w:noProof/>
          <w:lang w:eastAsia="it-IT"/>
        </w:rPr>
        <w:drawing>
          <wp:inline distT="0" distB="0" distL="0" distR="0" wp14:anchorId="554FE9EC" wp14:editId="75CDF1DA">
            <wp:extent cx="3751580" cy="2514600"/>
            <wp:effectExtent l="0" t="0" r="0" b="0"/>
            <wp:docPr id="3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4">
                      <a:duotone>
                        <a:prstClr val="black"/>
                        <a:schemeClr val="accent2">
                          <a:tint val="45000"/>
                          <a:satMod val="400000"/>
                        </a:schemeClr>
                      </a:duotone>
                    </a:blip>
                    <a:srcRect/>
                    <a:stretch>
                      <a:fillRect/>
                    </a:stretch>
                  </pic:blipFill>
                  <pic:spPr>
                    <a:xfrm>
                      <a:off x="0" y="0"/>
                      <a:ext cx="3751580" cy="2514600"/>
                    </a:xfrm>
                    <a:prstGeom prst="rect">
                      <a:avLst/>
                    </a:prstGeom>
                    <a:ln/>
                  </pic:spPr>
                </pic:pic>
              </a:graphicData>
            </a:graphic>
          </wp:inline>
        </w:drawing>
      </w:r>
    </w:p>
    <w:p w14:paraId="05F24E7F" w14:textId="77777777" w:rsidR="00DD1A99" w:rsidRPr="00DD1A99" w:rsidRDefault="00DD1A99" w:rsidP="00DC65CE">
      <w:r w:rsidRPr="00DD1A99">
        <w:t xml:space="preserve">Fonte: 5° Report italiano sul </w:t>
      </w:r>
      <w:proofErr w:type="spellStart"/>
      <w:r w:rsidRPr="00DD1A99">
        <w:t>CrowdInvesting</w:t>
      </w:r>
      <w:proofErr w:type="spellEnd"/>
      <w:r w:rsidRPr="00DD1A99">
        <w:t>. Dipartimento di Ingegneria Gestionale, Politecnico di Milano, 2020</w:t>
      </w:r>
    </w:p>
    <w:p w14:paraId="3BBA0D44" w14:textId="77777777" w:rsidR="0032008C" w:rsidRDefault="0032008C" w:rsidP="00DC65CE"/>
    <w:p w14:paraId="6B9BCD35" w14:textId="77777777" w:rsidR="00DD1A99" w:rsidRDefault="00DD1A99" w:rsidP="00DC65CE">
      <w:r w:rsidRPr="00DD1A99">
        <w:t>Un altro dato rilevante interessa la distribuzione geografica delle imprese che utilizzano lo strumento dell’equity crowdfunding (</w:t>
      </w:r>
      <w:r w:rsidR="0032008C">
        <w:t>f</w:t>
      </w:r>
      <w:r w:rsidRPr="00DD1A99">
        <w:t xml:space="preserve">igura </w:t>
      </w:r>
      <w:r w:rsidR="0032008C">
        <w:t>sotto</w:t>
      </w:r>
      <w:r w:rsidRPr="00DD1A99">
        <w:t>). Tra il secondo semestre del 2019 e il primo semestre del 2020, il 74% delle campagne è stato promosso da imprese del Nord Italia, mentre risulta nettamente inferiore la percentuale di imprese del Centro Italia (15,8%) e del Sud Italia e Isole (9,6%). Si sottolinea, inoltre, come sia presente un insieme molto piccolo (0,6%) di imprese con sede all’estero che utilizza piattaforme italiane per la raccolta di capitale attraverso l’equity crowdfunding.</w:t>
      </w:r>
    </w:p>
    <w:p w14:paraId="531C4C7C" w14:textId="77777777" w:rsidR="0032008C" w:rsidRPr="00DD1A99" w:rsidRDefault="0032008C" w:rsidP="00DC65CE"/>
    <w:p w14:paraId="7FAF0FFA" w14:textId="77777777" w:rsidR="00DD1A99" w:rsidRPr="00DD1A99" w:rsidRDefault="0032008C" w:rsidP="0032008C">
      <w:pPr>
        <w:pStyle w:val="Didascalia"/>
        <w:rPr>
          <w:b w:val="0"/>
          <w:bCs/>
        </w:rPr>
      </w:pPr>
      <w:bookmarkStart w:id="103" w:name="_Toc91081490"/>
      <w:r>
        <w:t xml:space="preserve">Figura </w:t>
      </w:r>
      <w:r w:rsidR="004E6566">
        <w:fldChar w:fldCharType="begin"/>
      </w:r>
      <w:r>
        <w:instrText xml:space="preserve"> SEQ Figura \* ARABIC </w:instrText>
      </w:r>
      <w:r w:rsidR="004E6566">
        <w:fldChar w:fldCharType="separate"/>
      </w:r>
      <w:r w:rsidR="007251AB">
        <w:rPr>
          <w:noProof/>
        </w:rPr>
        <w:t>21</w:t>
      </w:r>
      <w:r w:rsidR="004E6566">
        <w:fldChar w:fldCharType="end"/>
      </w:r>
      <w:r>
        <w:t xml:space="preserve">. </w:t>
      </w:r>
      <w:r w:rsidRPr="003E65B2">
        <w:t>Distribuzione geografica delle imprese protagoniste di una campagna di equity crowdfunding su portali autorizzati da Consob negli ultimi 12 mesi fino al 30/06/2020</w:t>
      </w:r>
      <w:bookmarkEnd w:id="103"/>
    </w:p>
    <w:p w14:paraId="7A04EF57" w14:textId="77777777" w:rsidR="00DD1A99" w:rsidRPr="00DD1A99" w:rsidRDefault="00DD1A99" w:rsidP="00DC65CE">
      <w:r w:rsidRPr="00DD1A99">
        <w:rPr>
          <w:noProof/>
          <w:lang w:eastAsia="it-IT"/>
        </w:rPr>
        <w:drawing>
          <wp:inline distT="0" distB="0" distL="0" distR="0" wp14:anchorId="78C42058" wp14:editId="1719BC65">
            <wp:extent cx="3752052" cy="2692502"/>
            <wp:effectExtent l="0" t="0" r="0" b="0"/>
            <wp:docPr id="3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5">
                      <a:duotone>
                        <a:prstClr val="black"/>
                        <a:schemeClr val="accent2">
                          <a:tint val="45000"/>
                          <a:satMod val="400000"/>
                        </a:schemeClr>
                      </a:duotone>
                    </a:blip>
                    <a:srcRect/>
                    <a:stretch>
                      <a:fillRect/>
                    </a:stretch>
                  </pic:blipFill>
                  <pic:spPr>
                    <a:xfrm>
                      <a:off x="0" y="0"/>
                      <a:ext cx="3752052" cy="2692502"/>
                    </a:xfrm>
                    <a:prstGeom prst="rect">
                      <a:avLst/>
                    </a:prstGeom>
                    <a:ln/>
                  </pic:spPr>
                </pic:pic>
              </a:graphicData>
            </a:graphic>
          </wp:inline>
        </w:drawing>
      </w:r>
    </w:p>
    <w:p w14:paraId="2A5ED0D2" w14:textId="77777777" w:rsidR="00DD1A99" w:rsidRDefault="00DD1A99" w:rsidP="00DC65CE">
      <w:r w:rsidRPr="00DD1A99">
        <w:t xml:space="preserve">Fonte: 5° Report italiano sul </w:t>
      </w:r>
      <w:proofErr w:type="spellStart"/>
      <w:r w:rsidRPr="00DD1A99">
        <w:t>CrowdInvesting</w:t>
      </w:r>
      <w:proofErr w:type="spellEnd"/>
      <w:r w:rsidRPr="00DD1A99">
        <w:t>. Dipartimento di Ingegneria Gestionale, Politecnico di Milano, 2020</w:t>
      </w:r>
    </w:p>
    <w:p w14:paraId="127DD7A4" w14:textId="77777777" w:rsidR="0032008C" w:rsidRPr="00DD1A99" w:rsidRDefault="0032008C" w:rsidP="00DC65CE"/>
    <w:p w14:paraId="00C66FC5" w14:textId="77777777" w:rsidR="00DD1A99" w:rsidRDefault="00DD1A99" w:rsidP="00DC65CE">
      <w:r w:rsidRPr="00DD1A99">
        <w:t>Sempre in merito alle caratteristiche delle imprese, può essere utile osservare come il 31,7% d</w:t>
      </w:r>
      <w:r w:rsidR="0032008C">
        <w:t>i quelle</w:t>
      </w:r>
      <w:r w:rsidRPr="00DD1A99">
        <w:t xml:space="preserve"> che hanno promosso una campagna di equity crowdfunding, negli ultimi 12 mesi presi in considerazione dall’indagine, operi nel settore dei servizi di informazione e comunicazione. Altri due settori coinvolti in maniera rilevate sono quello delle attività manifatturiere (18,6%) e il settore delle attività professionali, scientifiche e tecniche (15,6%).</w:t>
      </w:r>
    </w:p>
    <w:p w14:paraId="57BA8D17" w14:textId="77777777" w:rsidR="0032008C" w:rsidRDefault="0032008C" w:rsidP="00DC65CE"/>
    <w:p w14:paraId="2AC391DC" w14:textId="77777777" w:rsidR="0032008C" w:rsidRPr="00DD1A99" w:rsidRDefault="0032008C" w:rsidP="0032008C">
      <w:pPr>
        <w:pStyle w:val="Didascalia"/>
      </w:pPr>
      <w:bookmarkStart w:id="104" w:name="_Toc91081491"/>
      <w:r>
        <w:t xml:space="preserve">Figura </w:t>
      </w:r>
      <w:r w:rsidR="004E6566">
        <w:fldChar w:fldCharType="begin"/>
      </w:r>
      <w:r>
        <w:instrText xml:space="preserve"> SEQ Figura \* ARABIC </w:instrText>
      </w:r>
      <w:r w:rsidR="004E6566">
        <w:fldChar w:fldCharType="separate"/>
      </w:r>
      <w:r w:rsidR="007251AB">
        <w:rPr>
          <w:noProof/>
        </w:rPr>
        <w:t>22</w:t>
      </w:r>
      <w:r w:rsidR="004E6566">
        <w:fldChar w:fldCharType="end"/>
      </w:r>
      <w:r>
        <w:t xml:space="preserve">. </w:t>
      </w:r>
      <w:r w:rsidRPr="0022146B">
        <w:t>Classificazione ATECO delle imprese protagoniste di una campagna di equity crowdfunding su portali autorizzati da Consob negli ultimi 12 mesi fino al 30/06/2020</w:t>
      </w:r>
      <w:bookmarkEnd w:id="104"/>
    </w:p>
    <w:p w14:paraId="2BBF7672" w14:textId="77777777" w:rsidR="00DD1A99" w:rsidRPr="00DD1A99" w:rsidRDefault="00DD1A99" w:rsidP="00DC65CE">
      <w:r w:rsidRPr="00DD1A99">
        <w:rPr>
          <w:noProof/>
          <w:lang w:eastAsia="it-IT"/>
        </w:rPr>
        <w:drawing>
          <wp:inline distT="0" distB="0" distL="0" distR="0" wp14:anchorId="515D1BDF" wp14:editId="7C032827">
            <wp:extent cx="5619750" cy="2419350"/>
            <wp:effectExtent l="0" t="0" r="0" b="0"/>
            <wp:docPr id="3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6">
                      <a:duotone>
                        <a:prstClr val="black"/>
                        <a:schemeClr val="accent2">
                          <a:tint val="45000"/>
                          <a:satMod val="400000"/>
                        </a:schemeClr>
                      </a:duotone>
                    </a:blip>
                    <a:srcRect l="1019" t="4001" b="4137"/>
                    <a:stretch>
                      <a:fillRect/>
                    </a:stretch>
                  </pic:blipFill>
                  <pic:spPr>
                    <a:xfrm>
                      <a:off x="0" y="0"/>
                      <a:ext cx="5621074" cy="2419920"/>
                    </a:xfrm>
                    <a:prstGeom prst="rect">
                      <a:avLst/>
                    </a:prstGeom>
                    <a:ln/>
                  </pic:spPr>
                </pic:pic>
              </a:graphicData>
            </a:graphic>
          </wp:inline>
        </w:drawing>
      </w:r>
    </w:p>
    <w:p w14:paraId="6B2FBEDD" w14:textId="77777777" w:rsidR="00DD1A99" w:rsidRPr="00DD1A99" w:rsidRDefault="00DD1A99" w:rsidP="00DC65CE">
      <w:r w:rsidRPr="00DD1A99">
        <w:t xml:space="preserve">Fonte: 5° Report italiano sul </w:t>
      </w:r>
      <w:proofErr w:type="spellStart"/>
      <w:r w:rsidRPr="00DD1A99">
        <w:t>CrowdInvesting</w:t>
      </w:r>
      <w:proofErr w:type="spellEnd"/>
      <w:r w:rsidRPr="00DD1A99">
        <w:t>. Dipartimento di Ingegneria Gestionale, Politecnico di Milano, 2020</w:t>
      </w:r>
    </w:p>
    <w:p w14:paraId="21BA211E" w14:textId="77777777" w:rsidR="0032008C" w:rsidRDefault="0032008C" w:rsidP="00DC65CE"/>
    <w:p w14:paraId="7C95470C" w14:textId="77777777" w:rsidR="00DD1A99" w:rsidRDefault="00DD1A99" w:rsidP="00DC65CE">
      <w:r w:rsidRPr="00DD1A99">
        <w:t xml:space="preserve">Infine nella figura </w:t>
      </w:r>
      <w:r w:rsidR="0032008C">
        <w:t>seguente</w:t>
      </w:r>
      <w:r w:rsidRPr="00DD1A99">
        <w:t xml:space="preserve"> sono rappresentati gli obiettivi che le imprese hanno dichiarato di voler raggiungere con il capitale raccolto attraverso le campagne di crowdfunding. In circa il 50% dei casi l’obiettivo ha riguardato il marketing e la brand-</w:t>
      </w:r>
      <w:proofErr w:type="spellStart"/>
      <w:r w:rsidRPr="00DD1A99">
        <w:t>awareness</w:t>
      </w:r>
      <w:proofErr w:type="spellEnd"/>
      <w:r w:rsidRPr="00DD1A99">
        <w:t>.</w:t>
      </w:r>
    </w:p>
    <w:p w14:paraId="05D39EAF" w14:textId="77777777" w:rsidR="0032008C" w:rsidRDefault="0032008C" w:rsidP="00DC65CE"/>
    <w:p w14:paraId="227B54DA" w14:textId="77777777" w:rsidR="0032008C" w:rsidRPr="00DD1A99" w:rsidRDefault="0032008C" w:rsidP="0032008C">
      <w:pPr>
        <w:pStyle w:val="Didascalia"/>
      </w:pPr>
      <w:bookmarkStart w:id="105" w:name="_Toc91081492"/>
      <w:r>
        <w:t xml:space="preserve">Figura </w:t>
      </w:r>
      <w:r w:rsidR="004E6566">
        <w:fldChar w:fldCharType="begin"/>
      </w:r>
      <w:r>
        <w:instrText xml:space="preserve"> SEQ Figura \* ARABIC </w:instrText>
      </w:r>
      <w:r w:rsidR="004E6566">
        <w:fldChar w:fldCharType="separate"/>
      </w:r>
      <w:r w:rsidR="007251AB">
        <w:rPr>
          <w:noProof/>
        </w:rPr>
        <w:t>23</w:t>
      </w:r>
      <w:r w:rsidR="004E6566">
        <w:fldChar w:fldCharType="end"/>
      </w:r>
      <w:r>
        <w:t xml:space="preserve">. </w:t>
      </w:r>
      <w:r w:rsidRPr="00CF664A">
        <w:t>Obiettivi di investimento citati dalle imprese protagoniste di una campagna di equity crowdfunding su portali autorizzati da Consob fino al 30/06/2020</w:t>
      </w:r>
      <w:bookmarkEnd w:id="105"/>
    </w:p>
    <w:p w14:paraId="7072E84A" w14:textId="77777777" w:rsidR="00DD1A99" w:rsidRPr="00DD1A99" w:rsidRDefault="00DD1A99" w:rsidP="00DC65CE">
      <w:r w:rsidRPr="00DD1A99">
        <w:rPr>
          <w:noProof/>
          <w:lang w:eastAsia="it-IT"/>
        </w:rPr>
        <w:drawing>
          <wp:inline distT="0" distB="0" distL="0" distR="0" wp14:anchorId="202860D2" wp14:editId="48172D7B">
            <wp:extent cx="5391150" cy="2894209"/>
            <wp:effectExtent l="0" t="0" r="0" b="1905"/>
            <wp:docPr id="1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7">
                      <a:duotone>
                        <a:prstClr val="black"/>
                        <a:schemeClr val="accent2">
                          <a:tint val="45000"/>
                          <a:satMod val="400000"/>
                        </a:schemeClr>
                      </a:duotone>
                    </a:blip>
                    <a:srcRect l="1257" t="3471" r="4094" b="3018"/>
                    <a:stretch>
                      <a:fillRect/>
                    </a:stretch>
                  </pic:blipFill>
                  <pic:spPr>
                    <a:xfrm>
                      <a:off x="0" y="0"/>
                      <a:ext cx="5393417" cy="2895426"/>
                    </a:xfrm>
                    <a:prstGeom prst="rect">
                      <a:avLst/>
                    </a:prstGeom>
                    <a:ln/>
                  </pic:spPr>
                </pic:pic>
              </a:graphicData>
            </a:graphic>
          </wp:inline>
        </w:drawing>
      </w:r>
    </w:p>
    <w:p w14:paraId="03464876" w14:textId="77777777" w:rsidR="00DD1A99" w:rsidRPr="00DD1A99" w:rsidRDefault="00DD1A99" w:rsidP="00DC65CE">
      <w:r w:rsidRPr="00DD1A99">
        <w:t xml:space="preserve">Fonte: 5° Report italiano sul </w:t>
      </w:r>
      <w:proofErr w:type="spellStart"/>
      <w:r w:rsidRPr="00DD1A99">
        <w:t>CrowdInvesting</w:t>
      </w:r>
      <w:proofErr w:type="spellEnd"/>
      <w:r w:rsidRPr="00DD1A99">
        <w:t>. Dipartimento di Ingegneria Gestionale, Politecnico di Milano, 2020</w:t>
      </w:r>
    </w:p>
    <w:p w14:paraId="3A5687CC" w14:textId="77777777" w:rsidR="00DD1A99" w:rsidRDefault="00DD1A99" w:rsidP="00DC65CE"/>
    <w:p w14:paraId="24A4680B" w14:textId="77777777" w:rsidR="00BF3994" w:rsidRPr="00DD1A99" w:rsidRDefault="00BF3994" w:rsidP="00DC65CE"/>
    <w:p w14:paraId="52382AB0" w14:textId="77777777" w:rsidR="00DD1A99" w:rsidRPr="0032008C" w:rsidRDefault="00DD1A99" w:rsidP="00DC65CE">
      <w:pPr>
        <w:rPr>
          <w:b/>
          <w:bCs/>
          <w:i/>
          <w:iCs/>
        </w:rPr>
      </w:pPr>
      <w:r w:rsidRPr="0032008C">
        <w:rPr>
          <w:b/>
          <w:bCs/>
          <w:i/>
          <w:iCs/>
        </w:rPr>
        <w:t>Family office</w:t>
      </w:r>
    </w:p>
    <w:p w14:paraId="4FCA80B9" w14:textId="77777777" w:rsidR="00DD1A99" w:rsidRPr="00DD1A99" w:rsidRDefault="00DD1A99" w:rsidP="00DC65CE">
      <w:r w:rsidRPr="00DD1A99">
        <w:t>Nelle sezioni precedenti sono stati trattati i principali operatori e strumenti del mercato italiano dei capitali destinati alle startup. In questa sezione viene dato spazio ad un altro operatore, il family office. Si tratta di un operatore che generalmente non riguarda l’ecosistema delle startup, anche se negli ultimi anni la loro attenzione verso queste imprese innovative è aumentata.</w:t>
      </w:r>
    </w:p>
    <w:p w14:paraId="26B90A6E" w14:textId="77777777" w:rsidR="00DD1A99" w:rsidRPr="00DD1A99" w:rsidRDefault="00DD1A99" w:rsidP="00DC65CE">
      <w:r w:rsidRPr="00DD1A99">
        <w:t>Un Family Office è un centro di progettazione, di coordinamento e di controllo per la gestione finanziaria, amministrativa e legale del patrimonio di una o più famiglie, integrando in un’unica prospettiva tutte le classi di investimenti finanziari (asset class) e creando una relazione misurabile tra i diversi fattori di rischiosità e le potenzialità di performance (Family Office, AIFO).</w:t>
      </w:r>
    </w:p>
    <w:p w14:paraId="23D1F3E8" w14:textId="77777777" w:rsidR="00DD1A99" w:rsidRPr="00DD1A99" w:rsidRDefault="00DD1A99" w:rsidP="00DC65CE">
      <w:r w:rsidRPr="00DD1A99">
        <w:t xml:space="preserve">I Family Office, rispetto a qualche anno fa, stanno aumentando la propria propensione al rischio, di conseguenza stanno aumentando gli investimenti di venture capital e in generale gli investimenti destinati all’innovazione. </w:t>
      </w:r>
      <w:r w:rsidR="0032008C">
        <w:t xml:space="preserve">È </w:t>
      </w:r>
      <w:r w:rsidRPr="00DD1A99">
        <w:t>dunque in corso un’evoluzione dell’approccio dei Family Office, che, oltre al ritorno finanziario, tengono sempre più in considerazione altri aspetti, come per esempio l’impatto generato dalle realtà in cui investono.</w:t>
      </w:r>
    </w:p>
    <w:p w14:paraId="4886CBDF" w14:textId="77777777" w:rsidR="00DD1A99" w:rsidRPr="00DD1A99" w:rsidRDefault="00DD1A99" w:rsidP="00DC65CE">
      <w:r w:rsidRPr="00DD1A99">
        <w:t>Per quanto riguarda le fasi del ciclo di vita di una startup, i Family Office rispetto ad altri operatori descritti in precedenza non risultano, allo stato attuale, focalizzati su specifiche fasi. Questo può essere spiegato dall’avvicinamento all’ecosistema delle startup avvenuto solamente in questi ultimi anni. Di conseguenza è probabile che sia in atto una fase di esplorazione, in merito a questa tipologia di investimenti, che porta i Family Office ad investire in startup sia in fase iniziale (</w:t>
      </w:r>
      <w:proofErr w:type="spellStart"/>
      <w:r w:rsidRPr="00DD1A99">
        <w:t>seed</w:t>
      </w:r>
      <w:proofErr w:type="spellEnd"/>
      <w:r w:rsidRPr="00DD1A99">
        <w:t xml:space="preserve"> e start-up) che in fase avanzata (sviluppo ed espansione).</w:t>
      </w:r>
    </w:p>
    <w:p w14:paraId="7647F383" w14:textId="77777777" w:rsidR="00DD1A99" w:rsidRDefault="00DD1A99" w:rsidP="00BF19A0">
      <w:r w:rsidRPr="00DD1A99">
        <w:t>Il fenomeno dei Family Office in Italia è risultato in costante, seppure leggera, crescita tra il 2013 e il 2018, con un numero di Family Office pari a 139 nell’ultimo anno preso in considerazione</w:t>
      </w:r>
      <w:r w:rsidR="00470C68">
        <w:t xml:space="preserve"> (fonte: </w:t>
      </w:r>
      <w:r w:rsidRPr="00DD1A99">
        <w:t>EY per i Family Office, un’offerta unica e integrata</w:t>
      </w:r>
      <w:r w:rsidR="00470C68">
        <w:t xml:space="preserve">). </w:t>
      </w:r>
      <w:r w:rsidRPr="00DD1A99">
        <w:t>Dal punto di vista della distribuzione geografica, i Family Office risultano diffusi prevalentemente nel Nord Italia, nello specifico nella città di Milano, dove sono presenti l’85% dei Family Office nazionali.</w:t>
      </w:r>
    </w:p>
    <w:p w14:paraId="4155F00F" w14:textId="77777777" w:rsidR="00BF3994" w:rsidRPr="00DD1A99" w:rsidRDefault="00BF3994" w:rsidP="00BF3994"/>
    <w:p w14:paraId="18E758E0" w14:textId="77777777" w:rsidR="00DD1A99" w:rsidRPr="0040083A" w:rsidRDefault="00DD1A99" w:rsidP="0040083A">
      <w:pPr>
        <w:rPr>
          <w:b/>
          <w:bCs/>
          <w:i/>
          <w:iCs/>
        </w:rPr>
      </w:pPr>
      <w:r w:rsidRPr="0040083A">
        <w:rPr>
          <w:b/>
          <w:bCs/>
          <w:i/>
          <w:iCs/>
        </w:rPr>
        <w:t xml:space="preserve">Startup </w:t>
      </w:r>
      <w:proofErr w:type="spellStart"/>
      <w:r w:rsidRPr="0040083A">
        <w:rPr>
          <w:b/>
          <w:bCs/>
          <w:i/>
          <w:iCs/>
        </w:rPr>
        <w:t>factory</w:t>
      </w:r>
      <w:proofErr w:type="spellEnd"/>
    </w:p>
    <w:p w14:paraId="7E4952A7" w14:textId="77777777" w:rsidR="00DD1A99" w:rsidRPr="00DD1A99" w:rsidRDefault="00DD1A99" w:rsidP="0040083A">
      <w:r w:rsidRPr="00DD1A99">
        <w:t xml:space="preserve">Un altro attore presente all’interno del mercato dei capitali destinati alle startup è rappresentato dalle startup </w:t>
      </w:r>
      <w:proofErr w:type="spellStart"/>
      <w:r w:rsidRPr="00DD1A99">
        <w:t>factory</w:t>
      </w:r>
      <w:proofErr w:type="spellEnd"/>
      <w:r w:rsidRPr="00DD1A99">
        <w:t>. Questo operatore rientra nell’insieme degli attori che non si occupano solamente di finanziare le startup, ma le supportano soprattutto dal punto di vista operativo.</w:t>
      </w:r>
    </w:p>
    <w:p w14:paraId="5DF4C33B" w14:textId="77777777" w:rsidR="00DD1A99" w:rsidRPr="00DD1A99" w:rsidRDefault="00DD1A99" w:rsidP="00BF19A0">
      <w:r w:rsidRPr="00DD1A99">
        <w:t xml:space="preserve">Le startup </w:t>
      </w:r>
      <w:proofErr w:type="spellStart"/>
      <w:r w:rsidRPr="00DD1A99">
        <w:t>factory</w:t>
      </w:r>
      <w:proofErr w:type="spellEnd"/>
      <w:r w:rsidRPr="00DD1A99">
        <w:t xml:space="preserve"> (o startup studio) si occupano di creare imprese</w:t>
      </w:r>
      <w:r w:rsidR="0040083A">
        <w:t xml:space="preserve"> e</w:t>
      </w:r>
      <w:r w:rsidRPr="00DD1A99">
        <w:t xml:space="preserve"> ricoprono un ruolo rilevante nelle prime fasi del ciclo di vita di una startup, partendo dalla fase di generazione dell’idea. Le startup </w:t>
      </w:r>
      <w:proofErr w:type="spellStart"/>
      <w:r w:rsidRPr="00DD1A99">
        <w:t>factory</w:t>
      </w:r>
      <w:proofErr w:type="spellEnd"/>
      <w:r w:rsidRPr="00DD1A99">
        <w:t xml:space="preserve"> adottano processi sistematici di creazione e crescita di startup, utilizzando know-how e risorse provenienti da figure con esperienza pregressa nel campo dell’imprenditorialità.</w:t>
      </w:r>
    </w:p>
    <w:p w14:paraId="11F2A44D" w14:textId="77777777" w:rsidR="00DD1A99" w:rsidRPr="00DD1A99" w:rsidRDefault="00DD1A99" w:rsidP="00BF19A0">
      <w:r w:rsidRPr="00DD1A99">
        <w:t xml:space="preserve">Le startup </w:t>
      </w:r>
      <w:proofErr w:type="spellStart"/>
      <w:r w:rsidRPr="00DD1A99">
        <w:t>factory</w:t>
      </w:r>
      <w:proofErr w:type="spellEnd"/>
      <w:r w:rsidRPr="00DD1A99">
        <w:t xml:space="preserve"> si concentrano prevalentemente sulle attività di primo sviluppo e testing dell’idea innovativa, spesso lavorando in collaborazione con partner industriali e con un maggiore coinvolgimento sotto il profilo operativo nel progetto imprenditoriali rispetto a incubatori o acceleratori. Tali attività comprendono:</w:t>
      </w:r>
    </w:p>
    <w:p w14:paraId="2495C6BC" w14:textId="77777777" w:rsidR="00DD1A99" w:rsidRPr="00DD1A99" w:rsidRDefault="00DD1A99" w:rsidP="0038676D">
      <w:pPr>
        <w:pStyle w:val="Paragrafoelenco"/>
        <w:numPr>
          <w:ilvl w:val="0"/>
          <w:numId w:val="30"/>
        </w:numPr>
      </w:pPr>
      <w:r w:rsidRPr="00DD1A99">
        <w:t>Creazione di prodotti dopo un'analisi delle tendenze del mercato;</w:t>
      </w:r>
    </w:p>
    <w:p w14:paraId="20F5ECF2" w14:textId="77777777" w:rsidR="00DD1A99" w:rsidRPr="00DD1A99" w:rsidRDefault="00DD1A99" w:rsidP="0038676D">
      <w:pPr>
        <w:pStyle w:val="Paragrafoelenco"/>
        <w:numPr>
          <w:ilvl w:val="0"/>
          <w:numId w:val="30"/>
        </w:numPr>
      </w:pPr>
      <w:r w:rsidRPr="00DD1A99">
        <w:t>Costruzione di un team equilibrato con le giuste competenze;</w:t>
      </w:r>
    </w:p>
    <w:p w14:paraId="158FC0CE" w14:textId="77777777" w:rsidR="00DD1A99" w:rsidRPr="00DD1A99" w:rsidRDefault="00DD1A99" w:rsidP="0038676D">
      <w:pPr>
        <w:pStyle w:val="Paragrafoelenco"/>
        <w:numPr>
          <w:ilvl w:val="0"/>
          <w:numId w:val="30"/>
        </w:numPr>
      </w:pPr>
      <w:r w:rsidRPr="00DD1A99">
        <w:t>Analisi costante del mercato e dei concorrenti;</w:t>
      </w:r>
    </w:p>
    <w:p w14:paraId="46E45DDA" w14:textId="77777777" w:rsidR="00DD1A99" w:rsidRPr="00DD1A99" w:rsidRDefault="00DD1A99" w:rsidP="0038676D">
      <w:pPr>
        <w:pStyle w:val="Paragrafoelenco"/>
        <w:numPr>
          <w:ilvl w:val="0"/>
          <w:numId w:val="30"/>
        </w:numPr>
      </w:pPr>
      <w:r w:rsidRPr="00DD1A99">
        <w:t>Test di ogni idea di business prima del lancio;</w:t>
      </w:r>
    </w:p>
    <w:p w14:paraId="41F144D2" w14:textId="77777777" w:rsidR="00DD1A99" w:rsidRPr="00DD1A99" w:rsidRDefault="00DD1A99" w:rsidP="0038676D">
      <w:pPr>
        <w:pStyle w:val="Paragrafoelenco"/>
        <w:numPr>
          <w:ilvl w:val="0"/>
          <w:numId w:val="30"/>
        </w:numPr>
      </w:pPr>
      <w:r w:rsidRPr="00DD1A99">
        <w:t xml:space="preserve">Costruzione del prodotto secondo la metodologia </w:t>
      </w:r>
      <w:proofErr w:type="spellStart"/>
      <w:r w:rsidRPr="00DD1A99">
        <w:t>lean</w:t>
      </w:r>
      <w:proofErr w:type="spellEnd"/>
      <w:r w:rsidRPr="00DD1A99">
        <w:t>.</w:t>
      </w:r>
    </w:p>
    <w:p w14:paraId="5FE9F0D9" w14:textId="77777777" w:rsidR="0040083A" w:rsidRDefault="0040083A" w:rsidP="00BF19A0"/>
    <w:p w14:paraId="2CC99664" w14:textId="77777777" w:rsidR="00DD1A99" w:rsidRPr="00DD1A99" w:rsidRDefault="00DD1A99" w:rsidP="00DD1A99">
      <w:r w:rsidRPr="00DD1A99">
        <w:t xml:space="preserve">L’approccio applicato dalle startup </w:t>
      </w:r>
      <w:proofErr w:type="spellStart"/>
      <w:r w:rsidRPr="00DD1A99">
        <w:t>factory</w:t>
      </w:r>
      <w:proofErr w:type="spellEnd"/>
      <w:r w:rsidRPr="00DD1A99">
        <w:t xml:space="preserve"> può essere definito “imprenditorialità parallela”: inizia con l’analisi del mercato e si conclude con la generazione e il test delle idee. Di conseguenza all’interno del ciclo di vita delle startup possono essere collocati nelle fasi iniziali (</w:t>
      </w:r>
      <w:proofErr w:type="spellStart"/>
      <w:r w:rsidRPr="00DD1A99">
        <w:t>pre-seed</w:t>
      </w:r>
      <w:proofErr w:type="spellEnd"/>
      <w:r w:rsidRPr="00DD1A99">
        <w:t xml:space="preserve">, </w:t>
      </w:r>
      <w:proofErr w:type="spellStart"/>
      <w:r w:rsidRPr="00DD1A99">
        <w:t>seed</w:t>
      </w:r>
      <w:proofErr w:type="spellEnd"/>
      <w:r w:rsidRPr="00DD1A99">
        <w:t>, start-up).</w:t>
      </w:r>
      <w:r w:rsidR="0040083A">
        <w:t xml:space="preserve"> </w:t>
      </w:r>
      <w:proofErr w:type="spellStart"/>
      <w:r w:rsidRPr="00DD1A99">
        <w:t>Mocker</w:t>
      </w:r>
      <w:proofErr w:type="spellEnd"/>
      <w:r w:rsidRPr="00DD1A99">
        <w:t xml:space="preserve"> &amp; Murphy (2014) hanno definito una classificazione delle startup </w:t>
      </w:r>
      <w:proofErr w:type="spellStart"/>
      <w:r w:rsidRPr="00DD1A99">
        <w:t>factory</w:t>
      </w:r>
      <w:proofErr w:type="spellEnd"/>
      <w:r w:rsidRPr="00DD1A99">
        <w:t xml:space="preserve"> in base alle loro caratteristiche. Nello specifico hanno individuato quattro modelli:</w:t>
      </w:r>
    </w:p>
    <w:p w14:paraId="4C9B40D6" w14:textId="77777777" w:rsidR="00DD1A99" w:rsidRPr="00DD1A99" w:rsidRDefault="00DD1A99" w:rsidP="0038676D">
      <w:pPr>
        <w:pStyle w:val="Paragrafoelenco"/>
        <w:numPr>
          <w:ilvl w:val="0"/>
          <w:numId w:val="31"/>
        </w:numPr>
      </w:pPr>
      <w:r w:rsidRPr="00BF19A0">
        <w:rPr>
          <w:i/>
        </w:rPr>
        <w:t>Agency model</w:t>
      </w:r>
      <w:r w:rsidRPr="00DD1A99">
        <w:t xml:space="preserve">: include le startup </w:t>
      </w:r>
      <w:proofErr w:type="spellStart"/>
      <w:r w:rsidRPr="00DD1A99">
        <w:t>factory</w:t>
      </w:r>
      <w:proofErr w:type="spellEnd"/>
      <w:r w:rsidRPr="00DD1A99">
        <w:t xml:space="preserve"> che sviluppano progetti al proprio interno, costituendo successivamente delle imprese il cui successo permette lo sviluppo di ulteriori progetti.</w:t>
      </w:r>
    </w:p>
    <w:p w14:paraId="7B1328A8" w14:textId="77777777" w:rsidR="00DD1A99" w:rsidRPr="00DD1A99" w:rsidRDefault="00DD1A99" w:rsidP="0038676D">
      <w:pPr>
        <w:pStyle w:val="Paragrafoelenco"/>
        <w:numPr>
          <w:ilvl w:val="0"/>
          <w:numId w:val="31"/>
        </w:numPr>
      </w:pPr>
      <w:r w:rsidRPr="00BF19A0">
        <w:rPr>
          <w:i/>
        </w:rPr>
        <w:t>Corporate model</w:t>
      </w:r>
      <w:r w:rsidRPr="00DD1A99">
        <w:t xml:space="preserve">: si tratta di un modello che prevede il finanziamento da parte di altre imprese, di conseguenza le idee implementate dalla startup </w:t>
      </w:r>
      <w:proofErr w:type="spellStart"/>
      <w:r w:rsidRPr="00DD1A99">
        <w:t>factory</w:t>
      </w:r>
      <w:proofErr w:type="spellEnd"/>
      <w:r w:rsidRPr="00DD1A99">
        <w:t xml:space="preserve"> sono coerenti con gli obiettivi strategici dell’impresa finanziatrice.</w:t>
      </w:r>
    </w:p>
    <w:p w14:paraId="290BA9D9" w14:textId="77777777" w:rsidR="00DD1A99" w:rsidRPr="00DD1A99" w:rsidRDefault="00DD1A99" w:rsidP="0038676D">
      <w:pPr>
        <w:pStyle w:val="Paragrafoelenco"/>
        <w:numPr>
          <w:ilvl w:val="0"/>
          <w:numId w:val="31"/>
        </w:numPr>
      </w:pPr>
      <w:r w:rsidRPr="00BF19A0">
        <w:rPr>
          <w:i/>
        </w:rPr>
        <w:t>Technology transfer model</w:t>
      </w:r>
      <w:r w:rsidRPr="00DD1A99">
        <w:t>: questo modello si concentra sul sostegno ai centri di ricerca. Lo scopo è quello di trasferire la proprietà intellettuale da un ambiente di ricerca scientifica ad uno aziendale.</w:t>
      </w:r>
    </w:p>
    <w:p w14:paraId="3F7FA434" w14:textId="77777777" w:rsidR="00DD1A99" w:rsidRPr="00DD1A99" w:rsidRDefault="00DD1A99" w:rsidP="0038676D">
      <w:pPr>
        <w:pStyle w:val="Paragrafoelenco"/>
        <w:numPr>
          <w:ilvl w:val="0"/>
          <w:numId w:val="31"/>
        </w:numPr>
      </w:pPr>
      <w:r w:rsidRPr="00BF19A0">
        <w:rPr>
          <w:i/>
        </w:rPr>
        <w:t>Investor model</w:t>
      </w:r>
      <w:r w:rsidRPr="00DD1A99">
        <w:t>: in questo ultimo modello lo sviluppo di idee e la creazione di startup viene finanziato da operatori di venture capital o investitori privati.</w:t>
      </w:r>
    </w:p>
    <w:p w14:paraId="1ECB257A" w14:textId="77777777" w:rsidR="00DD1A99" w:rsidRDefault="00DD1A99" w:rsidP="00BF19A0">
      <w:r w:rsidRPr="00DD1A99">
        <w:t xml:space="preserve">In Italia il fenomeno delle startup </w:t>
      </w:r>
      <w:proofErr w:type="spellStart"/>
      <w:r w:rsidRPr="00DD1A99">
        <w:t>factory</w:t>
      </w:r>
      <w:proofErr w:type="spellEnd"/>
      <w:r w:rsidRPr="00DD1A99">
        <w:t xml:space="preserve"> non è ancora affermato e sono pochi gli attori che operano secondo questo modello. Per questa ragione non sono disponibili dati utili per poter eseguire un’analisi approfondita del fenomeno, degli operatori e delle startup costituite</w:t>
      </w:r>
      <w:r w:rsidR="0040083A">
        <w:t>.</w:t>
      </w:r>
    </w:p>
    <w:p w14:paraId="726970D7" w14:textId="77777777" w:rsidR="00470C68" w:rsidRDefault="00470C68" w:rsidP="00BF19A0"/>
    <w:p w14:paraId="521AD8CC" w14:textId="77777777" w:rsidR="00470C68" w:rsidRDefault="00470C68" w:rsidP="00BF19A0"/>
    <w:p w14:paraId="6AFBEB24" w14:textId="77777777" w:rsidR="00443C1C" w:rsidRDefault="00443C1C" w:rsidP="00DF11B7">
      <w:pPr>
        <w:pStyle w:val="Titolo2"/>
      </w:pPr>
      <w:bookmarkStart w:id="106" w:name="_Toc91081410"/>
      <w:r>
        <w:t xml:space="preserve">Approfondimento sulla creazione di </w:t>
      </w:r>
      <w:r w:rsidR="009F6E04">
        <w:t xml:space="preserve">nuove </w:t>
      </w:r>
      <w:r>
        <w:t>imprese in Lombardia</w:t>
      </w:r>
      <w:bookmarkEnd w:id="106"/>
    </w:p>
    <w:p w14:paraId="5D78A688" w14:textId="77777777" w:rsidR="00BF3994" w:rsidRPr="00BF3994" w:rsidRDefault="00BF3994" w:rsidP="00BF3994"/>
    <w:p w14:paraId="7899A351" w14:textId="77777777" w:rsidR="002800B4" w:rsidRDefault="002800B4" w:rsidP="002800B4">
      <w:pPr>
        <w:pStyle w:val="Titolo3"/>
      </w:pPr>
      <w:bookmarkStart w:id="107" w:name="_Toc91081411"/>
      <w:r>
        <w:t>Premessa</w:t>
      </w:r>
      <w:bookmarkEnd w:id="107"/>
    </w:p>
    <w:p w14:paraId="391B5A8E" w14:textId="77777777" w:rsidR="00BF3994" w:rsidRPr="00BF3994" w:rsidRDefault="00BF3994" w:rsidP="00BF3994"/>
    <w:p w14:paraId="696DC470" w14:textId="77777777" w:rsidR="002800B4" w:rsidRDefault="000B2CE0" w:rsidP="002800B4">
      <w:r>
        <w:t>Come sottolineato nella rassegna proposta all’inizio del capitolo 3, l</w:t>
      </w:r>
      <w:r w:rsidR="002800B4">
        <w:t xml:space="preserve">a letteratura economica considera le nuove imprese come uno dei principali driver di cambiamento e di sviluppo economico. Gli studi sul tema hanno infatti dimostrato che le nuove imprese esercitano un ruolo rilevante per l’introduzione e la diffusione dell’innovazione, la creazione di posti di lavoro, la competitività dei territori, lo sviluppo di nuovi settori, la crescita e la produttività. La logica economica a supporto del ruolo positivo delle nuove imprese fa riferimento al concetto </w:t>
      </w:r>
      <w:proofErr w:type="spellStart"/>
      <w:r w:rsidR="002800B4">
        <w:t>Schumpeteriano</w:t>
      </w:r>
      <w:proofErr w:type="spellEnd"/>
      <w:r w:rsidR="002800B4">
        <w:t xml:space="preserve"> di “distruzione creatrice”, secondo il quale le nuove imprese sostituiscono le aziende più obsolete e meno efficienti del mercato. Secondo </w:t>
      </w:r>
      <w:r w:rsidR="009F6E04">
        <w:t xml:space="preserve">tale </w:t>
      </w:r>
      <w:r w:rsidR="002800B4">
        <w:t>visione, i neo-imprenditori sono coloro che introducono “novità” nelle attività che svolgono e che “rompono” con le routine affermate e utilizzate dai manager delle imprese già presenti sul mercato.</w:t>
      </w:r>
    </w:p>
    <w:p w14:paraId="3315E823" w14:textId="77777777" w:rsidR="002800B4" w:rsidRDefault="002800B4" w:rsidP="002800B4"/>
    <w:p w14:paraId="6A774C52" w14:textId="77777777" w:rsidR="002800B4" w:rsidRDefault="002800B4" w:rsidP="002800B4">
      <w:r>
        <w:t xml:space="preserve">In linea con questa logica economica e spinti dalla convinzione che la creazione di nuove imprese sia un fenomeno positivo di per sé, negli scorsi decenni molti governi nazionali e regionali hanno promulgato misure a supporto delle startup e più in generale dell’imprenditorialità. Tuttavia, spesso i risultati di queste politiche non hanno avuto l’impatto sperato e la letteratura scientifica ha mostrato che </w:t>
      </w:r>
      <w:r w:rsidR="00A53597">
        <w:t xml:space="preserve">serve a poco </w:t>
      </w:r>
      <w:r>
        <w:t>favorire la creazione di nuove imprese senza la capacità di sapere intercettare quelle con maggior potenziale di crescita. Le nuove imprese sono infatti estremamente eterogenee e molto spesso possono ess</w:t>
      </w:r>
      <w:r w:rsidR="009F6E04">
        <w:t>e</w:t>
      </w:r>
      <w:r>
        <w:t xml:space="preserve">re destinate al fallimento. </w:t>
      </w:r>
    </w:p>
    <w:p w14:paraId="7DB7DC2C" w14:textId="77777777" w:rsidR="002800B4" w:rsidRDefault="002800B4" w:rsidP="002800B4"/>
    <w:p w14:paraId="118683E4" w14:textId="77777777" w:rsidR="002800B4" w:rsidRDefault="002800B4" w:rsidP="002800B4">
      <w:r>
        <w:t>Sulla base di queste evidenze, si è fatta strada l’idea che le startup innovative, ossia quelle che hanno maggior potenziale di crescita, debbano essere il principale target delle politiche pubbliche. Nonostante le startup innovative costituiscano una quota minoritaria delle nuove imprese, è proprio questa categoria che genera progresso tecnologico, sviluppo economico e crescita. Le politiche pubbliche dovrebbero, quindi, contribuire ad abbattere le barriere all’imprenditorialità e all’innovazione che possono ostacolare la creazione e la crescita delle imprese innovative. Tali barriere includono l’accesso ai capitali e ai mercati, il quadro regolatorio, aspetti culturali, la mancanza di competenze e il grado di sviluppo dell’ecosistema innovativo.</w:t>
      </w:r>
    </w:p>
    <w:p w14:paraId="707E77B3" w14:textId="77777777" w:rsidR="002800B4" w:rsidRDefault="002800B4" w:rsidP="002800B4"/>
    <w:p w14:paraId="3EC2FEDF" w14:textId="77777777" w:rsidR="002800B4" w:rsidRDefault="002800B4" w:rsidP="002800B4">
      <w:r>
        <w:t xml:space="preserve">A partire dal 2012, il Governo Italiano ha adottato una serie di misure di politica industriale con l’obiettivo di incoraggiare la nascita e la crescita di imprese ad alto contenuto tecnologico e di conoscenza. Il Decreto Crescita 2.0 ha introdotto nell’ordinamento giuridico italiano la nozione specifica di “startup innovativa” e ha previsto una serie di misure e di strumenti di supporto che intervengono nelle diverse fasi del ciclo di vita aziendale, dall’avvio alle fasi di consolidamento, espansione e maturità. </w:t>
      </w:r>
    </w:p>
    <w:p w14:paraId="59B879C4" w14:textId="77777777" w:rsidR="002800B4" w:rsidRDefault="002800B4" w:rsidP="002800B4"/>
    <w:p w14:paraId="15243C5B" w14:textId="77777777" w:rsidR="002800B4" w:rsidRDefault="002800B4" w:rsidP="002800B4">
      <w:r>
        <w:t xml:space="preserve">Lo “Startup Act” Italiano costituisce di fatto il quadro nazionale di policy a sostegno della nascita e della crescita di nuove imprese innovative. Definisce un pacchetto variegato e complementare di agevolazioni e misure di sostegno volte a supportare le imprese innovative iscritte al registro speciale delle Camere di Commercio e a facilitarne le relazioni con l’ecosistema dell’innovazione nazionale (investitori, incubatori, acceleratori, </w:t>
      </w:r>
      <w:proofErr w:type="spellStart"/>
      <w:r>
        <w:t>innovation</w:t>
      </w:r>
      <w:proofErr w:type="spellEnd"/>
      <w:r>
        <w:t xml:space="preserve"> hub, istituti pubblici di ricerca). La gamma di aiuti è ampia e articolata: da agevolazioni fiscali e amministrative, a tariffe agevolate per l’ottenimento di servizi avanzati di assistenza in materia normativa, societaria, fiscale, immobiliare, contrattualistica e creditizia; dagli incentivi agli investimenti in equity all’accesso facilitato al Fondo di Garanzia per le PMI; dalle facilitazioni per l’attrazione dall’estero di nuovi imprenditori alle agevolazioni per gli incubatori certificati.</w:t>
      </w:r>
    </w:p>
    <w:p w14:paraId="2A2C34F8" w14:textId="77777777" w:rsidR="002800B4" w:rsidRDefault="002800B4" w:rsidP="002800B4"/>
    <w:p w14:paraId="7CF8D3A0" w14:textId="77777777" w:rsidR="002800B4" w:rsidRDefault="002800B4" w:rsidP="002800B4">
      <w:r>
        <w:t>Il tessuto imprenditoriale italiano ha notevolmente risentito degli effetti dell’emergenza sanitaria causata dalla pandemia di COVID-19. Le restrizioni necessarie a contenere i contagi hanno, infatti, portato ad una contrazione della domanda e una conseguente riduzione della produzione e degli investimenti. Nonostante ciò, le startup innovative si sono dimostrate resilienti alla crisi soprattutto grazie alla grande capacità di adattamento alle nuove modalità di lavoro e di saper interpretare e rispondere in maniera repentina alle necessità del mercato. Queste caratteristiche rendono le startup innovative un’importante risorsa per la ripartenza dell’economia e del sistema imprenditoriale del paese, pertanto in questo contesto mutato significativamente a causa delle pandemia appare ancora più rilevante mettere in campo misure a supporto di un ulteriormente sviluppo dell’ecosistema delle startup innovative.</w:t>
      </w:r>
    </w:p>
    <w:p w14:paraId="70DB908A" w14:textId="77777777" w:rsidR="002800B4" w:rsidRDefault="002800B4" w:rsidP="002800B4"/>
    <w:p w14:paraId="3245023C" w14:textId="77777777" w:rsidR="002800B4" w:rsidRDefault="002800B4" w:rsidP="002800B4">
      <w:r>
        <w:t>Oltre alle misure già messe in campo a sostegno delle imprese per fronteggiare gli effetti negativi generati dalla pandemia, attraverso il Decreto Rilancio sono state introdotte varie misure volte a sostenere e rafforzare l’ecosistema delle startup innovative in risposta al COVID-19.</w:t>
      </w:r>
      <w:r>
        <w:rPr>
          <w:rStyle w:val="Rimandonotaapidipagina"/>
        </w:rPr>
        <w:footnoteReference w:id="11"/>
      </w:r>
      <w:r>
        <w:t xml:space="preserve"> Queste misure prevedono l’estensione della garanzia per il fondo centrale di garanzia per le PMI alle startup innovative; incentivi per gli investimenti di persone fisiche e di investitori extra-UE in startup e PMI innovative; contributi a fondo perduto per l’acquisto di servizi per lo sviluppo delle imprese innovative; incentivi per attività di ricerca e sviluppo per fronteggiare l’emergenza sanitaria in corso (sotto forma di credito d’imposta); sostegno al fondo di venture capital e proroga di 12 mesi del termine di permanenza nella sezione speciale del registro delle imprese. </w:t>
      </w:r>
    </w:p>
    <w:p w14:paraId="1C737444" w14:textId="77777777" w:rsidR="00BF3994" w:rsidRDefault="00BF3994" w:rsidP="002800B4"/>
    <w:p w14:paraId="14401E96" w14:textId="77777777" w:rsidR="002800B4" w:rsidRDefault="002800B4" w:rsidP="002800B4">
      <w:pPr>
        <w:pStyle w:val="Titolo3"/>
      </w:pPr>
      <w:bookmarkStart w:id="108" w:name="_Toc91081412"/>
      <w:r>
        <w:t>Il fenomeno delle startup innovative in Lombardia</w:t>
      </w:r>
      <w:bookmarkEnd w:id="108"/>
    </w:p>
    <w:p w14:paraId="7AE217B6" w14:textId="77777777" w:rsidR="00BF3994" w:rsidRPr="00BF3994" w:rsidRDefault="00BF3994" w:rsidP="00BF3994"/>
    <w:p w14:paraId="4EB49C4C" w14:textId="77777777" w:rsidR="002800B4" w:rsidRDefault="002800B4" w:rsidP="002800B4">
      <w:r>
        <w:t xml:space="preserve">La regione Lombardia si caratterizza per un ottimo livello di investimenti in ricerca e sviluppo nel settore delle imprese private, un ottimo livello di spesa in innovazione per addetto, un elevato numero di PMI che adottano innovazioni in termine di prodotti e processi produttivi ed un’alta percentuale di forza lavoro impiegata in PMI innovative. </w:t>
      </w:r>
    </w:p>
    <w:p w14:paraId="01DD0121" w14:textId="77777777" w:rsidR="002800B4" w:rsidRDefault="002800B4" w:rsidP="002800B4"/>
    <w:p w14:paraId="16810996" w14:textId="77777777" w:rsidR="002800B4" w:rsidRDefault="002800B4" w:rsidP="002800B4">
      <w:r>
        <w:t xml:space="preserve">Nonostante la Lombardia sia stata una delle regioni più colpite dalla pandemia di COVID-19, la capacità innovativa non ha subito battute d’arresto ma nel 2021 è cresciuta facendo sì che la Lombardia si posizionasse tra le regioni definite come “Strong Innovator” nell’ambito del Regional Innovation </w:t>
      </w:r>
      <w:proofErr w:type="spellStart"/>
      <w:r>
        <w:t>Scoreboard</w:t>
      </w:r>
      <w:proofErr w:type="spellEnd"/>
      <w:r>
        <w:t xml:space="preserve"> (un miglioramento rispetto al 2019 in cui era classificata come “Moderate +”).</w:t>
      </w:r>
      <w:r>
        <w:rPr>
          <w:rStyle w:val="Rimandonotaapidipagina"/>
        </w:rPr>
        <w:footnoteReference w:id="12"/>
      </w:r>
      <w:r>
        <w:t xml:space="preserve"> </w:t>
      </w:r>
    </w:p>
    <w:p w14:paraId="6F59749E" w14:textId="77777777" w:rsidR="002800B4" w:rsidRDefault="002800B4" w:rsidP="002800B4"/>
    <w:p w14:paraId="55DBB9EC" w14:textId="77777777" w:rsidR="002800B4" w:rsidRDefault="002800B4" w:rsidP="002800B4">
      <w:r>
        <w:t>In questo contesto, l’ecosistema delle startup innovative si dimostra particolarmente resiliente agli effetti avversi della pandemia continuando a crescere nonostante la crisi. L’analisi della serie storica delle imprese iscritte alla sezione speciale del Registro delle Imprese ai sensi del decreto-legge 179/2012 dimostra come la Lombardia si sia sempre posizionata come punto di riferimento nel panorama delle startup innovative italiano, posizione che si è rafforzata sempre più negli ultimi anni. Infatti, a partire dal 2013 la percentuale delle nuove imprese lombarde iscritte sul totale delle nuove iscritte in Italia segue un trend sostanzialmente positivo passando da un valore del 20,81% nel 2013 al 28,91% a fine 2020, che non viene intaccato dalla pandemia. A fine 2020, inoltre, le nuove startup innovative Lombarde iscritte alla sezione speciale del Registro risultavano pari a 1,014 unità, 146 unità in più rispetto allo stesso dato a fine 2019</w:t>
      </w:r>
      <w:r w:rsidR="002B3FB8">
        <w:t xml:space="preserve"> (figura successiva)</w:t>
      </w:r>
      <w:r w:rsidR="00E520B9">
        <w:t>.</w:t>
      </w:r>
      <w:r w:rsidR="00470C68">
        <w:t xml:space="preserve"> </w:t>
      </w:r>
      <w:r>
        <w:t xml:space="preserve">La crescita nel numero di imprese iscritte al registro rispetto ai livelli </w:t>
      </w:r>
      <w:proofErr w:type="spellStart"/>
      <w:r>
        <w:t>pre</w:t>
      </w:r>
      <w:proofErr w:type="spellEnd"/>
      <w:r>
        <w:t>-COVID e il fatto che</w:t>
      </w:r>
      <w:r w:rsidR="002B3FB8">
        <w:t xml:space="preserve"> la maggior parte delle</w:t>
      </w:r>
      <w:r>
        <w:t xml:space="preserve"> imprese uscenti </w:t>
      </w:r>
      <w:r w:rsidR="002B3FB8">
        <w:t>dal registro delle start up innovative rimanga attiva</w:t>
      </w:r>
      <w:r>
        <w:t xml:space="preserve"> è un segnale incoraggiante che </w:t>
      </w:r>
      <w:r w:rsidR="002B3FB8">
        <w:t>può indicare resilienza da parte di queste imprese</w:t>
      </w:r>
      <w:r>
        <w:t>.</w:t>
      </w:r>
    </w:p>
    <w:p w14:paraId="69787B8F" w14:textId="77777777" w:rsidR="002800B4" w:rsidRDefault="002800B4" w:rsidP="002800B4"/>
    <w:p w14:paraId="4E28FB35" w14:textId="77777777" w:rsidR="009F6E04" w:rsidRDefault="009F6E04" w:rsidP="002800B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2800B4" w14:paraId="6F21DB06" w14:textId="77777777" w:rsidTr="00584813">
        <w:trPr>
          <w:trHeight w:val="421"/>
        </w:trPr>
        <w:tc>
          <w:tcPr>
            <w:tcW w:w="9628" w:type="dxa"/>
          </w:tcPr>
          <w:p w14:paraId="153A0D6D" w14:textId="77777777" w:rsidR="002800B4" w:rsidRDefault="002800B4" w:rsidP="00AF58DF">
            <w:pPr>
              <w:pStyle w:val="Didascalia"/>
            </w:pPr>
            <w:bookmarkStart w:id="109" w:name="_Toc91081493"/>
            <w:r>
              <w:t xml:space="preserve">Figura </w:t>
            </w:r>
            <w:r w:rsidR="004E6566">
              <w:fldChar w:fldCharType="begin"/>
            </w:r>
            <w:r>
              <w:instrText xml:space="preserve"> SEQ Figura \* ARABIC </w:instrText>
            </w:r>
            <w:r w:rsidR="004E6566">
              <w:fldChar w:fldCharType="separate"/>
            </w:r>
            <w:r w:rsidR="00E5059D">
              <w:rPr>
                <w:noProof/>
              </w:rPr>
              <w:t>24</w:t>
            </w:r>
            <w:r w:rsidR="004E6566">
              <w:fldChar w:fldCharType="end"/>
            </w:r>
            <w:r w:rsidR="009F6E04">
              <w:t>.</w:t>
            </w:r>
            <w:r>
              <w:t xml:space="preserve"> Evoluzione del numero di nuove iscrizioni e numero di imprese fuoriuscite dal registro, 2013-2020</w:t>
            </w:r>
            <w:bookmarkEnd w:id="109"/>
          </w:p>
        </w:tc>
      </w:tr>
      <w:tr w:rsidR="002800B4" w14:paraId="2062B276" w14:textId="77777777" w:rsidTr="00AF58DF">
        <w:tc>
          <w:tcPr>
            <w:tcW w:w="9628" w:type="dxa"/>
          </w:tcPr>
          <w:p w14:paraId="00DC5983" w14:textId="77777777" w:rsidR="002800B4" w:rsidRDefault="002800B4" w:rsidP="00AF58DF">
            <w:pPr>
              <w:jc w:val="center"/>
            </w:pPr>
            <w:r>
              <w:rPr>
                <w:noProof/>
                <w:lang w:eastAsia="it-IT"/>
              </w:rPr>
              <w:drawing>
                <wp:inline distT="0" distB="0" distL="0" distR="0" wp14:anchorId="3C38B5AE" wp14:editId="669EA090">
                  <wp:extent cx="4871085" cy="2816860"/>
                  <wp:effectExtent l="0" t="0" r="5715" b="254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71085" cy="2816860"/>
                          </a:xfrm>
                          <a:prstGeom prst="rect">
                            <a:avLst/>
                          </a:prstGeom>
                          <a:noFill/>
                        </pic:spPr>
                      </pic:pic>
                    </a:graphicData>
                  </a:graphic>
                </wp:inline>
              </w:drawing>
            </w:r>
          </w:p>
        </w:tc>
      </w:tr>
      <w:tr w:rsidR="002800B4" w14:paraId="1158007B" w14:textId="77777777" w:rsidTr="00AF58DF">
        <w:tc>
          <w:tcPr>
            <w:tcW w:w="9628" w:type="dxa"/>
          </w:tcPr>
          <w:p w14:paraId="0565115E" w14:textId="77777777" w:rsidR="002800B4" w:rsidRPr="00CC292A" w:rsidRDefault="002800B4" w:rsidP="00AF58DF">
            <w:pPr>
              <w:rPr>
                <w:sz w:val="18"/>
                <w:szCs w:val="18"/>
              </w:rPr>
            </w:pPr>
            <w:r w:rsidRPr="00896993">
              <w:rPr>
                <w:sz w:val="18"/>
                <w:szCs w:val="18"/>
              </w:rPr>
              <w:t>Fonte: Elaborazione Ismeri su dati CCIAA</w:t>
            </w:r>
          </w:p>
        </w:tc>
      </w:tr>
    </w:tbl>
    <w:p w14:paraId="781728CA" w14:textId="77777777" w:rsidR="002800B4" w:rsidRDefault="002800B4" w:rsidP="002800B4"/>
    <w:p w14:paraId="2B84B51F" w14:textId="77777777" w:rsidR="002800B4" w:rsidRDefault="002800B4" w:rsidP="002800B4">
      <w:r>
        <w:t xml:space="preserve">La posizione dominante della Lombardia nel settore rimane evidente anche quando restringiamo l’analisi alle imprese iscritte al registro che risultavano attive a febbraio 2021. A febbraio 2021, la Lombardia ospita più di un quarto (27,04%) delle imprese attive iscritte al registro delle startup innovative italiane, con un numero di imprese notevolmente superiore (+1,842) rispetto al Lazio, che rappresenta la seconda regione italiana più popolosa in termini di startup innovative. </w:t>
      </w:r>
      <w:r w:rsidRPr="0090361F">
        <w:t xml:space="preserve"> </w:t>
      </w:r>
    </w:p>
    <w:p w14:paraId="1D253F81" w14:textId="77777777" w:rsidR="002800B4" w:rsidRDefault="002800B4" w:rsidP="002800B4"/>
    <w:tbl>
      <w:tblPr>
        <w:tblStyle w:val="Grigliatabella"/>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7"/>
      </w:tblGrid>
      <w:tr w:rsidR="002800B4" w14:paraId="1B99C42A" w14:textId="77777777" w:rsidTr="00AF58DF">
        <w:trPr>
          <w:trHeight w:val="569"/>
        </w:trPr>
        <w:tc>
          <w:tcPr>
            <w:tcW w:w="9717" w:type="dxa"/>
          </w:tcPr>
          <w:p w14:paraId="3901F827" w14:textId="77777777" w:rsidR="002800B4" w:rsidRDefault="002800B4" w:rsidP="00AF58DF">
            <w:pPr>
              <w:pStyle w:val="Didascalia"/>
            </w:pPr>
            <w:bookmarkStart w:id="110" w:name="_Toc91081494"/>
            <w:r>
              <w:t xml:space="preserve">Figura </w:t>
            </w:r>
            <w:r w:rsidR="004E6566">
              <w:fldChar w:fldCharType="begin"/>
            </w:r>
            <w:r>
              <w:instrText xml:space="preserve"> SEQ Figura \* ARABIC </w:instrText>
            </w:r>
            <w:r w:rsidR="004E6566">
              <w:fldChar w:fldCharType="separate"/>
            </w:r>
            <w:r w:rsidR="00E53D6C">
              <w:rPr>
                <w:noProof/>
              </w:rPr>
              <w:t>25</w:t>
            </w:r>
            <w:r w:rsidR="004E6566">
              <w:fldChar w:fldCharType="end"/>
            </w:r>
            <w:r w:rsidR="009F6E04">
              <w:t>.</w:t>
            </w:r>
            <w:r>
              <w:t xml:space="preserve"> Distribuzione del numero di startup iscritte al registro che risultavano attive a febbraio 2021, livello regionale</w:t>
            </w:r>
            <w:bookmarkEnd w:id="110"/>
          </w:p>
        </w:tc>
      </w:tr>
      <w:tr w:rsidR="002800B4" w14:paraId="33C15EF9" w14:textId="77777777" w:rsidTr="00AF58DF">
        <w:trPr>
          <w:trHeight w:val="4509"/>
        </w:trPr>
        <w:tc>
          <w:tcPr>
            <w:tcW w:w="9717" w:type="dxa"/>
          </w:tcPr>
          <w:p w14:paraId="75074A7C" w14:textId="77777777" w:rsidR="002800B4" w:rsidRDefault="002800B4" w:rsidP="00AF58DF">
            <w:pPr>
              <w:jc w:val="center"/>
            </w:pPr>
            <w:r>
              <w:rPr>
                <w:noProof/>
                <w:lang w:eastAsia="it-IT"/>
              </w:rPr>
              <w:drawing>
                <wp:inline distT="0" distB="0" distL="0" distR="0" wp14:anchorId="6E8291AC" wp14:editId="221B59C3">
                  <wp:extent cx="4429125" cy="2889228"/>
                  <wp:effectExtent l="0" t="0" r="0" b="698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37236" cy="2894519"/>
                          </a:xfrm>
                          <a:prstGeom prst="rect">
                            <a:avLst/>
                          </a:prstGeom>
                          <a:noFill/>
                        </pic:spPr>
                      </pic:pic>
                    </a:graphicData>
                  </a:graphic>
                </wp:inline>
              </w:drawing>
            </w:r>
          </w:p>
        </w:tc>
      </w:tr>
      <w:tr w:rsidR="002800B4" w14:paraId="098F780C" w14:textId="77777777" w:rsidTr="00AF58DF">
        <w:trPr>
          <w:trHeight w:val="230"/>
        </w:trPr>
        <w:tc>
          <w:tcPr>
            <w:tcW w:w="9717" w:type="dxa"/>
          </w:tcPr>
          <w:p w14:paraId="1C654DE7" w14:textId="77777777" w:rsidR="002800B4" w:rsidRDefault="002800B4" w:rsidP="00AF58DF">
            <w:pPr>
              <w:rPr>
                <w:sz w:val="18"/>
                <w:szCs w:val="18"/>
              </w:rPr>
            </w:pPr>
            <w:r w:rsidRPr="00896993">
              <w:rPr>
                <w:sz w:val="18"/>
                <w:szCs w:val="18"/>
              </w:rPr>
              <w:t>Fonte: Elaborazione Ismeri su dati CCIAA</w:t>
            </w:r>
          </w:p>
          <w:p w14:paraId="756A496B" w14:textId="77777777" w:rsidR="002800B4" w:rsidRPr="00C42EA1" w:rsidRDefault="002800B4" w:rsidP="00AF58DF">
            <w:pPr>
              <w:rPr>
                <w:sz w:val="18"/>
                <w:szCs w:val="18"/>
              </w:rPr>
            </w:pPr>
            <w:r>
              <w:rPr>
                <w:sz w:val="18"/>
                <w:szCs w:val="18"/>
              </w:rPr>
              <w:t>Note: Vengono escluse da questa rappresentazione le imprese entrate e uscite nei primi due mesi del 2021 in quanto non sufficienti a dare una visione statisticamente rilevante dell’anno in corso.</w:t>
            </w:r>
          </w:p>
        </w:tc>
      </w:tr>
    </w:tbl>
    <w:p w14:paraId="5FFD26AB" w14:textId="77777777" w:rsidR="002800B4" w:rsidRDefault="002800B4" w:rsidP="002800B4">
      <w:r>
        <w:t>Le grandi aree urbane si confermano quali ambienti favorevoli all’innovazione e alla nascita di nuove imprese innovative, il 40% delle imprese è infatti concentrato nelle provincie con i centri urbani più popolosi d’Italia e sedi di importanti poli universitari (Milano, Roma, Napoli, Torino e Bologna). Milano è di gran lunga la provincia italiana con la maggiore concentrazione di startup innovative: a fine 2021 la provincia vantava 2,257 imprese registrate, il 70,4% del totale regionale e circa il 19% del totale nazionale. L’ottima performance della Lombardia in termini di creazione d’impresa innovativa e specialmente quella della Provincia di Milano sono sicuramente in parte attribuibili ad un tessuto imprenditoriale vivace e alla spiccata capacità delle imprese Lombarde di innovare sia a livello di prodotto che di processi. Questo è reso possibile grazie a due fattori principali: l’elevato numero di personale impiegato in mansioni tecnico-scientifiche e la presenza nel territorio di Atenei caratterizzati da un’alta qualità della ricerca scientifica principalmente orientata al trasferimento tecnologico che ha favorito lo sviluppo di numerose collaborazioni tra università ed imprese, favorendo l’innovazione soprattutto nelle imprese di piccole e medie dimensioni.</w:t>
      </w:r>
      <w:r>
        <w:rPr>
          <w:rStyle w:val="Rimandonotaapidipagina"/>
        </w:rPr>
        <w:footnoteReference w:id="13"/>
      </w:r>
    </w:p>
    <w:p w14:paraId="0DC164D0" w14:textId="77777777" w:rsidR="009F6E04" w:rsidRDefault="009F6E04" w:rsidP="002800B4"/>
    <w:p w14:paraId="4F45283F" w14:textId="77777777" w:rsidR="009F6E04" w:rsidRDefault="009F6E04" w:rsidP="009F6E04">
      <w:pPr>
        <w:pStyle w:val="Didascalia"/>
      </w:pPr>
      <w:bookmarkStart w:id="111" w:name="_Toc91081456"/>
      <w:r>
        <w:t xml:space="preserve">Tabella </w:t>
      </w:r>
      <w:r w:rsidR="004E6566">
        <w:fldChar w:fldCharType="begin"/>
      </w:r>
      <w:r>
        <w:instrText xml:space="preserve"> SEQ Tabella \* ARABIC </w:instrText>
      </w:r>
      <w:r w:rsidR="004E6566">
        <w:fldChar w:fldCharType="separate"/>
      </w:r>
      <w:r w:rsidR="00E53D6C">
        <w:rPr>
          <w:noProof/>
        </w:rPr>
        <w:t>30</w:t>
      </w:r>
      <w:r w:rsidR="004E6566">
        <w:fldChar w:fldCharType="end"/>
      </w:r>
      <w:r>
        <w:t>. Distribuzione provinciale delle startup in Italia e in Lombardia</w:t>
      </w:r>
      <w:bookmarkEnd w:id="111"/>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9"/>
        <w:gridCol w:w="4819"/>
      </w:tblGrid>
      <w:tr w:rsidR="002800B4" w14:paraId="20B7ED99" w14:textId="77777777" w:rsidTr="00AF58DF">
        <w:tc>
          <w:tcPr>
            <w:tcW w:w="4819" w:type="dxa"/>
          </w:tcPr>
          <w:p w14:paraId="2B25EAEE" w14:textId="77777777" w:rsidR="002800B4" w:rsidRPr="00584813" w:rsidRDefault="002800B4" w:rsidP="00A17A3E">
            <w:pPr>
              <w:rPr>
                <w:sz w:val="18"/>
                <w:szCs w:val="18"/>
              </w:rPr>
            </w:pPr>
            <w:r w:rsidRPr="00584813">
              <w:rPr>
                <w:sz w:val="18"/>
                <w:szCs w:val="18"/>
              </w:rPr>
              <w:t>startup iscritte al registro che risultavano attive a febbraio 2021, per principale provincia italiana</w:t>
            </w:r>
          </w:p>
        </w:tc>
        <w:tc>
          <w:tcPr>
            <w:tcW w:w="4819" w:type="dxa"/>
          </w:tcPr>
          <w:p w14:paraId="68B27178" w14:textId="77777777" w:rsidR="002800B4" w:rsidRPr="00584813" w:rsidRDefault="002800B4" w:rsidP="00A17A3E">
            <w:pPr>
              <w:rPr>
                <w:sz w:val="18"/>
                <w:szCs w:val="18"/>
              </w:rPr>
            </w:pPr>
            <w:r w:rsidRPr="00584813">
              <w:rPr>
                <w:sz w:val="18"/>
                <w:szCs w:val="18"/>
              </w:rPr>
              <w:t xml:space="preserve">startup iscritte al registro che risultavano attive a febbraio 2021, per provincia lombarda </w:t>
            </w:r>
          </w:p>
        </w:tc>
      </w:tr>
      <w:tr w:rsidR="002800B4" w14:paraId="18FBDBBE" w14:textId="77777777" w:rsidTr="00AF58DF">
        <w:tc>
          <w:tcPr>
            <w:tcW w:w="4819" w:type="dxa"/>
          </w:tcPr>
          <w:tbl>
            <w:tblPr>
              <w:tblW w:w="4282" w:type="dxa"/>
              <w:tblLayout w:type="fixed"/>
              <w:tblCellMar>
                <w:left w:w="70" w:type="dxa"/>
                <w:right w:w="70" w:type="dxa"/>
              </w:tblCellMar>
              <w:tblLook w:val="04A0" w:firstRow="1" w:lastRow="0" w:firstColumn="1" w:lastColumn="0" w:noHBand="0" w:noVBand="1"/>
            </w:tblPr>
            <w:tblGrid>
              <w:gridCol w:w="1163"/>
              <w:gridCol w:w="1418"/>
              <w:gridCol w:w="1701"/>
            </w:tblGrid>
            <w:tr w:rsidR="002800B4" w:rsidRPr="00A00273" w14:paraId="1B8C2E4D" w14:textId="77777777" w:rsidTr="00BF6D01">
              <w:trPr>
                <w:trHeight w:val="500"/>
              </w:trPr>
              <w:tc>
                <w:tcPr>
                  <w:tcW w:w="1163" w:type="dxa"/>
                  <w:tcBorders>
                    <w:top w:val="single" w:sz="4" w:space="0" w:color="305496"/>
                    <w:left w:val="single" w:sz="4" w:space="0" w:color="305496"/>
                    <w:bottom w:val="single" w:sz="4" w:space="0" w:color="305496"/>
                    <w:right w:val="nil"/>
                  </w:tcBorders>
                  <w:shd w:val="clear" w:color="auto" w:fill="669748" w:themeFill="accent2" w:themeFillShade="BF"/>
                  <w:vAlign w:val="bottom"/>
                  <w:hideMark/>
                </w:tcPr>
                <w:p w14:paraId="4B22DABA" w14:textId="77777777" w:rsidR="002800B4" w:rsidRPr="00847FED" w:rsidRDefault="002800B4" w:rsidP="00AF58DF">
                  <w:pPr>
                    <w:jc w:val="right"/>
                    <w:rPr>
                      <w:rFonts w:eastAsia="Times New Roman" w:cs="Calibri"/>
                      <w:b/>
                      <w:bCs/>
                      <w:color w:val="FFFFFF"/>
                      <w:sz w:val="16"/>
                      <w:szCs w:val="16"/>
                      <w:lang w:eastAsia="it-IT"/>
                    </w:rPr>
                  </w:pPr>
                  <w:r w:rsidRPr="00A00273">
                    <w:rPr>
                      <w:rFonts w:eastAsia="Times New Roman" w:cs="Calibri"/>
                      <w:b/>
                      <w:bCs/>
                      <w:color w:val="FFFFFF"/>
                      <w:sz w:val="16"/>
                      <w:szCs w:val="16"/>
                      <w:lang w:eastAsia="it-IT"/>
                    </w:rPr>
                    <w:t>Provincia</w:t>
                  </w:r>
                </w:p>
              </w:tc>
              <w:tc>
                <w:tcPr>
                  <w:tcW w:w="1418" w:type="dxa"/>
                  <w:tcBorders>
                    <w:top w:val="single" w:sz="4" w:space="0" w:color="305496"/>
                    <w:left w:val="single" w:sz="4" w:space="0" w:color="305496"/>
                    <w:bottom w:val="single" w:sz="4" w:space="0" w:color="305496"/>
                    <w:right w:val="nil"/>
                  </w:tcBorders>
                  <w:shd w:val="clear" w:color="auto" w:fill="669748" w:themeFill="accent2" w:themeFillShade="BF"/>
                  <w:vAlign w:val="bottom"/>
                  <w:hideMark/>
                </w:tcPr>
                <w:p w14:paraId="132DEABD" w14:textId="77777777" w:rsidR="002800B4" w:rsidRPr="00847FED" w:rsidRDefault="002800B4" w:rsidP="00AF58DF">
                  <w:pPr>
                    <w:jc w:val="right"/>
                    <w:rPr>
                      <w:rFonts w:eastAsia="Times New Roman" w:cs="Calibri"/>
                      <w:b/>
                      <w:bCs/>
                      <w:color w:val="FFFFFF"/>
                      <w:sz w:val="16"/>
                      <w:szCs w:val="16"/>
                      <w:lang w:eastAsia="it-IT"/>
                    </w:rPr>
                  </w:pPr>
                  <w:r w:rsidRPr="00847FED">
                    <w:rPr>
                      <w:rFonts w:eastAsia="Times New Roman" w:cs="Calibri"/>
                      <w:b/>
                      <w:bCs/>
                      <w:color w:val="FFFFFF"/>
                      <w:sz w:val="16"/>
                      <w:szCs w:val="16"/>
                      <w:lang w:eastAsia="it-IT"/>
                    </w:rPr>
                    <w:t>Conteggio di Denominazione</w:t>
                  </w:r>
                </w:p>
              </w:tc>
              <w:tc>
                <w:tcPr>
                  <w:tcW w:w="1701" w:type="dxa"/>
                  <w:tcBorders>
                    <w:top w:val="single" w:sz="4" w:space="0" w:color="305496"/>
                    <w:left w:val="single" w:sz="4" w:space="0" w:color="305496"/>
                    <w:bottom w:val="single" w:sz="4" w:space="0" w:color="305496"/>
                    <w:right w:val="nil"/>
                  </w:tcBorders>
                  <w:shd w:val="clear" w:color="auto" w:fill="669748" w:themeFill="accent2" w:themeFillShade="BF"/>
                  <w:vAlign w:val="bottom"/>
                  <w:hideMark/>
                </w:tcPr>
                <w:p w14:paraId="63930DFA" w14:textId="77777777" w:rsidR="002800B4" w:rsidRPr="00847FED" w:rsidRDefault="002800B4" w:rsidP="00AF58DF">
                  <w:pPr>
                    <w:jc w:val="right"/>
                    <w:rPr>
                      <w:rFonts w:eastAsia="Times New Roman" w:cs="Calibri"/>
                      <w:b/>
                      <w:bCs/>
                      <w:color w:val="FFFFFF"/>
                      <w:sz w:val="16"/>
                      <w:szCs w:val="16"/>
                      <w:lang w:eastAsia="it-IT"/>
                    </w:rPr>
                  </w:pPr>
                  <w:r w:rsidRPr="00847FED">
                    <w:rPr>
                      <w:rFonts w:eastAsia="Times New Roman" w:cs="Calibri"/>
                      <w:b/>
                      <w:bCs/>
                      <w:color w:val="FFFFFF"/>
                      <w:sz w:val="16"/>
                      <w:szCs w:val="16"/>
                      <w:lang w:eastAsia="it-IT"/>
                    </w:rPr>
                    <w:t>% startup innovative sul totale nazionale</w:t>
                  </w:r>
                </w:p>
              </w:tc>
            </w:tr>
            <w:tr w:rsidR="002800B4" w:rsidRPr="00A00273" w14:paraId="006C53DB" w14:textId="77777777" w:rsidTr="00BF6D01">
              <w:trPr>
                <w:trHeight w:val="246"/>
              </w:trPr>
              <w:tc>
                <w:tcPr>
                  <w:tcW w:w="1163" w:type="dxa"/>
                  <w:tcBorders>
                    <w:top w:val="nil"/>
                    <w:left w:val="nil"/>
                    <w:bottom w:val="nil"/>
                    <w:right w:val="nil"/>
                  </w:tcBorders>
                  <w:shd w:val="clear" w:color="auto" w:fill="auto"/>
                  <w:noWrap/>
                  <w:vAlign w:val="bottom"/>
                  <w:hideMark/>
                </w:tcPr>
                <w:p w14:paraId="6BD90AD3" w14:textId="77777777" w:rsidR="002800B4" w:rsidRPr="00847FED" w:rsidRDefault="002800B4" w:rsidP="00AF58DF">
                  <w:pPr>
                    <w:jc w:val="left"/>
                    <w:rPr>
                      <w:rFonts w:eastAsia="Times New Roman" w:cs="Calibri"/>
                      <w:color w:val="000000"/>
                      <w:sz w:val="16"/>
                      <w:szCs w:val="16"/>
                      <w:lang w:eastAsia="it-IT"/>
                    </w:rPr>
                  </w:pPr>
                  <w:r w:rsidRPr="00847FED">
                    <w:rPr>
                      <w:rFonts w:eastAsia="Times New Roman" w:cs="Calibri"/>
                      <w:color w:val="000000"/>
                      <w:sz w:val="16"/>
                      <w:szCs w:val="16"/>
                      <w:lang w:eastAsia="it-IT"/>
                    </w:rPr>
                    <w:t>MI</w:t>
                  </w:r>
                </w:p>
              </w:tc>
              <w:tc>
                <w:tcPr>
                  <w:tcW w:w="1418" w:type="dxa"/>
                  <w:tcBorders>
                    <w:top w:val="nil"/>
                    <w:left w:val="nil"/>
                    <w:bottom w:val="nil"/>
                    <w:right w:val="nil"/>
                  </w:tcBorders>
                  <w:shd w:val="clear" w:color="auto" w:fill="auto"/>
                  <w:noWrap/>
                  <w:vAlign w:val="bottom"/>
                  <w:hideMark/>
                </w:tcPr>
                <w:p w14:paraId="00812C1B"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2257</w:t>
                  </w:r>
                </w:p>
              </w:tc>
              <w:tc>
                <w:tcPr>
                  <w:tcW w:w="1701" w:type="dxa"/>
                  <w:tcBorders>
                    <w:top w:val="nil"/>
                    <w:left w:val="nil"/>
                    <w:bottom w:val="nil"/>
                    <w:right w:val="nil"/>
                  </w:tcBorders>
                  <w:shd w:val="clear" w:color="auto" w:fill="auto"/>
                  <w:noWrap/>
                  <w:vAlign w:val="bottom"/>
                  <w:hideMark/>
                </w:tcPr>
                <w:p w14:paraId="7685A733"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19,03%</w:t>
                  </w:r>
                </w:p>
              </w:tc>
            </w:tr>
            <w:tr w:rsidR="002800B4" w:rsidRPr="00A00273" w14:paraId="53E3F440" w14:textId="77777777" w:rsidTr="00BF6D01">
              <w:trPr>
                <w:trHeight w:val="246"/>
              </w:trPr>
              <w:tc>
                <w:tcPr>
                  <w:tcW w:w="1163" w:type="dxa"/>
                  <w:tcBorders>
                    <w:top w:val="nil"/>
                    <w:left w:val="nil"/>
                    <w:bottom w:val="nil"/>
                    <w:right w:val="nil"/>
                  </w:tcBorders>
                  <w:shd w:val="clear" w:color="auto" w:fill="auto"/>
                  <w:noWrap/>
                  <w:vAlign w:val="bottom"/>
                  <w:hideMark/>
                </w:tcPr>
                <w:p w14:paraId="56D9AF08" w14:textId="77777777" w:rsidR="002800B4" w:rsidRPr="00847FED" w:rsidRDefault="002800B4" w:rsidP="00AF58DF">
                  <w:pPr>
                    <w:jc w:val="left"/>
                    <w:rPr>
                      <w:rFonts w:eastAsia="Times New Roman" w:cs="Calibri"/>
                      <w:color w:val="000000"/>
                      <w:sz w:val="16"/>
                      <w:szCs w:val="16"/>
                      <w:lang w:eastAsia="it-IT"/>
                    </w:rPr>
                  </w:pPr>
                  <w:r w:rsidRPr="00847FED">
                    <w:rPr>
                      <w:rFonts w:eastAsia="Times New Roman" w:cs="Calibri"/>
                      <w:color w:val="000000"/>
                      <w:sz w:val="16"/>
                      <w:szCs w:val="16"/>
                      <w:lang w:eastAsia="it-IT"/>
                    </w:rPr>
                    <w:t>RM</w:t>
                  </w:r>
                </w:p>
              </w:tc>
              <w:tc>
                <w:tcPr>
                  <w:tcW w:w="1418" w:type="dxa"/>
                  <w:tcBorders>
                    <w:top w:val="nil"/>
                    <w:left w:val="nil"/>
                    <w:bottom w:val="nil"/>
                    <w:right w:val="nil"/>
                  </w:tcBorders>
                  <w:shd w:val="clear" w:color="auto" w:fill="auto"/>
                  <w:noWrap/>
                  <w:vAlign w:val="bottom"/>
                  <w:hideMark/>
                </w:tcPr>
                <w:p w14:paraId="781CA1C4"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1218</w:t>
                  </w:r>
                </w:p>
              </w:tc>
              <w:tc>
                <w:tcPr>
                  <w:tcW w:w="1701" w:type="dxa"/>
                  <w:tcBorders>
                    <w:top w:val="nil"/>
                    <w:left w:val="nil"/>
                    <w:bottom w:val="nil"/>
                    <w:right w:val="nil"/>
                  </w:tcBorders>
                  <w:shd w:val="clear" w:color="auto" w:fill="auto"/>
                  <w:noWrap/>
                  <w:vAlign w:val="bottom"/>
                  <w:hideMark/>
                </w:tcPr>
                <w:p w14:paraId="7D76DC07"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10,27%</w:t>
                  </w:r>
                </w:p>
              </w:tc>
            </w:tr>
            <w:tr w:rsidR="002800B4" w:rsidRPr="00A00273" w14:paraId="2B86D183" w14:textId="77777777" w:rsidTr="00BF6D01">
              <w:trPr>
                <w:trHeight w:val="246"/>
              </w:trPr>
              <w:tc>
                <w:tcPr>
                  <w:tcW w:w="1163" w:type="dxa"/>
                  <w:tcBorders>
                    <w:top w:val="nil"/>
                    <w:left w:val="nil"/>
                    <w:bottom w:val="nil"/>
                    <w:right w:val="nil"/>
                  </w:tcBorders>
                  <w:shd w:val="clear" w:color="auto" w:fill="auto"/>
                  <w:noWrap/>
                  <w:vAlign w:val="bottom"/>
                  <w:hideMark/>
                </w:tcPr>
                <w:p w14:paraId="6B1E10E4" w14:textId="77777777" w:rsidR="002800B4" w:rsidRPr="00847FED" w:rsidRDefault="002800B4" w:rsidP="00AF58DF">
                  <w:pPr>
                    <w:jc w:val="left"/>
                    <w:rPr>
                      <w:rFonts w:eastAsia="Times New Roman" w:cs="Calibri"/>
                      <w:color w:val="000000"/>
                      <w:sz w:val="16"/>
                      <w:szCs w:val="16"/>
                      <w:lang w:eastAsia="it-IT"/>
                    </w:rPr>
                  </w:pPr>
                  <w:r w:rsidRPr="00847FED">
                    <w:rPr>
                      <w:rFonts w:eastAsia="Times New Roman" w:cs="Calibri"/>
                      <w:color w:val="000000"/>
                      <w:sz w:val="16"/>
                      <w:szCs w:val="16"/>
                      <w:lang w:eastAsia="it-IT"/>
                    </w:rPr>
                    <w:t>NA</w:t>
                  </w:r>
                </w:p>
              </w:tc>
              <w:tc>
                <w:tcPr>
                  <w:tcW w:w="1418" w:type="dxa"/>
                  <w:tcBorders>
                    <w:top w:val="nil"/>
                    <w:left w:val="nil"/>
                    <w:bottom w:val="nil"/>
                    <w:right w:val="nil"/>
                  </w:tcBorders>
                  <w:shd w:val="clear" w:color="auto" w:fill="auto"/>
                  <w:noWrap/>
                  <w:vAlign w:val="bottom"/>
                  <w:hideMark/>
                </w:tcPr>
                <w:p w14:paraId="7B7AEC44"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509</w:t>
                  </w:r>
                </w:p>
              </w:tc>
              <w:tc>
                <w:tcPr>
                  <w:tcW w:w="1701" w:type="dxa"/>
                  <w:tcBorders>
                    <w:top w:val="nil"/>
                    <w:left w:val="nil"/>
                    <w:bottom w:val="nil"/>
                    <w:right w:val="nil"/>
                  </w:tcBorders>
                  <w:shd w:val="clear" w:color="auto" w:fill="auto"/>
                  <w:noWrap/>
                  <w:vAlign w:val="bottom"/>
                  <w:hideMark/>
                </w:tcPr>
                <w:p w14:paraId="35C6ED35"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4,29%</w:t>
                  </w:r>
                </w:p>
              </w:tc>
            </w:tr>
            <w:tr w:rsidR="002800B4" w:rsidRPr="00A00273" w14:paraId="526C6ABA" w14:textId="77777777" w:rsidTr="00BF6D01">
              <w:trPr>
                <w:trHeight w:val="246"/>
              </w:trPr>
              <w:tc>
                <w:tcPr>
                  <w:tcW w:w="1163" w:type="dxa"/>
                  <w:tcBorders>
                    <w:top w:val="nil"/>
                    <w:left w:val="nil"/>
                    <w:bottom w:val="nil"/>
                    <w:right w:val="nil"/>
                  </w:tcBorders>
                  <w:shd w:val="clear" w:color="auto" w:fill="auto"/>
                  <w:noWrap/>
                  <w:vAlign w:val="bottom"/>
                  <w:hideMark/>
                </w:tcPr>
                <w:p w14:paraId="6E205E76" w14:textId="77777777" w:rsidR="002800B4" w:rsidRPr="00847FED" w:rsidRDefault="002800B4" w:rsidP="00AF58DF">
                  <w:pPr>
                    <w:jc w:val="left"/>
                    <w:rPr>
                      <w:rFonts w:eastAsia="Times New Roman" w:cs="Calibri"/>
                      <w:color w:val="000000"/>
                      <w:sz w:val="16"/>
                      <w:szCs w:val="16"/>
                      <w:lang w:eastAsia="it-IT"/>
                    </w:rPr>
                  </w:pPr>
                  <w:r w:rsidRPr="00847FED">
                    <w:rPr>
                      <w:rFonts w:eastAsia="Times New Roman" w:cs="Calibri"/>
                      <w:color w:val="000000"/>
                      <w:sz w:val="16"/>
                      <w:szCs w:val="16"/>
                      <w:lang w:eastAsia="it-IT"/>
                    </w:rPr>
                    <w:t>TO</w:t>
                  </w:r>
                </w:p>
              </w:tc>
              <w:tc>
                <w:tcPr>
                  <w:tcW w:w="1418" w:type="dxa"/>
                  <w:tcBorders>
                    <w:top w:val="nil"/>
                    <w:left w:val="nil"/>
                    <w:bottom w:val="nil"/>
                    <w:right w:val="nil"/>
                  </w:tcBorders>
                  <w:shd w:val="clear" w:color="auto" w:fill="auto"/>
                  <w:noWrap/>
                  <w:vAlign w:val="bottom"/>
                  <w:hideMark/>
                </w:tcPr>
                <w:p w14:paraId="6AD4C6D5"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419</w:t>
                  </w:r>
                </w:p>
              </w:tc>
              <w:tc>
                <w:tcPr>
                  <w:tcW w:w="1701" w:type="dxa"/>
                  <w:tcBorders>
                    <w:top w:val="nil"/>
                    <w:left w:val="nil"/>
                    <w:bottom w:val="nil"/>
                    <w:right w:val="nil"/>
                  </w:tcBorders>
                  <w:shd w:val="clear" w:color="auto" w:fill="auto"/>
                  <w:noWrap/>
                  <w:vAlign w:val="bottom"/>
                  <w:hideMark/>
                </w:tcPr>
                <w:p w14:paraId="7FDCBDDB"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3,53%</w:t>
                  </w:r>
                </w:p>
              </w:tc>
            </w:tr>
            <w:tr w:rsidR="002800B4" w:rsidRPr="00A00273" w14:paraId="0B014423" w14:textId="77777777" w:rsidTr="00BF6D01">
              <w:trPr>
                <w:trHeight w:val="246"/>
              </w:trPr>
              <w:tc>
                <w:tcPr>
                  <w:tcW w:w="1163" w:type="dxa"/>
                  <w:tcBorders>
                    <w:top w:val="nil"/>
                    <w:left w:val="nil"/>
                    <w:bottom w:val="nil"/>
                    <w:right w:val="nil"/>
                  </w:tcBorders>
                  <w:shd w:val="clear" w:color="auto" w:fill="auto"/>
                  <w:noWrap/>
                  <w:vAlign w:val="bottom"/>
                  <w:hideMark/>
                </w:tcPr>
                <w:p w14:paraId="24473844" w14:textId="77777777" w:rsidR="002800B4" w:rsidRPr="00847FED" w:rsidRDefault="002800B4" w:rsidP="00AF58DF">
                  <w:pPr>
                    <w:jc w:val="left"/>
                    <w:rPr>
                      <w:rFonts w:eastAsia="Times New Roman" w:cs="Calibri"/>
                      <w:color w:val="000000"/>
                      <w:sz w:val="16"/>
                      <w:szCs w:val="16"/>
                      <w:lang w:eastAsia="it-IT"/>
                    </w:rPr>
                  </w:pPr>
                  <w:r w:rsidRPr="00847FED">
                    <w:rPr>
                      <w:rFonts w:eastAsia="Times New Roman" w:cs="Calibri"/>
                      <w:color w:val="000000"/>
                      <w:sz w:val="16"/>
                      <w:szCs w:val="16"/>
                      <w:lang w:eastAsia="it-IT"/>
                    </w:rPr>
                    <w:t>BO</w:t>
                  </w:r>
                </w:p>
              </w:tc>
              <w:tc>
                <w:tcPr>
                  <w:tcW w:w="1418" w:type="dxa"/>
                  <w:tcBorders>
                    <w:top w:val="nil"/>
                    <w:left w:val="nil"/>
                    <w:bottom w:val="nil"/>
                    <w:right w:val="nil"/>
                  </w:tcBorders>
                  <w:shd w:val="clear" w:color="auto" w:fill="auto"/>
                  <w:noWrap/>
                  <w:vAlign w:val="bottom"/>
                  <w:hideMark/>
                </w:tcPr>
                <w:p w14:paraId="5B46423F"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315</w:t>
                  </w:r>
                </w:p>
              </w:tc>
              <w:tc>
                <w:tcPr>
                  <w:tcW w:w="1701" w:type="dxa"/>
                  <w:tcBorders>
                    <w:top w:val="nil"/>
                    <w:left w:val="nil"/>
                    <w:bottom w:val="nil"/>
                    <w:right w:val="nil"/>
                  </w:tcBorders>
                  <w:shd w:val="clear" w:color="auto" w:fill="auto"/>
                  <w:noWrap/>
                  <w:vAlign w:val="bottom"/>
                  <w:hideMark/>
                </w:tcPr>
                <w:p w14:paraId="316857E9"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2,66%</w:t>
                  </w:r>
                </w:p>
              </w:tc>
            </w:tr>
            <w:tr w:rsidR="002800B4" w:rsidRPr="00A00273" w14:paraId="040B1554" w14:textId="77777777" w:rsidTr="00BF6D01">
              <w:trPr>
                <w:trHeight w:val="246"/>
              </w:trPr>
              <w:tc>
                <w:tcPr>
                  <w:tcW w:w="1163" w:type="dxa"/>
                  <w:tcBorders>
                    <w:top w:val="nil"/>
                    <w:left w:val="nil"/>
                    <w:bottom w:val="nil"/>
                    <w:right w:val="nil"/>
                  </w:tcBorders>
                  <w:shd w:val="clear" w:color="auto" w:fill="auto"/>
                  <w:noWrap/>
                  <w:vAlign w:val="bottom"/>
                  <w:hideMark/>
                </w:tcPr>
                <w:p w14:paraId="4A9FB8EC" w14:textId="77777777" w:rsidR="002800B4" w:rsidRPr="00847FED" w:rsidRDefault="002800B4" w:rsidP="00AF58DF">
                  <w:pPr>
                    <w:jc w:val="left"/>
                    <w:rPr>
                      <w:rFonts w:eastAsia="Times New Roman" w:cs="Calibri"/>
                      <w:color w:val="000000"/>
                      <w:sz w:val="16"/>
                      <w:szCs w:val="16"/>
                      <w:lang w:eastAsia="it-IT"/>
                    </w:rPr>
                  </w:pPr>
                  <w:r w:rsidRPr="00847FED">
                    <w:rPr>
                      <w:rFonts w:eastAsia="Times New Roman" w:cs="Calibri"/>
                      <w:color w:val="000000"/>
                      <w:sz w:val="16"/>
                      <w:szCs w:val="16"/>
                      <w:lang w:eastAsia="it-IT"/>
                    </w:rPr>
                    <w:t>PD</w:t>
                  </w:r>
                </w:p>
              </w:tc>
              <w:tc>
                <w:tcPr>
                  <w:tcW w:w="1418" w:type="dxa"/>
                  <w:tcBorders>
                    <w:top w:val="nil"/>
                    <w:left w:val="nil"/>
                    <w:bottom w:val="nil"/>
                    <w:right w:val="nil"/>
                  </w:tcBorders>
                  <w:shd w:val="clear" w:color="auto" w:fill="auto"/>
                  <w:noWrap/>
                  <w:vAlign w:val="bottom"/>
                  <w:hideMark/>
                </w:tcPr>
                <w:p w14:paraId="6C861724"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297</w:t>
                  </w:r>
                </w:p>
              </w:tc>
              <w:tc>
                <w:tcPr>
                  <w:tcW w:w="1701" w:type="dxa"/>
                  <w:tcBorders>
                    <w:top w:val="nil"/>
                    <w:left w:val="nil"/>
                    <w:bottom w:val="nil"/>
                    <w:right w:val="nil"/>
                  </w:tcBorders>
                  <w:shd w:val="clear" w:color="auto" w:fill="auto"/>
                  <w:noWrap/>
                  <w:vAlign w:val="bottom"/>
                  <w:hideMark/>
                </w:tcPr>
                <w:p w14:paraId="6F329F02"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2,50%</w:t>
                  </w:r>
                </w:p>
              </w:tc>
            </w:tr>
            <w:tr w:rsidR="002800B4" w:rsidRPr="00A00273" w14:paraId="060DF4C7" w14:textId="77777777" w:rsidTr="00BF6D01">
              <w:trPr>
                <w:trHeight w:val="246"/>
              </w:trPr>
              <w:tc>
                <w:tcPr>
                  <w:tcW w:w="1163" w:type="dxa"/>
                  <w:tcBorders>
                    <w:top w:val="nil"/>
                    <w:left w:val="nil"/>
                    <w:bottom w:val="nil"/>
                    <w:right w:val="nil"/>
                  </w:tcBorders>
                  <w:shd w:val="clear" w:color="auto" w:fill="auto"/>
                  <w:noWrap/>
                  <w:vAlign w:val="bottom"/>
                  <w:hideMark/>
                </w:tcPr>
                <w:p w14:paraId="383DE5E6" w14:textId="77777777" w:rsidR="002800B4" w:rsidRPr="00847FED" w:rsidRDefault="002800B4" w:rsidP="00AF58DF">
                  <w:pPr>
                    <w:jc w:val="left"/>
                    <w:rPr>
                      <w:rFonts w:eastAsia="Times New Roman" w:cs="Calibri"/>
                      <w:color w:val="000000"/>
                      <w:sz w:val="16"/>
                      <w:szCs w:val="16"/>
                      <w:lang w:eastAsia="it-IT"/>
                    </w:rPr>
                  </w:pPr>
                  <w:r w:rsidRPr="00847FED">
                    <w:rPr>
                      <w:rFonts w:eastAsia="Times New Roman" w:cs="Calibri"/>
                      <w:color w:val="000000"/>
                      <w:sz w:val="16"/>
                      <w:szCs w:val="16"/>
                      <w:lang w:eastAsia="it-IT"/>
                    </w:rPr>
                    <w:t>BG</w:t>
                  </w:r>
                </w:p>
              </w:tc>
              <w:tc>
                <w:tcPr>
                  <w:tcW w:w="1418" w:type="dxa"/>
                  <w:tcBorders>
                    <w:top w:val="nil"/>
                    <w:left w:val="nil"/>
                    <w:bottom w:val="nil"/>
                    <w:right w:val="nil"/>
                  </w:tcBorders>
                  <w:shd w:val="clear" w:color="auto" w:fill="auto"/>
                  <w:noWrap/>
                  <w:vAlign w:val="bottom"/>
                  <w:hideMark/>
                </w:tcPr>
                <w:p w14:paraId="39A96CBD"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249</w:t>
                  </w:r>
                </w:p>
              </w:tc>
              <w:tc>
                <w:tcPr>
                  <w:tcW w:w="1701" w:type="dxa"/>
                  <w:tcBorders>
                    <w:top w:val="nil"/>
                    <w:left w:val="nil"/>
                    <w:bottom w:val="nil"/>
                    <w:right w:val="nil"/>
                  </w:tcBorders>
                  <w:shd w:val="clear" w:color="auto" w:fill="auto"/>
                  <w:noWrap/>
                  <w:vAlign w:val="bottom"/>
                  <w:hideMark/>
                </w:tcPr>
                <w:p w14:paraId="33BD73BD"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2,10%</w:t>
                  </w:r>
                </w:p>
              </w:tc>
            </w:tr>
            <w:tr w:rsidR="002800B4" w:rsidRPr="00A00273" w14:paraId="4F5EE778" w14:textId="77777777" w:rsidTr="00BF6D01">
              <w:trPr>
                <w:trHeight w:val="246"/>
              </w:trPr>
              <w:tc>
                <w:tcPr>
                  <w:tcW w:w="1163" w:type="dxa"/>
                  <w:tcBorders>
                    <w:top w:val="nil"/>
                    <w:left w:val="nil"/>
                    <w:bottom w:val="nil"/>
                    <w:right w:val="nil"/>
                  </w:tcBorders>
                  <w:shd w:val="clear" w:color="auto" w:fill="auto"/>
                  <w:noWrap/>
                  <w:vAlign w:val="bottom"/>
                  <w:hideMark/>
                </w:tcPr>
                <w:p w14:paraId="607424F9" w14:textId="77777777" w:rsidR="002800B4" w:rsidRPr="00847FED" w:rsidRDefault="002800B4" w:rsidP="00AF58DF">
                  <w:pPr>
                    <w:jc w:val="left"/>
                    <w:rPr>
                      <w:rFonts w:eastAsia="Times New Roman" w:cs="Calibri"/>
                      <w:color w:val="000000"/>
                      <w:sz w:val="16"/>
                      <w:szCs w:val="16"/>
                      <w:lang w:eastAsia="it-IT"/>
                    </w:rPr>
                  </w:pPr>
                  <w:r w:rsidRPr="00847FED">
                    <w:rPr>
                      <w:rFonts w:eastAsia="Times New Roman" w:cs="Calibri"/>
                      <w:color w:val="000000"/>
                      <w:sz w:val="16"/>
                      <w:szCs w:val="16"/>
                      <w:lang w:eastAsia="it-IT"/>
                    </w:rPr>
                    <w:t>BA</w:t>
                  </w:r>
                </w:p>
              </w:tc>
              <w:tc>
                <w:tcPr>
                  <w:tcW w:w="1418" w:type="dxa"/>
                  <w:tcBorders>
                    <w:top w:val="nil"/>
                    <w:left w:val="nil"/>
                    <w:bottom w:val="nil"/>
                    <w:right w:val="nil"/>
                  </w:tcBorders>
                  <w:shd w:val="clear" w:color="auto" w:fill="auto"/>
                  <w:noWrap/>
                  <w:vAlign w:val="bottom"/>
                  <w:hideMark/>
                </w:tcPr>
                <w:p w14:paraId="62BB4483"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235</w:t>
                  </w:r>
                </w:p>
              </w:tc>
              <w:tc>
                <w:tcPr>
                  <w:tcW w:w="1701" w:type="dxa"/>
                  <w:tcBorders>
                    <w:top w:val="nil"/>
                    <w:left w:val="nil"/>
                    <w:bottom w:val="nil"/>
                    <w:right w:val="nil"/>
                  </w:tcBorders>
                  <w:shd w:val="clear" w:color="auto" w:fill="auto"/>
                  <w:noWrap/>
                  <w:vAlign w:val="bottom"/>
                  <w:hideMark/>
                </w:tcPr>
                <w:p w14:paraId="4540508C"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1,98%</w:t>
                  </w:r>
                </w:p>
              </w:tc>
            </w:tr>
            <w:tr w:rsidR="002800B4" w:rsidRPr="00A00273" w14:paraId="47F02A7D" w14:textId="77777777" w:rsidTr="00BF6D01">
              <w:trPr>
                <w:trHeight w:val="246"/>
              </w:trPr>
              <w:tc>
                <w:tcPr>
                  <w:tcW w:w="1163" w:type="dxa"/>
                  <w:tcBorders>
                    <w:top w:val="nil"/>
                    <w:left w:val="nil"/>
                    <w:bottom w:val="nil"/>
                    <w:right w:val="nil"/>
                  </w:tcBorders>
                  <w:shd w:val="clear" w:color="auto" w:fill="auto"/>
                  <w:noWrap/>
                  <w:vAlign w:val="bottom"/>
                  <w:hideMark/>
                </w:tcPr>
                <w:p w14:paraId="06E2D3EB" w14:textId="77777777" w:rsidR="002800B4" w:rsidRPr="00847FED" w:rsidRDefault="002800B4" w:rsidP="00AF58DF">
                  <w:pPr>
                    <w:jc w:val="left"/>
                    <w:rPr>
                      <w:rFonts w:eastAsia="Times New Roman" w:cs="Calibri"/>
                      <w:color w:val="000000"/>
                      <w:sz w:val="16"/>
                      <w:szCs w:val="16"/>
                      <w:lang w:eastAsia="it-IT"/>
                    </w:rPr>
                  </w:pPr>
                  <w:r w:rsidRPr="00847FED">
                    <w:rPr>
                      <w:rFonts w:eastAsia="Times New Roman" w:cs="Calibri"/>
                      <w:color w:val="000000"/>
                      <w:sz w:val="16"/>
                      <w:szCs w:val="16"/>
                      <w:lang w:eastAsia="it-IT"/>
                    </w:rPr>
                    <w:t>BS</w:t>
                  </w:r>
                </w:p>
              </w:tc>
              <w:tc>
                <w:tcPr>
                  <w:tcW w:w="1418" w:type="dxa"/>
                  <w:tcBorders>
                    <w:top w:val="nil"/>
                    <w:left w:val="nil"/>
                    <w:bottom w:val="nil"/>
                    <w:right w:val="nil"/>
                  </w:tcBorders>
                  <w:shd w:val="clear" w:color="auto" w:fill="auto"/>
                  <w:noWrap/>
                  <w:vAlign w:val="bottom"/>
                  <w:hideMark/>
                </w:tcPr>
                <w:p w14:paraId="46E8925F"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228</w:t>
                  </w:r>
                </w:p>
              </w:tc>
              <w:tc>
                <w:tcPr>
                  <w:tcW w:w="1701" w:type="dxa"/>
                  <w:tcBorders>
                    <w:top w:val="nil"/>
                    <w:left w:val="nil"/>
                    <w:bottom w:val="nil"/>
                    <w:right w:val="nil"/>
                  </w:tcBorders>
                  <w:shd w:val="clear" w:color="auto" w:fill="auto"/>
                  <w:noWrap/>
                  <w:vAlign w:val="bottom"/>
                  <w:hideMark/>
                </w:tcPr>
                <w:p w14:paraId="63442299"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1,92%</w:t>
                  </w:r>
                </w:p>
              </w:tc>
            </w:tr>
            <w:tr w:rsidR="002800B4" w:rsidRPr="00A00273" w14:paraId="1E57D785" w14:textId="77777777" w:rsidTr="00BF6D01">
              <w:trPr>
                <w:trHeight w:val="246"/>
              </w:trPr>
              <w:tc>
                <w:tcPr>
                  <w:tcW w:w="1163" w:type="dxa"/>
                  <w:tcBorders>
                    <w:top w:val="nil"/>
                    <w:left w:val="nil"/>
                    <w:bottom w:val="nil"/>
                    <w:right w:val="nil"/>
                  </w:tcBorders>
                  <w:shd w:val="clear" w:color="auto" w:fill="auto"/>
                  <w:noWrap/>
                  <w:vAlign w:val="bottom"/>
                  <w:hideMark/>
                </w:tcPr>
                <w:p w14:paraId="639ACE42" w14:textId="77777777" w:rsidR="002800B4" w:rsidRPr="00847FED" w:rsidRDefault="002800B4" w:rsidP="00AF58DF">
                  <w:pPr>
                    <w:jc w:val="left"/>
                    <w:rPr>
                      <w:rFonts w:eastAsia="Times New Roman" w:cs="Calibri"/>
                      <w:color w:val="000000"/>
                      <w:sz w:val="16"/>
                      <w:szCs w:val="16"/>
                      <w:lang w:eastAsia="it-IT"/>
                    </w:rPr>
                  </w:pPr>
                  <w:r w:rsidRPr="00847FED">
                    <w:rPr>
                      <w:rFonts w:eastAsia="Times New Roman" w:cs="Calibri"/>
                      <w:color w:val="000000"/>
                      <w:sz w:val="16"/>
                      <w:szCs w:val="16"/>
                      <w:lang w:eastAsia="it-IT"/>
                    </w:rPr>
                    <w:t>SA</w:t>
                  </w:r>
                </w:p>
              </w:tc>
              <w:tc>
                <w:tcPr>
                  <w:tcW w:w="1418" w:type="dxa"/>
                  <w:tcBorders>
                    <w:top w:val="nil"/>
                    <w:left w:val="nil"/>
                    <w:bottom w:val="nil"/>
                    <w:right w:val="nil"/>
                  </w:tcBorders>
                  <w:shd w:val="clear" w:color="auto" w:fill="auto"/>
                  <w:noWrap/>
                  <w:vAlign w:val="bottom"/>
                  <w:hideMark/>
                </w:tcPr>
                <w:p w14:paraId="44E79371"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211</w:t>
                  </w:r>
                </w:p>
              </w:tc>
              <w:tc>
                <w:tcPr>
                  <w:tcW w:w="1701" w:type="dxa"/>
                  <w:tcBorders>
                    <w:top w:val="nil"/>
                    <w:left w:val="nil"/>
                    <w:bottom w:val="nil"/>
                    <w:right w:val="nil"/>
                  </w:tcBorders>
                  <w:shd w:val="clear" w:color="auto" w:fill="auto"/>
                  <w:noWrap/>
                  <w:vAlign w:val="bottom"/>
                  <w:hideMark/>
                </w:tcPr>
                <w:p w14:paraId="03102B40"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1,78%</w:t>
                  </w:r>
                </w:p>
              </w:tc>
            </w:tr>
            <w:tr w:rsidR="002800B4" w:rsidRPr="00A00273" w14:paraId="3D288351" w14:textId="77777777" w:rsidTr="00BF6D01">
              <w:trPr>
                <w:trHeight w:val="246"/>
              </w:trPr>
              <w:tc>
                <w:tcPr>
                  <w:tcW w:w="1163" w:type="dxa"/>
                  <w:tcBorders>
                    <w:top w:val="nil"/>
                    <w:left w:val="nil"/>
                    <w:bottom w:val="nil"/>
                    <w:right w:val="nil"/>
                  </w:tcBorders>
                  <w:shd w:val="clear" w:color="auto" w:fill="auto"/>
                  <w:noWrap/>
                  <w:vAlign w:val="bottom"/>
                  <w:hideMark/>
                </w:tcPr>
                <w:p w14:paraId="2AF3D5AC" w14:textId="77777777" w:rsidR="002800B4" w:rsidRPr="00847FED" w:rsidRDefault="002800B4" w:rsidP="00AF58DF">
                  <w:pPr>
                    <w:jc w:val="left"/>
                    <w:rPr>
                      <w:rFonts w:eastAsia="Times New Roman" w:cs="Calibri"/>
                      <w:color w:val="000000"/>
                      <w:sz w:val="16"/>
                      <w:szCs w:val="16"/>
                      <w:lang w:eastAsia="it-IT"/>
                    </w:rPr>
                  </w:pPr>
                  <w:r w:rsidRPr="00847FED">
                    <w:rPr>
                      <w:rFonts w:eastAsia="Times New Roman" w:cs="Calibri"/>
                      <w:color w:val="000000"/>
                      <w:sz w:val="16"/>
                      <w:szCs w:val="16"/>
                      <w:lang w:eastAsia="it-IT"/>
                    </w:rPr>
                    <w:t>VR</w:t>
                  </w:r>
                </w:p>
              </w:tc>
              <w:tc>
                <w:tcPr>
                  <w:tcW w:w="1418" w:type="dxa"/>
                  <w:tcBorders>
                    <w:top w:val="nil"/>
                    <w:left w:val="nil"/>
                    <w:bottom w:val="nil"/>
                    <w:right w:val="nil"/>
                  </w:tcBorders>
                  <w:shd w:val="clear" w:color="auto" w:fill="auto"/>
                  <w:noWrap/>
                  <w:vAlign w:val="bottom"/>
                  <w:hideMark/>
                </w:tcPr>
                <w:p w14:paraId="6758F57C"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198</w:t>
                  </w:r>
                </w:p>
              </w:tc>
              <w:tc>
                <w:tcPr>
                  <w:tcW w:w="1701" w:type="dxa"/>
                  <w:tcBorders>
                    <w:top w:val="nil"/>
                    <w:left w:val="nil"/>
                    <w:bottom w:val="nil"/>
                    <w:right w:val="nil"/>
                  </w:tcBorders>
                  <w:shd w:val="clear" w:color="auto" w:fill="auto"/>
                  <w:noWrap/>
                  <w:vAlign w:val="bottom"/>
                  <w:hideMark/>
                </w:tcPr>
                <w:p w14:paraId="5ACE7342"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1,67%</w:t>
                  </w:r>
                </w:p>
              </w:tc>
            </w:tr>
            <w:tr w:rsidR="002800B4" w:rsidRPr="00A00273" w14:paraId="71E800F2" w14:textId="77777777" w:rsidTr="00BF6D01">
              <w:trPr>
                <w:trHeight w:val="246"/>
              </w:trPr>
              <w:tc>
                <w:tcPr>
                  <w:tcW w:w="1163" w:type="dxa"/>
                  <w:tcBorders>
                    <w:top w:val="nil"/>
                    <w:left w:val="nil"/>
                    <w:bottom w:val="nil"/>
                    <w:right w:val="nil"/>
                  </w:tcBorders>
                  <w:shd w:val="clear" w:color="auto" w:fill="auto"/>
                  <w:noWrap/>
                  <w:vAlign w:val="bottom"/>
                  <w:hideMark/>
                </w:tcPr>
                <w:p w14:paraId="56429A2F" w14:textId="77777777" w:rsidR="002800B4" w:rsidRPr="00847FED" w:rsidRDefault="002800B4" w:rsidP="00AF58DF">
                  <w:pPr>
                    <w:jc w:val="left"/>
                    <w:rPr>
                      <w:rFonts w:eastAsia="Times New Roman" w:cs="Calibri"/>
                      <w:color w:val="000000"/>
                      <w:sz w:val="16"/>
                      <w:szCs w:val="16"/>
                      <w:lang w:eastAsia="it-IT"/>
                    </w:rPr>
                  </w:pPr>
                  <w:r w:rsidRPr="00847FED">
                    <w:rPr>
                      <w:rFonts w:eastAsia="Times New Roman" w:cs="Calibri"/>
                      <w:color w:val="000000"/>
                      <w:sz w:val="16"/>
                      <w:szCs w:val="16"/>
                      <w:lang w:eastAsia="it-IT"/>
                    </w:rPr>
                    <w:t>TN</w:t>
                  </w:r>
                </w:p>
              </w:tc>
              <w:tc>
                <w:tcPr>
                  <w:tcW w:w="1418" w:type="dxa"/>
                  <w:tcBorders>
                    <w:top w:val="nil"/>
                    <w:left w:val="nil"/>
                    <w:bottom w:val="nil"/>
                    <w:right w:val="nil"/>
                  </w:tcBorders>
                  <w:shd w:val="clear" w:color="auto" w:fill="auto"/>
                  <w:noWrap/>
                  <w:vAlign w:val="bottom"/>
                  <w:hideMark/>
                </w:tcPr>
                <w:p w14:paraId="5421DC28"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189</w:t>
                  </w:r>
                </w:p>
              </w:tc>
              <w:tc>
                <w:tcPr>
                  <w:tcW w:w="1701" w:type="dxa"/>
                  <w:tcBorders>
                    <w:top w:val="nil"/>
                    <w:left w:val="nil"/>
                    <w:bottom w:val="nil"/>
                    <w:right w:val="nil"/>
                  </w:tcBorders>
                  <w:shd w:val="clear" w:color="auto" w:fill="auto"/>
                  <w:noWrap/>
                  <w:vAlign w:val="bottom"/>
                  <w:hideMark/>
                </w:tcPr>
                <w:p w14:paraId="3207D7A1" w14:textId="77777777" w:rsidR="002800B4" w:rsidRPr="00847FED" w:rsidRDefault="002800B4" w:rsidP="00AF58DF">
                  <w:pPr>
                    <w:jc w:val="right"/>
                    <w:rPr>
                      <w:rFonts w:eastAsia="Times New Roman" w:cs="Calibri"/>
                      <w:color w:val="000000"/>
                      <w:sz w:val="16"/>
                      <w:szCs w:val="16"/>
                      <w:lang w:eastAsia="it-IT"/>
                    </w:rPr>
                  </w:pPr>
                  <w:r w:rsidRPr="00847FED">
                    <w:rPr>
                      <w:rFonts w:eastAsia="Times New Roman" w:cs="Calibri"/>
                      <w:color w:val="000000"/>
                      <w:sz w:val="16"/>
                      <w:szCs w:val="16"/>
                      <w:lang w:eastAsia="it-IT"/>
                    </w:rPr>
                    <w:t>1,59%</w:t>
                  </w:r>
                </w:p>
              </w:tc>
            </w:tr>
            <w:tr w:rsidR="002800B4" w:rsidRPr="00A00273" w14:paraId="058D63A4" w14:textId="77777777" w:rsidTr="00BF6D01">
              <w:trPr>
                <w:trHeight w:val="246"/>
              </w:trPr>
              <w:tc>
                <w:tcPr>
                  <w:tcW w:w="1163" w:type="dxa"/>
                  <w:tcBorders>
                    <w:top w:val="nil"/>
                    <w:left w:val="nil"/>
                    <w:bottom w:val="nil"/>
                    <w:right w:val="nil"/>
                  </w:tcBorders>
                  <w:shd w:val="clear" w:color="auto" w:fill="auto"/>
                  <w:noWrap/>
                  <w:vAlign w:val="bottom"/>
                  <w:hideMark/>
                </w:tcPr>
                <w:p w14:paraId="6C792C5D" w14:textId="77777777" w:rsidR="002800B4" w:rsidRPr="00847FED" w:rsidRDefault="002800B4" w:rsidP="00AF58DF">
                  <w:pPr>
                    <w:jc w:val="left"/>
                    <w:rPr>
                      <w:rFonts w:eastAsia="Times New Roman" w:cs="Calibri"/>
                      <w:color w:val="000000"/>
                      <w:sz w:val="16"/>
                      <w:szCs w:val="16"/>
                      <w:lang w:eastAsia="it-IT"/>
                    </w:rPr>
                  </w:pPr>
                  <w:r>
                    <w:rPr>
                      <w:rFonts w:eastAsia="Times New Roman" w:cs="Calibri"/>
                      <w:color w:val="000000"/>
                      <w:sz w:val="16"/>
                      <w:szCs w:val="16"/>
                      <w:lang w:eastAsia="it-IT"/>
                    </w:rPr>
                    <w:t>…</w:t>
                  </w:r>
                </w:p>
              </w:tc>
              <w:tc>
                <w:tcPr>
                  <w:tcW w:w="1418" w:type="dxa"/>
                  <w:tcBorders>
                    <w:top w:val="nil"/>
                    <w:left w:val="nil"/>
                    <w:bottom w:val="nil"/>
                    <w:right w:val="nil"/>
                  </w:tcBorders>
                  <w:shd w:val="clear" w:color="auto" w:fill="auto"/>
                  <w:noWrap/>
                  <w:vAlign w:val="bottom"/>
                  <w:hideMark/>
                </w:tcPr>
                <w:p w14:paraId="7FA7CDB6" w14:textId="77777777" w:rsidR="002800B4" w:rsidRPr="00847FED" w:rsidRDefault="002800B4" w:rsidP="00AF58DF">
                  <w:pPr>
                    <w:jc w:val="right"/>
                    <w:rPr>
                      <w:rFonts w:eastAsia="Times New Roman" w:cs="Calibri"/>
                      <w:color w:val="000000"/>
                      <w:sz w:val="16"/>
                      <w:szCs w:val="16"/>
                      <w:lang w:eastAsia="it-IT"/>
                    </w:rPr>
                  </w:pPr>
                  <w:r>
                    <w:rPr>
                      <w:rFonts w:eastAsia="Times New Roman" w:cs="Calibri"/>
                      <w:color w:val="000000"/>
                      <w:sz w:val="16"/>
                      <w:szCs w:val="16"/>
                      <w:lang w:eastAsia="it-IT"/>
                    </w:rPr>
                    <w:t>...</w:t>
                  </w:r>
                </w:p>
              </w:tc>
              <w:tc>
                <w:tcPr>
                  <w:tcW w:w="1701" w:type="dxa"/>
                  <w:tcBorders>
                    <w:top w:val="nil"/>
                    <w:left w:val="nil"/>
                    <w:bottom w:val="nil"/>
                    <w:right w:val="nil"/>
                  </w:tcBorders>
                  <w:shd w:val="clear" w:color="auto" w:fill="auto"/>
                  <w:noWrap/>
                  <w:vAlign w:val="bottom"/>
                  <w:hideMark/>
                </w:tcPr>
                <w:p w14:paraId="638BCEE7" w14:textId="77777777" w:rsidR="002800B4" w:rsidRPr="00847FED" w:rsidRDefault="002800B4" w:rsidP="00AF58DF">
                  <w:pPr>
                    <w:jc w:val="right"/>
                    <w:rPr>
                      <w:rFonts w:eastAsia="Times New Roman" w:cs="Calibri"/>
                      <w:color w:val="000000"/>
                      <w:sz w:val="16"/>
                      <w:szCs w:val="16"/>
                      <w:lang w:eastAsia="it-IT"/>
                    </w:rPr>
                  </w:pPr>
                  <w:r>
                    <w:rPr>
                      <w:rFonts w:eastAsia="Times New Roman" w:cs="Calibri"/>
                      <w:color w:val="000000"/>
                      <w:sz w:val="16"/>
                      <w:szCs w:val="16"/>
                      <w:lang w:eastAsia="it-IT"/>
                    </w:rPr>
                    <w:t>…</w:t>
                  </w:r>
                </w:p>
              </w:tc>
            </w:tr>
            <w:tr w:rsidR="002800B4" w:rsidRPr="00A00273" w14:paraId="5BAF7FD3" w14:textId="77777777" w:rsidTr="00BF6D01">
              <w:trPr>
                <w:trHeight w:val="246"/>
              </w:trPr>
              <w:tc>
                <w:tcPr>
                  <w:tcW w:w="1163" w:type="dxa"/>
                  <w:tcBorders>
                    <w:top w:val="nil"/>
                    <w:left w:val="nil"/>
                    <w:bottom w:val="single" w:sz="4" w:space="0" w:color="auto"/>
                    <w:right w:val="nil"/>
                  </w:tcBorders>
                  <w:shd w:val="clear" w:color="auto" w:fill="DDEBF7"/>
                  <w:noWrap/>
                  <w:vAlign w:val="bottom"/>
                  <w:hideMark/>
                </w:tcPr>
                <w:p w14:paraId="1C343763" w14:textId="77777777" w:rsidR="002800B4" w:rsidRPr="00847FED" w:rsidRDefault="002800B4" w:rsidP="00AF58DF">
                  <w:pPr>
                    <w:jc w:val="left"/>
                    <w:rPr>
                      <w:rFonts w:eastAsia="Times New Roman" w:cs="Calibri"/>
                      <w:b/>
                      <w:bCs/>
                      <w:color w:val="000000"/>
                      <w:sz w:val="16"/>
                      <w:szCs w:val="16"/>
                      <w:lang w:eastAsia="it-IT"/>
                    </w:rPr>
                  </w:pPr>
                  <w:r w:rsidRPr="001162E3">
                    <w:rPr>
                      <w:rFonts w:eastAsia="Times New Roman" w:cs="Calibri"/>
                      <w:b/>
                      <w:bCs/>
                      <w:color w:val="000000"/>
                      <w:sz w:val="16"/>
                      <w:szCs w:val="16"/>
                      <w:lang w:eastAsia="it-IT"/>
                    </w:rPr>
                    <w:t>Totale</w:t>
                  </w:r>
                </w:p>
              </w:tc>
              <w:tc>
                <w:tcPr>
                  <w:tcW w:w="1418" w:type="dxa"/>
                  <w:tcBorders>
                    <w:top w:val="nil"/>
                    <w:left w:val="nil"/>
                    <w:bottom w:val="single" w:sz="4" w:space="0" w:color="auto"/>
                    <w:right w:val="nil"/>
                  </w:tcBorders>
                  <w:shd w:val="clear" w:color="auto" w:fill="DDEBF7"/>
                  <w:noWrap/>
                  <w:vAlign w:val="bottom"/>
                  <w:hideMark/>
                </w:tcPr>
                <w:p w14:paraId="1A3D9C45" w14:textId="77777777" w:rsidR="002800B4" w:rsidRPr="00847FED" w:rsidRDefault="002800B4" w:rsidP="00AF58DF">
                  <w:pPr>
                    <w:jc w:val="right"/>
                    <w:rPr>
                      <w:rFonts w:eastAsia="Times New Roman" w:cs="Calibri"/>
                      <w:b/>
                      <w:bCs/>
                      <w:color w:val="000000"/>
                      <w:sz w:val="16"/>
                      <w:szCs w:val="16"/>
                      <w:lang w:eastAsia="it-IT"/>
                    </w:rPr>
                  </w:pPr>
                  <w:r w:rsidRPr="001162E3">
                    <w:rPr>
                      <w:rFonts w:eastAsia="Times New Roman" w:cs="Calibri"/>
                      <w:b/>
                      <w:bCs/>
                      <w:color w:val="000000"/>
                      <w:sz w:val="16"/>
                      <w:szCs w:val="16"/>
                      <w:lang w:eastAsia="it-IT"/>
                    </w:rPr>
                    <w:t>11,859</w:t>
                  </w:r>
                </w:p>
              </w:tc>
              <w:tc>
                <w:tcPr>
                  <w:tcW w:w="1701" w:type="dxa"/>
                  <w:tcBorders>
                    <w:top w:val="nil"/>
                    <w:left w:val="nil"/>
                    <w:bottom w:val="single" w:sz="4" w:space="0" w:color="auto"/>
                    <w:right w:val="nil"/>
                  </w:tcBorders>
                  <w:shd w:val="clear" w:color="auto" w:fill="DDEBF7"/>
                  <w:noWrap/>
                  <w:vAlign w:val="bottom"/>
                  <w:hideMark/>
                </w:tcPr>
                <w:p w14:paraId="48A0CB99" w14:textId="77777777" w:rsidR="002800B4" w:rsidRPr="00847FED" w:rsidRDefault="002800B4" w:rsidP="00AF58DF">
                  <w:pPr>
                    <w:jc w:val="right"/>
                    <w:rPr>
                      <w:rFonts w:eastAsia="Times New Roman" w:cs="Calibri"/>
                      <w:b/>
                      <w:bCs/>
                      <w:color w:val="000000"/>
                      <w:sz w:val="16"/>
                      <w:szCs w:val="16"/>
                      <w:lang w:eastAsia="it-IT"/>
                    </w:rPr>
                  </w:pPr>
                  <w:r w:rsidRPr="001162E3">
                    <w:rPr>
                      <w:rFonts w:eastAsia="Times New Roman" w:cs="Calibri"/>
                      <w:b/>
                      <w:bCs/>
                      <w:color w:val="000000"/>
                      <w:sz w:val="16"/>
                      <w:szCs w:val="16"/>
                      <w:lang w:eastAsia="it-IT"/>
                    </w:rPr>
                    <w:t>100,00%</w:t>
                  </w:r>
                </w:p>
              </w:tc>
            </w:tr>
          </w:tbl>
          <w:p w14:paraId="76C7BA49" w14:textId="77777777" w:rsidR="002800B4" w:rsidRDefault="002800B4" w:rsidP="00AF58DF"/>
        </w:tc>
        <w:tc>
          <w:tcPr>
            <w:tcW w:w="4819" w:type="dxa"/>
          </w:tcPr>
          <w:tbl>
            <w:tblPr>
              <w:tblpPr w:leftFromText="141" w:rightFromText="141" w:vertAnchor="text" w:horzAnchor="margin" w:tblpYSpec="center"/>
              <w:tblOverlap w:val="never"/>
              <w:tblW w:w="4531" w:type="dxa"/>
              <w:tblLayout w:type="fixed"/>
              <w:tblCellMar>
                <w:left w:w="70" w:type="dxa"/>
                <w:right w:w="70" w:type="dxa"/>
              </w:tblCellMar>
              <w:tblLook w:val="04A0" w:firstRow="1" w:lastRow="0" w:firstColumn="1" w:lastColumn="0" w:noHBand="0" w:noVBand="1"/>
            </w:tblPr>
            <w:tblGrid>
              <w:gridCol w:w="1555"/>
              <w:gridCol w:w="1417"/>
              <w:gridCol w:w="1559"/>
            </w:tblGrid>
            <w:tr w:rsidR="002800B4" w:rsidRPr="00305958" w14:paraId="7A1A211C" w14:textId="77777777" w:rsidTr="00BF6D01">
              <w:trPr>
                <w:trHeight w:val="463"/>
              </w:trPr>
              <w:tc>
                <w:tcPr>
                  <w:tcW w:w="1555" w:type="dxa"/>
                  <w:tcBorders>
                    <w:top w:val="single" w:sz="4" w:space="0" w:color="305496"/>
                    <w:left w:val="single" w:sz="4" w:space="0" w:color="305496"/>
                    <w:bottom w:val="single" w:sz="4" w:space="0" w:color="305496"/>
                    <w:right w:val="nil"/>
                  </w:tcBorders>
                  <w:shd w:val="clear" w:color="auto" w:fill="669748" w:themeFill="accent2" w:themeFillShade="BF"/>
                  <w:vAlign w:val="bottom"/>
                  <w:hideMark/>
                </w:tcPr>
                <w:p w14:paraId="67426D4A" w14:textId="77777777" w:rsidR="002800B4" w:rsidRPr="00305958" w:rsidRDefault="002800B4" w:rsidP="00AF58DF">
                  <w:pPr>
                    <w:jc w:val="left"/>
                    <w:rPr>
                      <w:rFonts w:eastAsia="Times New Roman" w:cs="Calibri"/>
                      <w:b/>
                      <w:bCs/>
                      <w:color w:val="FFFFFF"/>
                      <w:sz w:val="16"/>
                      <w:szCs w:val="16"/>
                      <w:lang w:eastAsia="it-IT"/>
                    </w:rPr>
                  </w:pPr>
                  <w:r w:rsidRPr="00305958">
                    <w:rPr>
                      <w:rFonts w:eastAsia="Times New Roman" w:cs="Calibri"/>
                      <w:b/>
                      <w:bCs/>
                      <w:color w:val="FFFFFF"/>
                      <w:sz w:val="16"/>
                      <w:szCs w:val="16"/>
                      <w:lang w:eastAsia="it-IT"/>
                    </w:rPr>
                    <w:t xml:space="preserve">Provincia </w:t>
                  </w:r>
                </w:p>
              </w:tc>
              <w:tc>
                <w:tcPr>
                  <w:tcW w:w="1417" w:type="dxa"/>
                  <w:tcBorders>
                    <w:top w:val="single" w:sz="4" w:space="0" w:color="305496"/>
                    <w:left w:val="single" w:sz="4" w:space="0" w:color="305496"/>
                    <w:bottom w:val="single" w:sz="4" w:space="0" w:color="305496"/>
                    <w:right w:val="nil"/>
                  </w:tcBorders>
                  <w:shd w:val="clear" w:color="auto" w:fill="669748" w:themeFill="accent2" w:themeFillShade="BF"/>
                  <w:vAlign w:val="bottom"/>
                  <w:hideMark/>
                </w:tcPr>
                <w:p w14:paraId="7A67A9F0" w14:textId="77777777" w:rsidR="002800B4" w:rsidRPr="00305958" w:rsidRDefault="002800B4" w:rsidP="00AF58DF">
                  <w:pPr>
                    <w:jc w:val="left"/>
                    <w:rPr>
                      <w:rFonts w:eastAsia="Times New Roman" w:cs="Calibri"/>
                      <w:b/>
                      <w:bCs/>
                      <w:color w:val="FFFFFF"/>
                      <w:sz w:val="16"/>
                      <w:szCs w:val="16"/>
                      <w:lang w:eastAsia="it-IT"/>
                    </w:rPr>
                  </w:pPr>
                  <w:r w:rsidRPr="00305958">
                    <w:rPr>
                      <w:rFonts w:eastAsia="Times New Roman" w:cs="Calibri"/>
                      <w:b/>
                      <w:bCs/>
                      <w:color w:val="FFFFFF"/>
                      <w:sz w:val="16"/>
                      <w:szCs w:val="16"/>
                      <w:lang w:eastAsia="it-IT"/>
                    </w:rPr>
                    <w:t>Numero di startup iscritte al registro</w:t>
                  </w:r>
                </w:p>
              </w:tc>
              <w:tc>
                <w:tcPr>
                  <w:tcW w:w="1559" w:type="dxa"/>
                  <w:tcBorders>
                    <w:top w:val="single" w:sz="4" w:space="0" w:color="305496"/>
                    <w:left w:val="single" w:sz="4" w:space="0" w:color="305496"/>
                    <w:bottom w:val="single" w:sz="4" w:space="0" w:color="305496"/>
                    <w:right w:val="nil"/>
                  </w:tcBorders>
                  <w:shd w:val="clear" w:color="auto" w:fill="669748" w:themeFill="accent2" w:themeFillShade="BF"/>
                  <w:vAlign w:val="bottom"/>
                  <w:hideMark/>
                </w:tcPr>
                <w:p w14:paraId="75EF5844" w14:textId="77777777" w:rsidR="002800B4" w:rsidRPr="00305958" w:rsidRDefault="002800B4" w:rsidP="00AF58DF">
                  <w:pPr>
                    <w:jc w:val="left"/>
                    <w:rPr>
                      <w:rFonts w:eastAsia="Times New Roman" w:cs="Calibri"/>
                      <w:b/>
                      <w:bCs/>
                      <w:color w:val="FFFFFF"/>
                      <w:sz w:val="16"/>
                      <w:szCs w:val="16"/>
                      <w:lang w:eastAsia="it-IT"/>
                    </w:rPr>
                  </w:pPr>
                  <w:r w:rsidRPr="00305958">
                    <w:rPr>
                      <w:rFonts w:eastAsia="Times New Roman" w:cs="Calibri"/>
                      <w:b/>
                      <w:bCs/>
                      <w:color w:val="FFFFFF"/>
                      <w:sz w:val="16"/>
                      <w:szCs w:val="16"/>
                      <w:lang w:eastAsia="it-IT"/>
                    </w:rPr>
                    <w:t>% startup innovative sul totale regionale</w:t>
                  </w:r>
                </w:p>
              </w:tc>
            </w:tr>
            <w:tr w:rsidR="002800B4" w:rsidRPr="00305958" w14:paraId="676047D2" w14:textId="77777777" w:rsidTr="00BF6D01">
              <w:trPr>
                <w:trHeight w:val="242"/>
              </w:trPr>
              <w:tc>
                <w:tcPr>
                  <w:tcW w:w="1555" w:type="dxa"/>
                  <w:tcBorders>
                    <w:top w:val="nil"/>
                    <w:left w:val="nil"/>
                    <w:bottom w:val="nil"/>
                    <w:right w:val="nil"/>
                  </w:tcBorders>
                  <w:shd w:val="clear" w:color="auto" w:fill="auto"/>
                  <w:vAlign w:val="bottom"/>
                  <w:hideMark/>
                </w:tcPr>
                <w:p w14:paraId="57752B7A" w14:textId="77777777" w:rsidR="002800B4" w:rsidRPr="00305958" w:rsidRDefault="002800B4" w:rsidP="00AF58DF">
                  <w:pPr>
                    <w:jc w:val="left"/>
                    <w:rPr>
                      <w:rFonts w:eastAsia="Times New Roman" w:cs="Calibri"/>
                      <w:color w:val="000000"/>
                      <w:sz w:val="16"/>
                      <w:szCs w:val="16"/>
                      <w:lang w:eastAsia="it-IT"/>
                    </w:rPr>
                  </w:pPr>
                  <w:r w:rsidRPr="00305958">
                    <w:rPr>
                      <w:rFonts w:eastAsia="Times New Roman" w:cs="Calibri"/>
                      <w:color w:val="000000"/>
                      <w:sz w:val="16"/>
                      <w:szCs w:val="16"/>
                      <w:lang w:eastAsia="it-IT"/>
                    </w:rPr>
                    <w:t>Bergamo</w:t>
                  </w:r>
                </w:p>
              </w:tc>
              <w:tc>
                <w:tcPr>
                  <w:tcW w:w="1417" w:type="dxa"/>
                  <w:tcBorders>
                    <w:top w:val="nil"/>
                    <w:left w:val="nil"/>
                    <w:bottom w:val="nil"/>
                    <w:right w:val="nil"/>
                  </w:tcBorders>
                  <w:shd w:val="clear" w:color="auto" w:fill="auto"/>
                  <w:vAlign w:val="bottom"/>
                  <w:hideMark/>
                </w:tcPr>
                <w:p w14:paraId="4511CE59"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249</w:t>
                  </w:r>
                </w:p>
              </w:tc>
              <w:tc>
                <w:tcPr>
                  <w:tcW w:w="1559" w:type="dxa"/>
                  <w:tcBorders>
                    <w:top w:val="nil"/>
                    <w:left w:val="nil"/>
                    <w:bottom w:val="nil"/>
                    <w:right w:val="nil"/>
                  </w:tcBorders>
                  <w:shd w:val="clear" w:color="auto" w:fill="auto"/>
                  <w:noWrap/>
                  <w:vAlign w:val="bottom"/>
                  <w:hideMark/>
                </w:tcPr>
                <w:p w14:paraId="5725FCCE"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7,76%</w:t>
                  </w:r>
                </w:p>
              </w:tc>
            </w:tr>
            <w:tr w:rsidR="002800B4" w:rsidRPr="00305958" w14:paraId="7C14304D" w14:textId="77777777" w:rsidTr="00BF6D01">
              <w:trPr>
                <w:trHeight w:val="242"/>
              </w:trPr>
              <w:tc>
                <w:tcPr>
                  <w:tcW w:w="1555" w:type="dxa"/>
                  <w:tcBorders>
                    <w:top w:val="nil"/>
                    <w:left w:val="nil"/>
                    <w:bottom w:val="nil"/>
                    <w:right w:val="nil"/>
                  </w:tcBorders>
                  <w:shd w:val="clear" w:color="auto" w:fill="auto"/>
                  <w:vAlign w:val="bottom"/>
                  <w:hideMark/>
                </w:tcPr>
                <w:p w14:paraId="73B02D16" w14:textId="77777777" w:rsidR="002800B4" w:rsidRPr="00305958" w:rsidRDefault="002800B4" w:rsidP="00AF58DF">
                  <w:pPr>
                    <w:jc w:val="left"/>
                    <w:rPr>
                      <w:rFonts w:eastAsia="Times New Roman" w:cs="Calibri"/>
                      <w:color w:val="000000"/>
                      <w:sz w:val="16"/>
                      <w:szCs w:val="16"/>
                      <w:lang w:eastAsia="it-IT"/>
                    </w:rPr>
                  </w:pPr>
                  <w:r w:rsidRPr="00305958">
                    <w:rPr>
                      <w:rFonts w:eastAsia="Times New Roman" w:cs="Calibri"/>
                      <w:color w:val="000000"/>
                      <w:sz w:val="16"/>
                      <w:szCs w:val="16"/>
                      <w:lang w:eastAsia="it-IT"/>
                    </w:rPr>
                    <w:t>Brescia</w:t>
                  </w:r>
                </w:p>
              </w:tc>
              <w:tc>
                <w:tcPr>
                  <w:tcW w:w="1417" w:type="dxa"/>
                  <w:tcBorders>
                    <w:top w:val="nil"/>
                    <w:left w:val="nil"/>
                    <w:bottom w:val="nil"/>
                    <w:right w:val="nil"/>
                  </w:tcBorders>
                  <w:shd w:val="clear" w:color="auto" w:fill="auto"/>
                  <w:vAlign w:val="bottom"/>
                  <w:hideMark/>
                </w:tcPr>
                <w:p w14:paraId="48BE911D"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228</w:t>
                  </w:r>
                </w:p>
              </w:tc>
              <w:tc>
                <w:tcPr>
                  <w:tcW w:w="1559" w:type="dxa"/>
                  <w:tcBorders>
                    <w:top w:val="nil"/>
                    <w:left w:val="nil"/>
                    <w:bottom w:val="nil"/>
                    <w:right w:val="nil"/>
                  </w:tcBorders>
                  <w:shd w:val="clear" w:color="auto" w:fill="auto"/>
                  <w:noWrap/>
                  <w:vAlign w:val="bottom"/>
                  <w:hideMark/>
                </w:tcPr>
                <w:p w14:paraId="51D1E392"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7,11%</w:t>
                  </w:r>
                </w:p>
              </w:tc>
            </w:tr>
            <w:tr w:rsidR="002800B4" w:rsidRPr="00305958" w14:paraId="34974D88" w14:textId="77777777" w:rsidTr="00BF6D01">
              <w:trPr>
                <w:trHeight w:val="242"/>
              </w:trPr>
              <w:tc>
                <w:tcPr>
                  <w:tcW w:w="1555" w:type="dxa"/>
                  <w:tcBorders>
                    <w:top w:val="nil"/>
                    <w:left w:val="nil"/>
                    <w:bottom w:val="nil"/>
                    <w:right w:val="nil"/>
                  </w:tcBorders>
                  <w:shd w:val="clear" w:color="auto" w:fill="auto"/>
                  <w:vAlign w:val="bottom"/>
                  <w:hideMark/>
                </w:tcPr>
                <w:p w14:paraId="2D8DF921" w14:textId="77777777" w:rsidR="002800B4" w:rsidRPr="00305958" w:rsidRDefault="002800B4" w:rsidP="00AF58DF">
                  <w:pPr>
                    <w:jc w:val="left"/>
                    <w:rPr>
                      <w:rFonts w:eastAsia="Times New Roman" w:cs="Calibri"/>
                      <w:color w:val="000000"/>
                      <w:sz w:val="16"/>
                      <w:szCs w:val="16"/>
                      <w:lang w:eastAsia="it-IT"/>
                    </w:rPr>
                  </w:pPr>
                  <w:r w:rsidRPr="00305958">
                    <w:rPr>
                      <w:rFonts w:eastAsia="Times New Roman" w:cs="Calibri"/>
                      <w:color w:val="000000"/>
                      <w:sz w:val="16"/>
                      <w:szCs w:val="16"/>
                      <w:lang w:eastAsia="it-IT"/>
                    </w:rPr>
                    <w:t>Como</w:t>
                  </w:r>
                </w:p>
              </w:tc>
              <w:tc>
                <w:tcPr>
                  <w:tcW w:w="1417" w:type="dxa"/>
                  <w:tcBorders>
                    <w:top w:val="nil"/>
                    <w:left w:val="nil"/>
                    <w:bottom w:val="nil"/>
                    <w:right w:val="nil"/>
                  </w:tcBorders>
                  <w:shd w:val="clear" w:color="auto" w:fill="auto"/>
                  <w:vAlign w:val="bottom"/>
                  <w:hideMark/>
                </w:tcPr>
                <w:p w14:paraId="3A9B23E8"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70</w:t>
                  </w:r>
                </w:p>
              </w:tc>
              <w:tc>
                <w:tcPr>
                  <w:tcW w:w="1559" w:type="dxa"/>
                  <w:tcBorders>
                    <w:top w:val="nil"/>
                    <w:left w:val="nil"/>
                    <w:bottom w:val="nil"/>
                    <w:right w:val="nil"/>
                  </w:tcBorders>
                  <w:shd w:val="clear" w:color="auto" w:fill="auto"/>
                  <w:noWrap/>
                  <w:vAlign w:val="bottom"/>
                  <w:hideMark/>
                </w:tcPr>
                <w:p w14:paraId="6CBD489B"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2,18%</w:t>
                  </w:r>
                </w:p>
              </w:tc>
            </w:tr>
            <w:tr w:rsidR="002800B4" w:rsidRPr="00305958" w14:paraId="15CF3189" w14:textId="77777777" w:rsidTr="00BF6D01">
              <w:trPr>
                <w:trHeight w:val="242"/>
              </w:trPr>
              <w:tc>
                <w:tcPr>
                  <w:tcW w:w="1555" w:type="dxa"/>
                  <w:tcBorders>
                    <w:top w:val="nil"/>
                    <w:left w:val="nil"/>
                    <w:bottom w:val="nil"/>
                    <w:right w:val="nil"/>
                  </w:tcBorders>
                  <w:shd w:val="clear" w:color="auto" w:fill="auto"/>
                  <w:vAlign w:val="bottom"/>
                  <w:hideMark/>
                </w:tcPr>
                <w:p w14:paraId="2B86318D" w14:textId="77777777" w:rsidR="002800B4" w:rsidRPr="00305958" w:rsidRDefault="002800B4" w:rsidP="00AF58DF">
                  <w:pPr>
                    <w:jc w:val="left"/>
                    <w:rPr>
                      <w:rFonts w:eastAsia="Times New Roman" w:cs="Calibri"/>
                      <w:color w:val="000000"/>
                      <w:sz w:val="16"/>
                      <w:szCs w:val="16"/>
                      <w:lang w:eastAsia="it-IT"/>
                    </w:rPr>
                  </w:pPr>
                  <w:r w:rsidRPr="00305958">
                    <w:rPr>
                      <w:rFonts w:eastAsia="Times New Roman" w:cs="Calibri"/>
                      <w:color w:val="000000"/>
                      <w:sz w:val="16"/>
                      <w:szCs w:val="16"/>
                      <w:lang w:eastAsia="it-IT"/>
                    </w:rPr>
                    <w:t>Cremona</w:t>
                  </w:r>
                </w:p>
              </w:tc>
              <w:tc>
                <w:tcPr>
                  <w:tcW w:w="1417" w:type="dxa"/>
                  <w:tcBorders>
                    <w:top w:val="nil"/>
                    <w:left w:val="nil"/>
                    <w:bottom w:val="nil"/>
                    <w:right w:val="nil"/>
                  </w:tcBorders>
                  <w:shd w:val="clear" w:color="auto" w:fill="auto"/>
                  <w:vAlign w:val="bottom"/>
                  <w:hideMark/>
                </w:tcPr>
                <w:p w14:paraId="5627AB37"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33</w:t>
                  </w:r>
                </w:p>
              </w:tc>
              <w:tc>
                <w:tcPr>
                  <w:tcW w:w="1559" w:type="dxa"/>
                  <w:tcBorders>
                    <w:top w:val="nil"/>
                    <w:left w:val="nil"/>
                    <w:bottom w:val="nil"/>
                    <w:right w:val="nil"/>
                  </w:tcBorders>
                  <w:shd w:val="clear" w:color="auto" w:fill="auto"/>
                  <w:noWrap/>
                  <w:vAlign w:val="bottom"/>
                  <w:hideMark/>
                </w:tcPr>
                <w:p w14:paraId="4AE03146"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1,03%</w:t>
                  </w:r>
                </w:p>
              </w:tc>
            </w:tr>
            <w:tr w:rsidR="002800B4" w:rsidRPr="00305958" w14:paraId="7E5D9657" w14:textId="77777777" w:rsidTr="00BF6D01">
              <w:trPr>
                <w:trHeight w:val="242"/>
              </w:trPr>
              <w:tc>
                <w:tcPr>
                  <w:tcW w:w="1555" w:type="dxa"/>
                  <w:tcBorders>
                    <w:top w:val="nil"/>
                    <w:left w:val="nil"/>
                    <w:bottom w:val="nil"/>
                    <w:right w:val="nil"/>
                  </w:tcBorders>
                  <w:shd w:val="clear" w:color="auto" w:fill="auto"/>
                  <w:vAlign w:val="bottom"/>
                  <w:hideMark/>
                </w:tcPr>
                <w:p w14:paraId="48AC05D9" w14:textId="77777777" w:rsidR="002800B4" w:rsidRPr="00305958" w:rsidRDefault="002800B4" w:rsidP="00AF58DF">
                  <w:pPr>
                    <w:jc w:val="left"/>
                    <w:rPr>
                      <w:rFonts w:eastAsia="Times New Roman" w:cs="Calibri"/>
                      <w:color w:val="000000"/>
                      <w:sz w:val="16"/>
                      <w:szCs w:val="16"/>
                      <w:lang w:eastAsia="it-IT"/>
                    </w:rPr>
                  </w:pPr>
                  <w:r w:rsidRPr="00305958">
                    <w:rPr>
                      <w:rFonts w:eastAsia="Times New Roman" w:cs="Calibri"/>
                      <w:color w:val="000000"/>
                      <w:sz w:val="16"/>
                      <w:szCs w:val="16"/>
                      <w:lang w:eastAsia="it-IT"/>
                    </w:rPr>
                    <w:t>Lecco</w:t>
                  </w:r>
                </w:p>
              </w:tc>
              <w:tc>
                <w:tcPr>
                  <w:tcW w:w="1417" w:type="dxa"/>
                  <w:tcBorders>
                    <w:top w:val="nil"/>
                    <w:left w:val="nil"/>
                    <w:bottom w:val="nil"/>
                    <w:right w:val="nil"/>
                  </w:tcBorders>
                  <w:shd w:val="clear" w:color="auto" w:fill="auto"/>
                  <w:vAlign w:val="bottom"/>
                  <w:hideMark/>
                </w:tcPr>
                <w:p w14:paraId="0A692EB3"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42</w:t>
                  </w:r>
                </w:p>
              </w:tc>
              <w:tc>
                <w:tcPr>
                  <w:tcW w:w="1559" w:type="dxa"/>
                  <w:tcBorders>
                    <w:top w:val="nil"/>
                    <w:left w:val="nil"/>
                    <w:bottom w:val="nil"/>
                    <w:right w:val="nil"/>
                  </w:tcBorders>
                  <w:shd w:val="clear" w:color="auto" w:fill="auto"/>
                  <w:noWrap/>
                  <w:vAlign w:val="bottom"/>
                  <w:hideMark/>
                </w:tcPr>
                <w:p w14:paraId="00314CD7"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1,31%</w:t>
                  </w:r>
                </w:p>
              </w:tc>
            </w:tr>
            <w:tr w:rsidR="002800B4" w:rsidRPr="00305958" w14:paraId="5E3882EE" w14:textId="77777777" w:rsidTr="00BF6D01">
              <w:trPr>
                <w:trHeight w:val="242"/>
              </w:trPr>
              <w:tc>
                <w:tcPr>
                  <w:tcW w:w="1555" w:type="dxa"/>
                  <w:tcBorders>
                    <w:top w:val="nil"/>
                    <w:left w:val="nil"/>
                    <w:bottom w:val="nil"/>
                    <w:right w:val="nil"/>
                  </w:tcBorders>
                  <w:shd w:val="clear" w:color="auto" w:fill="auto"/>
                  <w:vAlign w:val="bottom"/>
                  <w:hideMark/>
                </w:tcPr>
                <w:p w14:paraId="675D7753" w14:textId="77777777" w:rsidR="002800B4" w:rsidRPr="00305958" w:rsidRDefault="002800B4" w:rsidP="00AF58DF">
                  <w:pPr>
                    <w:jc w:val="left"/>
                    <w:rPr>
                      <w:rFonts w:eastAsia="Times New Roman" w:cs="Calibri"/>
                      <w:color w:val="000000"/>
                      <w:sz w:val="16"/>
                      <w:szCs w:val="16"/>
                      <w:lang w:eastAsia="it-IT"/>
                    </w:rPr>
                  </w:pPr>
                  <w:r w:rsidRPr="00305958">
                    <w:rPr>
                      <w:rFonts w:eastAsia="Times New Roman" w:cs="Calibri"/>
                      <w:color w:val="000000"/>
                      <w:sz w:val="16"/>
                      <w:szCs w:val="16"/>
                      <w:lang w:eastAsia="it-IT"/>
                    </w:rPr>
                    <w:t>Lodi</w:t>
                  </w:r>
                </w:p>
              </w:tc>
              <w:tc>
                <w:tcPr>
                  <w:tcW w:w="1417" w:type="dxa"/>
                  <w:tcBorders>
                    <w:top w:val="nil"/>
                    <w:left w:val="nil"/>
                    <w:bottom w:val="nil"/>
                    <w:right w:val="nil"/>
                  </w:tcBorders>
                  <w:shd w:val="clear" w:color="auto" w:fill="auto"/>
                  <w:vAlign w:val="bottom"/>
                  <w:hideMark/>
                </w:tcPr>
                <w:p w14:paraId="07B78CCA"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26</w:t>
                  </w:r>
                </w:p>
              </w:tc>
              <w:tc>
                <w:tcPr>
                  <w:tcW w:w="1559" w:type="dxa"/>
                  <w:tcBorders>
                    <w:top w:val="nil"/>
                    <w:left w:val="nil"/>
                    <w:bottom w:val="nil"/>
                    <w:right w:val="nil"/>
                  </w:tcBorders>
                  <w:shd w:val="clear" w:color="auto" w:fill="auto"/>
                  <w:noWrap/>
                  <w:vAlign w:val="bottom"/>
                  <w:hideMark/>
                </w:tcPr>
                <w:p w14:paraId="27A0C87F"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0,81%</w:t>
                  </w:r>
                </w:p>
              </w:tc>
            </w:tr>
            <w:tr w:rsidR="002800B4" w:rsidRPr="00305958" w14:paraId="0931751E" w14:textId="77777777" w:rsidTr="00BF6D01">
              <w:trPr>
                <w:trHeight w:val="242"/>
              </w:trPr>
              <w:tc>
                <w:tcPr>
                  <w:tcW w:w="1555" w:type="dxa"/>
                  <w:tcBorders>
                    <w:top w:val="nil"/>
                    <w:left w:val="nil"/>
                    <w:bottom w:val="nil"/>
                    <w:right w:val="nil"/>
                  </w:tcBorders>
                  <w:shd w:val="clear" w:color="auto" w:fill="auto"/>
                  <w:vAlign w:val="bottom"/>
                  <w:hideMark/>
                </w:tcPr>
                <w:p w14:paraId="3903D9A6" w14:textId="77777777" w:rsidR="002800B4" w:rsidRPr="00305958" w:rsidRDefault="002800B4" w:rsidP="00AF58DF">
                  <w:pPr>
                    <w:jc w:val="left"/>
                    <w:rPr>
                      <w:rFonts w:eastAsia="Times New Roman" w:cs="Calibri"/>
                      <w:color w:val="000000"/>
                      <w:sz w:val="16"/>
                      <w:szCs w:val="16"/>
                      <w:lang w:eastAsia="it-IT"/>
                    </w:rPr>
                  </w:pPr>
                  <w:r w:rsidRPr="00305958">
                    <w:rPr>
                      <w:rFonts w:eastAsia="Times New Roman" w:cs="Calibri"/>
                      <w:color w:val="000000"/>
                      <w:sz w:val="16"/>
                      <w:szCs w:val="16"/>
                      <w:lang w:eastAsia="it-IT"/>
                    </w:rPr>
                    <w:t>Mantova</w:t>
                  </w:r>
                </w:p>
              </w:tc>
              <w:tc>
                <w:tcPr>
                  <w:tcW w:w="1417" w:type="dxa"/>
                  <w:tcBorders>
                    <w:top w:val="nil"/>
                    <w:left w:val="nil"/>
                    <w:bottom w:val="nil"/>
                    <w:right w:val="nil"/>
                  </w:tcBorders>
                  <w:shd w:val="clear" w:color="auto" w:fill="auto"/>
                  <w:vAlign w:val="bottom"/>
                  <w:hideMark/>
                </w:tcPr>
                <w:p w14:paraId="63C19270"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110</w:t>
                  </w:r>
                </w:p>
              </w:tc>
              <w:tc>
                <w:tcPr>
                  <w:tcW w:w="1559" w:type="dxa"/>
                  <w:tcBorders>
                    <w:top w:val="nil"/>
                    <w:left w:val="nil"/>
                    <w:bottom w:val="nil"/>
                    <w:right w:val="nil"/>
                  </w:tcBorders>
                  <w:shd w:val="clear" w:color="auto" w:fill="auto"/>
                  <w:noWrap/>
                  <w:vAlign w:val="bottom"/>
                  <w:hideMark/>
                </w:tcPr>
                <w:p w14:paraId="141BCA6D"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3,43%</w:t>
                  </w:r>
                </w:p>
              </w:tc>
            </w:tr>
            <w:tr w:rsidR="002800B4" w:rsidRPr="00305958" w14:paraId="2FD219A8" w14:textId="77777777" w:rsidTr="00BF6D01">
              <w:trPr>
                <w:trHeight w:val="242"/>
              </w:trPr>
              <w:tc>
                <w:tcPr>
                  <w:tcW w:w="1555" w:type="dxa"/>
                  <w:tcBorders>
                    <w:top w:val="nil"/>
                    <w:left w:val="nil"/>
                    <w:bottom w:val="nil"/>
                    <w:right w:val="nil"/>
                  </w:tcBorders>
                  <w:shd w:val="clear" w:color="auto" w:fill="auto"/>
                  <w:vAlign w:val="bottom"/>
                  <w:hideMark/>
                </w:tcPr>
                <w:p w14:paraId="4966B83F" w14:textId="77777777" w:rsidR="002800B4" w:rsidRPr="00305958" w:rsidRDefault="002800B4" w:rsidP="00AF58DF">
                  <w:pPr>
                    <w:jc w:val="left"/>
                    <w:rPr>
                      <w:rFonts w:eastAsia="Times New Roman" w:cs="Calibri"/>
                      <w:color w:val="000000"/>
                      <w:sz w:val="16"/>
                      <w:szCs w:val="16"/>
                      <w:lang w:eastAsia="it-IT"/>
                    </w:rPr>
                  </w:pPr>
                  <w:r w:rsidRPr="00305958">
                    <w:rPr>
                      <w:rFonts w:eastAsia="Times New Roman" w:cs="Calibri"/>
                      <w:color w:val="000000"/>
                      <w:sz w:val="16"/>
                      <w:szCs w:val="16"/>
                      <w:lang w:eastAsia="it-IT"/>
                    </w:rPr>
                    <w:t>Milano</w:t>
                  </w:r>
                </w:p>
              </w:tc>
              <w:tc>
                <w:tcPr>
                  <w:tcW w:w="1417" w:type="dxa"/>
                  <w:tcBorders>
                    <w:top w:val="nil"/>
                    <w:left w:val="nil"/>
                    <w:bottom w:val="nil"/>
                    <w:right w:val="nil"/>
                  </w:tcBorders>
                  <w:shd w:val="clear" w:color="auto" w:fill="auto"/>
                  <w:vAlign w:val="bottom"/>
                  <w:hideMark/>
                </w:tcPr>
                <w:p w14:paraId="04B71325"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2257</w:t>
                  </w:r>
                </w:p>
              </w:tc>
              <w:tc>
                <w:tcPr>
                  <w:tcW w:w="1559" w:type="dxa"/>
                  <w:tcBorders>
                    <w:top w:val="nil"/>
                    <w:left w:val="nil"/>
                    <w:bottom w:val="nil"/>
                    <w:right w:val="nil"/>
                  </w:tcBorders>
                  <w:shd w:val="clear" w:color="auto" w:fill="auto"/>
                  <w:noWrap/>
                  <w:vAlign w:val="bottom"/>
                  <w:hideMark/>
                </w:tcPr>
                <w:p w14:paraId="7E662623"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70,38%</w:t>
                  </w:r>
                </w:p>
              </w:tc>
            </w:tr>
            <w:tr w:rsidR="002800B4" w:rsidRPr="00305958" w14:paraId="32FEBC7D" w14:textId="77777777" w:rsidTr="00BF6D01">
              <w:trPr>
                <w:trHeight w:val="222"/>
              </w:trPr>
              <w:tc>
                <w:tcPr>
                  <w:tcW w:w="1555" w:type="dxa"/>
                  <w:tcBorders>
                    <w:top w:val="nil"/>
                    <w:left w:val="nil"/>
                    <w:bottom w:val="nil"/>
                    <w:right w:val="nil"/>
                  </w:tcBorders>
                  <w:shd w:val="clear" w:color="auto" w:fill="auto"/>
                  <w:vAlign w:val="bottom"/>
                  <w:hideMark/>
                </w:tcPr>
                <w:p w14:paraId="2A2F0F22" w14:textId="77777777" w:rsidR="002800B4" w:rsidRPr="00305958" w:rsidRDefault="002800B4" w:rsidP="00AF58DF">
                  <w:pPr>
                    <w:jc w:val="left"/>
                    <w:rPr>
                      <w:rFonts w:eastAsia="Times New Roman" w:cs="Calibri"/>
                      <w:color w:val="000000"/>
                      <w:sz w:val="16"/>
                      <w:szCs w:val="16"/>
                      <w:lang w:eastAsia="it-IT"/>
                    </w:rPr>
                  </w:pPr>
                  <w:r>
                    <w:rPr>
                      <w:rFonts w:eastAsia="Times New Roman" w:cs="Calibri"/>
                      <w:color w:val="000000"/>
                      <w:sz w:val="16"/>
                      <w:szCs w:val="16"/>
                      <w:lang w:eastAsia="it-IT"/>
                    </w:rPr>
                    <w:t>Monza</w:t>
                  </w:r>
                </w:p>
              </w:tc>
              <w:tc>
                <w:tcPr>
                  <w:tcW w:w="1417" w:type="dxa"/>
                  <w:tcBorders>
                    <w:top w:val="nil"/>
                    <w:left w:val="nil"/>
                    <w:bottom w:val="nil"/>
                    <w:right w:val="nil"/>
                  </w:tcBorders>
                  <w:shd w:val="clear" w:color="auto" w:fill="auto"/>
                  <w:vAlign w:val="bottom"/>
                  <w:hideMark/>
                </w:tcPr>
                <w:p w14:paraId="6A6461AB"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35</w:t>
                  </w:r>
                </w:p>
              </w:tc>
              <w:tc>
                <w:tcPr>
                  <w:tcW w:w="1559" w:type="dxa"/>
                  <w:tcBorders>
                    <w:top w:val="nil"/>
                    <w:left w:val="nil"/>
                    <w:bottom w:val="nil"/>
                    <w:right w:val="nil"/>
                  </w:tcBorders>
                  <w:shd w:val="clear" w:color="auto" w:fill="auto"/>
                  <w:noWrap/>
                  <w:vAlign w:val="bottom"/>
                  <w:hideMark/>
                </w:tcPr>
                <w:p w14:paraId="2803C08D"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1,09%</w:t>
                  </w:r>
                </w:p>
              </w:tc>
            </w:tr>
            <w:tr w:rsidR="002800B4" w:rsidRPr="00305958" w14:paraId="277E72C6" w14:textId="77777777" w:rsidTr="00BF6D01">
              <w:trPr>
                <w:trHeight w:val="242"/>
              </w:trPr>
              <w:tc>
                <w:tcPr>
                  <w:tcW w:w="1555" w:type="dxa"/>
                  <w:tcBorders>
                    <w:top w:val="nil"/>
                    <w:left w:val="nil"/>
                    <w:bottom w:val="nil"/>
                    <w:right w:val="nil"/>
                  </w:tcBorders>
                  <w:shd w:val="clear" w:color="auto" w:fill="auto"/>
                  <w:vAlign w:val="bottom"/>
                  <w:hideMark/>
                </w:tcPr>
                <w:p w14:paraId="7191C406" w14:textId="77777777" w:rsidR="002800B4" w:rsidRPr="00305958" w:rsidRDefault="002800B4" w:rsidP="00AF58DF">
                  <w:pPr>
                    <w:jc w:val="left"/>
                    <w:rPr>
                      <w:rFonts w:eastAsia="Times New Roman" w:cs="Calibri"/>
                      <w:color w:val="000000"/>
                      <w:sz w:val="16"/>
                      <w:szCs w:val="16"/>
                      <w:lang w:eastAsia="it-IT"/>
                    </w:rPr>
                  </w:pPr>
                  <w:r w:rsidRPr="00305958">
                    <w:rPr>
                      <w:rFonts w:eastAsia="Times New Roman" w:cs="Calibri"/>
                      <w:color w:val="000000"/>
                      <w:sz w:val="16"/>
                      <w:szCs w:val="16"/>
                      <w:lang w:eastAsia="it-IT"/>
                    </w:rPr>
                    <w:t>Pavia</w:t>
                  </w:r>
                </w:p>
              </w:tc>
              <w:tc>
                <w:tcPr>
                  <w:tcW w:w="1417" w:type="dxa"/>
                  <w:tcBorders>
                    <w:top w:val="nil"/>
                    <w:left w:val="nil"/>
                    <w:bottom w:val="nil"/>
                    <w:right w:val="nil"/>
                  </w:tcBorders>
                  <w:shd w:val="clear" w:color="auto" w:fill="auto"/>
                  <w:vAlign w:val="bottom"/>
                  <w:hideMark/>
                </w:tcPr>
                <w:p w14:paraId="001A185D"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59</w:t>
                  </w:r>
                </w:p>
              </w:tc>
              <w:tc>
                <w:tcPr>
                  <w:tcW w:w="1559" w:type="dxa"/>
                  <w:tcBorders>
                    <w:top w:val="nil"/>
                    <w:left w:val="nil"/>
                    <w:bottom w:val="nil"/>
                    <w:right w:val="nil"/>
                  </w:tcBorders>
                  <w:shd w:val="clear" w:color="auto" w:fill="auto"/>
                  <w:noWrap/>
                  <w:vAlign w:val="bottom"/>
                  <w:hideMark/>
                </w:tcPr>
                <w:p w14:paraId="042556C5"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1,84%</w:t>
                  </w:r>
                </w:p>
              </w:tc>
            </w:tr>
            <w:tr w:rsidR="002800B4" w:rsidRPr="00305958" w14:paraId="6F43D8DA" w14:textId="77777777" w:rsidTr="00BF6D01">
              <w:trPr>
                <w:trHeight w:val="242"/>
              </w:trPr>
              <w:tc>
                <w:tcPr>
                  <w:tcW w:w="1555" w:type="dxa"/>
                  <w:tcBorders>
                    <w:top w:val="nil"/>
                    <w:left w:val="nil"/>
                    <w:bottom w:val="nil"/>
                    <w:right w:val="nil"/>
                  </w:tcBorders>
                  <w:shd w:val="clear" w:color="auto" w:fill="auto"/>
                  <w:vAlign w:val="bottom"/>
                  <w:hideMark/>
                </w:tcPr>
                <w:p w14:paraId="3905E86A" w14:textId="77777777" w:rsidR="002800B4" w:rsidRPr="00305958" w:rsidRDefault="002800B4" w:rsidP="00AF58DF">
                  <w:pPr>
                    <w:jc w:val="left"/>
                    <w:rPr>
                      <w:rFonts w:eastAsia="Times New Roman" w:cs="Calibri"/>
                      <w:color w:val="000000"/>
                      <w:sz w:val="16"/>
                      <w:szCs w:val="16"/>
                      <w:lang w:eastAsia="it-IT"/>
                    </w:rPr>
                  </w:pPr>
                  <w:r w:rsidRPr="00305958">
                    <w:rPr>
                      <w:rFonts w:eastAsia="Times New Roman" w:cs="Calibri"/>
                      <w:color w:val="000000"/>
                      <w:sz w:val="16"/>
                      <w:szCs w:val="16"/>
                      <w:lang w:eastAsia="it-IT"/>
                    </w:rPr>
                    <w:t>Sondrio</w:t>
                  </w:r>
                </w:p>
              </w:tc>
              <w:tc>
                <w:tcPr>
                  <w:tcW w:w="1417" w:type="dxa"/>
                  <w:tcBorders>
                    <w:top w:val="nil"/>
                    <w:left w:val="nil"/>
                    <w:bottom w:val="nil"/>
                    <w:right w:val="nil"/>
                  </w:tcBorders>
                  <w:shd w:val="clear" w:color="auto" w:fill="auto"/>
                  <w:vAlign w:val="bottom"/>
                  <w:hideMark/>
                </w:tcPr>
                <w:p w14:paraId="32B1ECEF"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10</w:t>
                  </w:r>
                </w:p>
              </w:tc>
              <w:tc>
                <w:tcPr>
                  <w:tcW w:w="1559" w:type="dxa"/>
                  <w:tcBorders>
                    <w:top w:val="nil"/>
                    <w:left w:val="nil"/>
                    <w:bottom w:val="nil"/>
                    <w:right w:val="nil"/>
                  </w:tcBorders>
                  <w:shd w:val="clear" w:color="auto" w:fill="auto"/>
                  <w:noWrap/>
                  <w:vAlign w:val="bottom"/>
                  <w:hideMark/>
                </w:tcPr>
                <w:p w14:paraId="6EDB5474"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0,31%</w:t>
                  </w:r>
                </w:p>
              </w:tc>
            </w:tr>
            <w:tr w:rsidR="002800B4" w:rsidRPr="00305958" w14:paraId="47EC1037" w14:textId="77777777" w:rsidTr="00BF6D01">
              <w:trPr>
                <w:trHeight w:val="242"/>
              </w:trPr>
              <w:tc>
                <w:tcPr>
                  <w:tcW w:w="1555" w:type="dxa"/>
                  <w:tcBorders>
                    <w:top w:val="nil"/>
                    <w:left w:val="nil"/>
                    <w:bottom w:val="nil"/>
                    <w:right w:val="nil"/>
                  </w:tcBorders>
                  <w:shd w:val="clear" w:color="auto" w:fill="auto"/>
                  <w:vAlign w:val="bottom"/>
                  <w:hideMark/>
                </w:tcPr>
                <w:p w14:paraId="18E326FF" w14:textId="77777777" w:rsidR="002800B4" w:rsidRPr="00305958" w:rsidRDefault="002800B4" w:rsidP="00AF58DF">
                  <w:pPr>
                    <w:jc w:val="left"/>
                    <w:rPr>
                      <w:rFonts w:eastAsia="Times New Roman" w:cs="Calibri"/>
                      <w:color w:val="000000"/>
                      <w:sz w:val="16"/>
                      <w:szCs w:val="16"/>
                      <w:lang w:eastAsia="it-IT"/>
                    </w:rPr>
                  </w:pPr>
                  <w:r w:rsidRPr="00305958">
                    <w:rPr>
                      <w:rFonts w:eastAsia="Times New Roman" w:cs="Calibri"/>
                      <w:color w:val="000000"/>
                      <w:sz w:val="16"/>
                      <w:szCs w:val="16"/>
                      <w:lang w:eastAsia="it-IT"/>
                    </w:rPr>
                    <w:t>Varese</w:t>
                  </w:r>
                </w:p>
              </w:tc>
              <w:tc>
                <w:tcPr>
                  <w:tcW w:w="1417" w:type="dxa"/>
                  <w:tcBorders>
                    <w:top w:val="nil"/>
                    <w:left w:val="nil"/>
                    <w:bottom w:val="nil"/>
                    <w:right w:val="nil"/>
                  </w:tcBorders>
                  <w:shd w:val="clear" w:color="auto" w:fill="auto"/>
                  <w:vAlign w:val="bottom"/>
                  <w:hideMark/>
                </w:tcPr>
                <w:p w14:paraId="5D5BCB98"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84</w:t>
                  </w:r>
                </w:p>
              </w:tc>
              <w:tc>
                <w:tcPr>
                  <w:tcW w:w="1559" w:type="dxa"/>
                  <w:tcBorders>
                    <w:top w:val="nil"/>
                    <w:left w:val="nil"/>
                    <w:bottom w:val="nil"/>
                    <w:right w:val="nil"/>
                  </w:tcBorders>
                  <w:shd w:val="clear" w:color="auto" w:fill="auto"/>
                  <w:noWrap/>
                  <w:vAlign w:val="bottom"/>
                  <w:hideMark/>
                </w:tcPr>
                <w:p w14:paraId="259E6096"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2,62%</w:t>
                  </w:r>
                </w:p>
              </w:tc>
            </w:tr>
            <w:tr w:rsidR="002800B4" w:rsidRPr="00305958" w14:paraId="1383BB3D" w14:textId="77777777" w:rsidTr="00BF6D01">
              <w:trPr>
                <w:trHeight w:val="315"/>
              </w:trPr>
              <w:tc>
                <w:tcPr>
                  <w:tcW w:w="1555" w:type="dxa"/>
                  <w:tcBorders>
                    <w:top w:val="nil"/>
                    <w:left w:val="nil"/>
                    <w:bottom w:val="nil"/>
                    <w:right w:val="nil"/>
                  </w:tcBorders>
                  <w:shd w:val="clear" w:color="auto" w:fill="auto"/>
                  <w:vAlign w:val="bottom"/>
                  <w:hideMark/>
                </w:tcPr>
                <w:p w14:paraId="4636F0E3" w14:textId="77777777" w:rsidR="002800B4" w:rsidRPr="00305958" w:rsidRDefault="002800B4" w:rsidP="00AF58DF">
                  <w:pPr>
                    <w:jc w:val="left"/>
                    <w:rPr>
                      <w:rFonts w:eastAsia="Times New Roman" w:cs="Calibri"/>
                      <w:color w:val="000000"/>
                      <w:sz w:val="16"/>
                      <w:szCs w:val="16"/>
                      <w:lang w:eastAsia="it-IT"/>
                    </w:rPr>
                  </w:pPr>
                  <w:r w:rsidRPr="00305958">
                    <w:rPr>
                      <w:rFonts w:eastAsia="Times New Roman" w:cs="Calibri"/>
                      <w:color w:val="000000"/>
                      <w:sz w:val="16"/>
                      <w:szCs w:val="16"/>
                      <w:lang w:eastAsia="it-IT"/>
                    </w:rPr>
                    <w:t>Dato non disponibile</w:t>
                  </w:r>
                </w:p>
              </w:tc>
              <w:tc>
                <w:tcPr>
                  <w:tcW w:w="1417" w:type="dxa"/>
                  <w:tcBorders>
                    <w:top w:val="nil"/>
                    <w:left w:val="nil"/>
                    <w:bottom w:val="nil"/>
                    <w:right w:val="nil"/>
                  </w:tcBorders>
                  <w:shd w:val="clear" w:color="auto" w:fill="auto"/>
                  <w:vAlign w:val="bottom"/>
                  <w:hideMark/>
                </w:tcPr>
                <w:p w14:paraId="44C40550"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4</w:t>
                  </w:r>
                </w:p>
              </w:tc>
              <w:tc>
                <w:tcPr>
                  <w:tcW w:w="1559" w:type="dxa"/>
                  <w:tcBorders>
                    <w:top w:val="nil"/>
                    <w:left w:val="nil"/>
                    <w:bottom w:val="nil"/>
                    <w:right w:val="nil"/>
                  </w:tcBorders>
                  <w:shd w:val="clear" w:color="auto" w:fill="auto"/>
                  <w:noWrap/>
                  <w:vAlign w:val="bottom"/>
                  <w:hideMark/>
                </w:tcPr>
                <w:p w14:paraId="2F0CA787" w14:textId="77777777" w:rsidR="002800B4" w:rsidRPr="00305958" w:rsidRDefault="002800B4" w:rsidP="00AF58DF">
                  <w:pPr>
                    <w:jc w:val="right"/>
                    <w:rPr>
                      <w:rFonts w:eastAsia="Times New Roman" w:cs="Calibri"/>
                      <w:color w:val="000000"/>
                      <w:sz w:val="16"/>
                      <w:szCs w:val="16"/>
                      <w:lang w:eastAsia="it-IT"/>
                    </w:rPr>
                  </w:pPr>
                  <w:r w:rsidRPr="00305958">
                    <w:rPr>
                      <w:rFonts w:eastAsia="Times New Roman" w:cs="Calibri"/>
                      <w:color w:val="000000"/>
                      <w:sz w:val="16"/>
                      <w:szCs w:val="16"/>
                      <w:lang w:eastAsia="it-IT"/>
                    </w:rPr>
                    <w:t>0,12%</w:t>
                  </w:r>
                </w:p>
              </w:tc>
            </w:tr>
            <w:tr w:rsidR="002800B4" w:rsidRPr="00305958" w14:paraId="1363BB55" w14:textId="77777777" w:rsidTr="0096090A">
              <w:trPr>
                <w:trHeight w:val="287"/>
              </w:trPr>
              <w:tc>
                <w:tcPr>
                  <w:tcW w:w="1555" w:type="dxa"/>
                  <w:tcBorders>
                    <w:top w:val="nil"/>
                    <w:left w:val="nil"/>
                    <w:bottom w:val="single" w:sz="4" w:space="0" w:color="auto"/>
                    <w:right w:val="nil"/>
                  </w:tcBorders>
                  <w:shd w:val="clear" w:color="auto" w:fill="DDEBF7"/>
                  <w:vAlign w:val="bottom"/>
                  <w:hideMark/>
                </w:tcPr>
                <w:p w14:paraId="3FB2DACB" w14:textId="77777777" w:rsidR="002800B4" w:rsidRPr="00305958" w:rsidRDefault="002800B4" w:rsidP="00AF58DF">
                  <w:pPr>
                    <w:jc w:val="left"/>
                    <w:rPr>
                      <w:rFonts w:eastAsia="Times New Roman" w:cs="Calibri"/>
                      <w:b/>
                      <w:bCs/>
                      <w:color w:val="000000"/>
                      <w:sz w:val="16"/>
                      <w:szCs w:val="16"/>
                      <w:lang w:eastAsia="it-IT"/>
                    </w:rPr>
                  </w:pPr>
                  <w:r w:rsidRPr="00305958">
                    <w:rPr>
                      <w:rFonts w:eastAsia="Times New Roman" w:cs="Calibri"/>
                      <w:b/>
                      <w:bCs/>
                      <w:color w:val="000000"/>
                      <w:sz w:val="16"/>
                      <w:szCs w:val="16"/>
                      <w:lang w:eastAsia="it-IT"/>
                    </w:rPr>
                    <w:t>Totale</w:t>
                  </w:r>
                </w:p>
              </w:tc>
              <w:tc>
                <w:tcPr>
                  <w:tcW w:w="1417" w:type="dxa"/>
                  <w:tcBorders>
                    <w:top w:val="nil"/>
                    <w:left w:val="nil"/>
                    <w:bottom w:val="single" w:sz="4" w:space="0" w:color="auto"/>
                    <w:right w:val="nil"/>
                  </w:tcBorders>
                  <w:shd w:val="clear" w:color="000000" w:fill="DDEBF7"/>
                  <w:vAlign w:val="bottom"/>
                  <w:hideMark/>
                </w:tcPr>
                <w:p w14:paraId="4B806A19" w14:textId="77777777" w:rsidR="002800B4" w:rsidRPr="001162E3" w:rsidRDefault="002800B4" w:rsidP="00AF58DF">
                  <w:pPr>
                    <w:jc w:val="right"/>
                    <w:rPr>
                      <w:rFonts w:eastAsia="Times New Roman" w:cs="Calibri"/>
                      <w:b/>
                      <w:color w:val="000000"/>
                      <w:sz w:val="16"/>
                      <w:szCs w:val="16"/>
                      <w:lang w:eastAsia="it-IT"/>
                    </w:rPr>
                  </w:pPr>
                  <w:r w:rsidRPr="001162E3">
                    <w:rPr>
                      <w:rFonts w:eastAsia="Times New Roman" w:cs="Calibri"/>
                      <w:b/>
                      <w:color w:val="000000"/>
                      <w:sz w:val="16"/>
                      <w:szCs w:val="16"/>
                      <w:lang w:eastAsia="it-IT"/>
                    </w:rPr>
                    <w:t>3,207</w:t>
                  </w:r>
                </w:p>
              </w:tc>
              <w:tc>
                <w:tcPr>
                  <w:tcW w:w="1559" w:type="dxa"/>
                  <w:tcBorders>
                    <w:top w:val="nil"/>
                    <w:left w:val="nil"/>
                    <w:bottom w:val="single" w:sz="4" w:space="0" w:color="auto"/>
                    <w:right w:val="nil"/>
                  </w:tcBorders>
                  <w:shd w:val="clear" w:color="000000" w:fill="DDEBF7"/>
                  <w:noWrap/>
                  <w:vAlign w:val="bottom"/>
                  <w:hideMark/>
                </w:tcPr>
                <w:p w14:paraId="18731E72" w14:textId="77777777" w:rsidR="002800B4" w:rsidRPr="001162E3" w:rsidRDefault="002800B4" w:rsidP="00AF58DF">
                  <w:pPr>
                    <w:jc w:val="right"/>
                    <w:rPr>
                      <w:rFonts w:eastAsia="Times New Roman" w:cs="Calibri"/>
                      <w:b/>
                      <w:color w:val="000000"/>
                      <w:sz w:val="16"/>
                      <w:szCs w:val="16"/>
                      <w:lang w:eastAsia="it-IT"/>
                    </w:rPr>
                  </w:pPr>
                  <w:r w:rsidRPr="001162E3">
                    <w:rPr>
                      <w:rFonts w:eastAsia="Times New Roman" w:cs="Calibri"/>
                      <w:b/>
                      <w:color w:val="000000"/>
                      <w:sz w:val="16"/>
                      <w:szCs w:val="16"/>
                      <w:lang w:eastAsia="it-IT"/>
                    </w:rPr>
                    <w:t>100,00%</w:t>
                  </w:r>
                </w:p>
              </w:tc>
            </w:tr>
          </w:tbl>
          <w:p w14:paraId="74165D07" w14:textId="77777777" w:rsidR="002800B4" w:rsidRDefault="002800B4" w:rsidP="00AF58DF"/>
        </w:tc>
      </w:tr>
      <w:tr w:rsidR="009F6E04" w14:paraId="28A21A72" w14:textId="77777777" w:rsidTr="00AF58DF">
        <w:tc>
          <w:tcPr>
            <w:tcW w:w="9638" w:type="dxa"/>
            <w:gridSpan w:val="2"/>
          </w:tcPr>
          <w:p w14:paraId="1129C7CA" w14:textId="77777777" w:rsidR="009F6E04" w:rsidRDefault="009F6E04" w:rsidP="00AF58DF">
            <w:pPr>
              <w:rPr>
                <w:sz w:val="18"/>
                <w:szCs w:val="18"/>
              </w:rPr>
            </w:pPr>
            <w:r w:rsidRPr="00896993">
              <w:rPr>
                <w:sz w:val="18"/>
                <w:szCs w:val="18"/>
              </w:rPr>
              <w:t>Fonte: Elaborazione Ismeri su dati CCIAA</w:t>
            </w:r>
          </w:p>
          <w:p w14:paraId="0AE259F7" w14:textId="77777777" w:rsidR="009F6E04" w:rsidRDefault="009F6E04" w:rsidP="00AF58DF">
            <w:r>
              <w:rPr>
                <w:sz w:val="18"/>
                <w:szCs w:val="18"/>
              </w:rPr>
              <w:t>Nota: Vengono riportate solamente le prime 12 provincie per numero di startup innovative attive iscritte al registro a febbraio 2021</w:t>
            </w:r>
          </w:p>
        </w:tc>
      </w:tr>
    </w:tbl>
    <w:p w14:paraId="6DDD465A" w14:textId="77777777" w:rsidR="002800B4" w:rsidRDefault="002800B4" w:rsidP="002800B4"/>
    <w:p w14:paraId="5CE0DAB6" w14:textId="77777777" w:rsidR="002800B4" w:rsidRDefault="002800B4" w:rsidP="002800B4">
      <w:r>
        <w:t xml:space="preserve">A partire dal 2012, si sono iscritte al registro delle startup innovative un totale di 5,130 imprese Lombarde di cui, a febbraio 2021, 3,207 (62,51%) risultano attive e ancora iscritte nel registro, 1,105 risultano fuoriuscite dal registro ma ancora in attività (21,54%) mentre le restanti 818 (15,95%) imprese fuoriuscite dal registro risultano essere inattive, aver cessato la propria attività o </w:t>
      </w:r>
      <w:r w:rsidRPr="00514C62">
        <w:t>con procedure</w:t>
      </w:r>
      <w:r>
        <w:t xml:space="preserve"> di fallimento o liquidazione in corso. Il 18,55% delle imprese fuoriuscite dal registro delle startup innovative ha ottenuto lo status di “PMI innovativa”, transitando dalla sezione speciale del Registro camerale dedicata alle startup innovative a quella dedicata alle PMI innovative, che per certi versi rappresenta l’evoluzione naturale delle imprese che dopo la fase di avvio conservano un chiaro profilo innovativo. </w:t>
      </w:r>
    </w:p>
    <w:p w14:paraId="3933673D" w14:textId="77777777" w:rsidR="009F6E04" w:rsidRDefault="009F6E04" w:rsidP="002800B4"/>
    <w:p w14:paraId="040C50F4" w14:textId="77777777" w:rsidR="0096090A" w:rsidRDefault="0096090A">
      <w:pPr>
        <w:spacing w:after="320" w:line="300" w:lineRule="auto"/>
        <w:jc w:val="left"/>
        <w:rPr>
          <w:b/>
          <w:i/>
          <w:iCs/>
          <w:sz w:val="18"/>
          <w:szCs w:val="18"/>
        </w:rPr>
      </w:pPr>
      <w:r>
        <w:br w:type="page"/>
      </w:r>
    </w:p>
    <w:p w14:paraId="678A402F" w14:textId="77777777" w:rsidR="009F6E04" w:rsidRDefault="009F6E04" w:rsidP="009F6E04">
      <w:pPr>
        <w:pStyle w:val="Didascalia"/>
      </w:pPr>
      <w:bookmarkStart w:id="112" w:name="_Toc91081495"/>
      <w:r>
        <w:t xml:space="preserve">Figura </w:t>
      </w:r>
      <w:r w:rsidR="004E6566">
        <w:fldChar w:fldCharType="begin"/>
      </w:r>
      <w:r>
        <w:instrText xml:space="preserve"> SEQ Figura \* ARABIC </w:instrText>
      </w:r>
      <w:r w:rsidR="004E6566">
        <w:fldChar w:fldCharType="separate"/>
      </w:r>
      <w:r w:rsidR="00E53D6C">
        <w:rPr>
          <w:noProof/>
        </w:rPr>
        <w:t>26</w:t>
      </w:r>
      <w:r w:rsidR="004E6566">
        <w:fldChar w:fldCharType="end"/>
      </w:r>
      <w:r>
        <w:t>. Distribuzione delle startup lombarde per stato di attività</w:t>
      </w:r>
      <w:bookmarkEnd w:id="112"/>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3"/>
      </w:tblGrid>
      <w:tr w:rsidR="002800B4" w14:paraId="3D06FA40" w14:textId="77777777" w:rsidTr="00AF58DF">
        <w:tc>
          <w:tcPr>
            <w:tcW w:w="4815" w:type="dxa"/>
          </w:tcPr>
          <w:p w14:paraId="3DCD36F9" w14:textId="77777777" w:rsidR="002800B4" w:rsidRPr="0096090A" w:rsidRDefault="002800B4" w:rsidP="00A17A3E">
            <w:pPr>
              <w:rPr>
                <w:sz w:val="18"/>
                <w:szCs w:val="18"/>
              </w:rPr>
            </w:pPr>
            <w:r w:rsidRPr="0096090A">
              <w:rPr>
                <w:sz w:val="18"/>
                <w:szCs w:val="18"/>
              </w:rPr>
              <w:t>startup lombarde iscritte nel registro a partire dal 2012, febbraio 2021</w:t>
            </w:r>
          </w:p>
        </w:tc>
        <w:tc>
          <w:tcPr>
            <w:tcW w:w="4813" w:type="dxa"/>
          </w:tcPr>
          <w:p w14:paraId="04C2B784" w14:textId="77777777" w:rsidR="002800B4" w:rsidRPr="0096090A" w:rsidRDefault="002800B4" w:rsidP="00A17A3E">
            <w:pPr>
              <w:rPr>
                <w:sz w:val="18"/>
                <w:szCs w:val="18"/>
              </w:rPr>
            </w:pPr>
            <w:r w:rsidRPr="0096090A">
              <w:rPr>
                <w:sz w:val="18"/>
                <w:szCs w:val="18"/>
              </w:rPr>
              <w:t>startup fuoriuscite dal registro che hanno ottenuto lo status di “PMI innovativa”, febbraio 2021</w:t>
            </w:r>
          </w:p>
        </w:tc>
      </w:tr>
      <w:tr w:rsidR="002800B4" w14:paraId="66F4A852" w14:textId="77777777" w:rsidTr="00AF58DF">
        <w:trPr>
          <w:trHeight w:val="3263"/>
        </w:trPr>
        <w:tc>
          <w:tcPr>
            <w:tcW w:w="4815" w:type="dxa"/>
            <w:vAlign w:val="center"/>
          </w:tcPr>
          <w:p w14:paraId="4FBB4509" w14:textId="77777777" w:rsidR="002800B4" w:rsidRDefault="002800B4" w:rsidP="00AF58DF">
            <w:pPr>
              <w:jc w:val="left"/>
            </w:pPr>
          </w:p>
          <w:p w14:paraId="5E5457AA" w14:textId="3402F0D3" w:rsidR="002800B4" w:rsidRDefault="0024021E" w:rsidP="00AF58DF">
            <w:pPr>
              <w:jc w:val="left"/>
            </w:pPr>
            <w:r>
              <w:rPr>
                <w:noProof/>
                <w:lang w:eastAsia="it-IT"/>
              </w:rPr>
              <mc:AlternateContent>
                <mc:Choice Requires="wps">
                  <w:drawing>
                    <wp:anchor distT="0" distB="0" distL="114300" distR="114300" simplePos="0" relativeHeight="251659264" behindDoc="0" locked="0" layoutInCell="1" allowOverlap="1" wp14:anchorId="0E4F656F" wp14:editId="6584D597">
                      <wp:simplePos x="0" y="0"/>
                      <wp:positionH relativeFrom="column">
                        <wp:posOffset>2043430</wp:posOffset>
                      </wp:positionH>
                      <wp:positionV relativeFrom="paragraph">
                        <wp:posOffset>785495</wp:posOffset>
                      </wp:positionV>
                      <wp:extent cx="1771650" cy="190500"/>
                      <wp:effectExtent l="0" t="76200" r="0" b="0"/>
                      <wp:wrapNone/>
                      <wp:docPr id="19" name="Connettore 4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71650" cy="190500"/>
                              </a:xfrm>
                              <a:prstGeom prst="bentConnector3">
                                <a:avLst/>
                              </a:prstGeom>
                              <a:ln>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6092B2" id="_x0000_t34" coordsize="21600,21600" o:spt="34" o:oned="t" adj="10800" path="m,l@0,0@0,21600,21600,21600e" filled="f">
                      <v:stroke joinstyle="miter"/>
                      <v:formulas>
                        <v:f eqn="val #0"/>
                      </v:formulas>
                      <v:path arrowok="t" fillok="f" o:connecttype="none"/>
                      <v:handles>
                        <v:h position="#0,center"/>
                      </v:handles>
                      <o:lock v:ext="edit" shapetype="t"/>
                    </v:shapetype>
                    <v:shape id="Connettore 4 19" o:spid="_x0000_s1026" type="#_x0000_t34" style="position:absolute;margin-left:160.9pt;margin-top:61.85pt;width:139.5pt;height: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" strokecolor="#002060" strokeweight=".5pt">
                      <v:stroke endarrow="block"/>
                      <o:lock v:ext="edit" shapetype="f"/>
                    </v:shape>
                  </w:pict>
                </mc:Fallback>
              </mc:AlternateContent>
            </w:r>
            <w:r w:rsidR="002800B4">
              <w:rPr>
                <w:noProof/>
                <w:lang w:eastAsia="it-IT"/>
              </w:rPr>
              <w:drawing>
                <wp:inline distT="0" distB="0" distL="0" distR="0" wp14:anchorId="16F313C4" wp14:editId="064A01C6">
                  <wp:extent cx="2647950" cy="1990725"/>
                  <wp:effectExtent l="0" t="0" r="0" b="952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0">
                            <a:extLst>
                              <a:ext uri="{28A0092B-C50C-407E-A947-70E740481C1C}">
                                <a14:useLocalDpi xmlns:a14="http://schemas.microsoft.com/office/drawing/2010/main" val="0"/>
                              </a:ext>
                            </a:extLst>
                          </a:blip>
                          <a:srcRect l="10297" t="5656" r="7919" b="3423"/>
                          <a:stretch/>
                        </pic:blipFill>
                        <pic:spPr bwMode="auto">
                          <a:xfrm>
                            <a:off x="0" y="0"/>
                            <a:ext cx="2663225" cy="20022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3" w:type="dxa"/>
            <w:vAlign w:val="center"/>
          </w:tcPr>
          <w:p w14:paraId="64B3F616" w14:textId="77777777" w:rsidR="002800B4" w:rsidRDefault="002800B4" w:rsidP="00AF58DF">
            <w:pPr>
              <w:jc w:val="center"/>
            </w:pPr>
            <w:r>
              <w:rPr>
                <w:noProof/>
                <w:lang w:eastAsia="it-IT"/>
              </w:rPr>
              <w:drawing>
                <wp:inline distT="0" distB="0" distL="0" distR="0" wp14:anchorId="6032CBEA" wp14:editId="17C5B8AF">
                  <wp:extent cx="2724150" cy="1888899"/>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1">
                            <a:extLst>
                              <a:ext uri="{28A0092B-C50C-407E-A947-70E740481C1C}">
                                <a14:useLocalDpi xmlns:a14="http://schemas.microsoft.com/office/drawing/2010/main" val="0"/>
                              </a:ext>
                            </a:extLst>
                          </a:blip>
                          <a:srcRect l="14089" r="8180"/>
                          <a:stretch/>
                        </pic:blipFill>
                        <pic:spPr bwMode="auto">
                          <a:xfrm>
                            <a:off x="0" y="0"/>
                            <a:ext cx="2748290" cy="19056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800B4" w14:paraId="4AADC982" w14:textId="77777777" w:rsidTr="00AF58DF">
        <w:tc>
          <w:tcPr>
            <w:tcW w:w="4815" w:type="dxa"/>
          </w:tcPr>
          <w:p w14:paraId="52EA3511" w14:textId="77777777" w:rsidR="002800B4" w:rsidRDefault="002800B4" w:rsidP="00AF58DF">
            <w:r w:rsidRPr="00896993">
              <w:rPr>
                <w:sz w:val="18"/>
                <w:szCs w:val="18"/>
              </w:rPr>
              <w:t>Fonte: Elaborazione Ismeri su dati CCIAA</w:t>
            </w:r>
          </w:p>
        </w:tc>
        <w:tc>
          <w:tcPr>
            <w:tcW w:w="4813" w:type="dxa"/>
          </w:tcPr>
          <w:p w14:paraId="7E02C0DD" w14:textId="77777777" w:rsidR="002800B4" w:rsidRDefault="002800B4" w:rsidP="00AF58DF"/>
        </w:tc>
      </w:tr>
    </w:tbl>
    <w:p w14:paraId="0818575F" w14:textId="77777777" w:rsidR="002800B4" w:rsidRDefault="002800B4" w:rsidP="002800B4"/>
    <w:p w14:paraId="28DC9481" w14:textId="77777777" w:rsidR="002800B4" w:rsidRDefault="002800B4" w:rsidP="002800B4">
      <w:r>
        <w:t xml:space="preserve">La figura successiva riporta il tasso di mortalità delle imprese a cinque anni dalla propria costituzione. Come proxy si è considerata la quota di imprese nate nel 2015 che risultano cessate entro febbraio 2021 o con procedure di liquidazione/fallimento in corso. La Lombardia presenta un tasso di mortalità pari circa al 30%, un valore superiore alla media nazionale ma che risulta comunque inferiore a quello delle altre regioni del Nord Italia. Questo tasso di mortalità appare in linea con lo studio di </w:t>
      </w:r>
      <w:proofErr w:type="spellStart"/>
      <w:r>
        <w:t>Stryber</w:t>
      </w:r>
      <w:proofErr w:type="spellEnd"/>
      <w:r>
        <w:t xml:space="preserve"> (2020) su un campione di 800 imprese europee che evidenzia come, per un simile orizzonte temporale, il 29% delle startup sia completamente cessata.</w:t>
      </w:r>
      <w:r>
        <w:rPr>
          <w:rStyle w:val="Rimandonotaapidipagina"/>
        </w:rPr>
        <w:footnoteReference w:id="14"/>
      </w:r>
    </w:p>
    <w:p w14:paraId="3139ED29" w14:textId="77777777" w:rsidR="002800B4" w:rsidRDefault="002800B4" w:rsidP="002800B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558"/>
      </w:tblGrid>
      <w:tr w:rsidR="002800B4" w14:paraId="7C74644A" w14:textId="77777777" w:rsidTr="00584813">
        <w:trPr>
          <w:trHeight w:val="474"/>
        </w:trPr>
        <w:tc>
          <w:tcPr>
            <w:tcW w:w="9558" w:type="dxa"/>
          </w:tcPr>
          <w:p w14:paraId="164BFEA3" w14:textId="77777777" w:rsidR="002800B4" w:rsidRDefault="002800B4" w:rsidP="00AF58DF">
            <w:pPr>
              <w:pStyle w:val="Didascalia"/>
            </w:pPr>
            <w:bookmarkStart w:id="113" w:name="_Toc91081496"/>
            <w:r>
              <w:t xml:space="preserve">Figura </w:t>
            </w:r>
            <w:r w:rsidR="004E6566">
              <w:fldChar w:fldCharType="begin"/>
            </w:r>
            <w:r>
              <w:instrText xml:space="preserve"> SEQ Figura \* ARABIC </w:instrText>
            </w:r>
            <w:r w:rsidR="004E6566">
              <w:fldChar w:fldCharType="separate"/>
            </w:r>
            <w:r w:rsidR="00E53D6C">
              <w:rPr>
                <w:noProof/>
              </w:rPr>
              <w:t>27</w:t>
            </w:r>
            <w:r w:rsidR="004E6566">
              <w:fldChar w:fldCharType="end"/>
            </w:r>
            <w:r>
              <w:t>. Tasso di mortalità delle startup innovative per regione</w:t>
            </w:r>
            <w:bookmarkEnd w:id="113"/>
          </w:p>
        </w:tc>
      </w:tr>
      <w:tr w:rsidR="002800B4" w14:paraId="474B9E7F" w14:textId="77777777" w:rsidTr="00AF58DF">
        <w:trPr>
          <w:trHeight w:val="3404"/>
        </w:trPr>
        <w:tc>
          <w:tcPr>
            <w:tcW w:w="9558" w:type="dxa"/>
          </w:tcPr>
          <w:p w14:paraId="18386A1D" w14:textId="77777777" w:rsidR="002800B4" w:rsidRDefault="002800B4" w:rsidP="00AF58DF">
            <w:pPr>
              <w:jc w:val="center"/>
            </w:pPr>
            <w:r>
              <w:rPr>
                <w:noProof/>
                <w:lang w:eastAsia="it-IT"/>
              </w:rPr>
              <w:drawing>
                <wp:inline distT="0" distB="0" distL="0" distR="0" wp14:anchorId="174AE1E6" wp14:editId="2EC9039B">
                  <wp:extent cx="4895850" cy="2701472"/>
                  <wp:effectExtent l="0" t="0" r="0" b="381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05778" cy="2706950"/>
                          </a:xfrm>
                          <a:prstGeom prst="rect">
                            <a:avLst/>
                          </a:prstGeom>
                          <a:noFill/>
                        </pic:spPr>
                      </pic:pic>
                    </a:graphicData>
                  </a:graphic>
                </wp:inline>
              </w:drawing>
            </w:r>
          </w:p>
        </w:tc>
      </w:tr>
      <w:tr w:rsidR="002800B4" w14:paraId="5FBF442C" w14:textId="77777777" w:rsidTr="00AF58DF">
        <w:trPr>
          <w:trHeight w:val="83"/>
        </w:trPr>
        <w:tc>
          <w:tcPr>
            <w:tcW w:w="9558" w:type="dxa"/>
          </w:tcPr>
          <w:p w14:paraId="3B0C3E50" w14:textId="77777777" w:rsidR="002800B4" w:rsidRDefault="002800B4" w:rsidP="00AF58DF">
            <w:r w:rsidRPr="00896993">
              <w:rPr>
                <w:sz w:val="18"/>
                <w:szCs w:val="18"/>
              </w:rPr>
              <w:t>Fonte: Elaborazione Ismeri su dati CCIAA</w:t>
            </w:r>
          </w:p>
        </w:tc>
      </w:tr>
    </w:tbl>
    <w:p w14:paraId="47A74644" w14:textId="77777777" w:rsidR="002800B4" w:rsidRDefault="002800B4" w:rsidP="002800B4"/>
    <w:p w14:paraId="773F8953" w14:textId="77777777" w:rsidR="002800B4" w:rsidRDefault="002800B4" w:rsidP="002800B4">
      <w:r>
        <w:t>Per quanto riguarda la distribuzione settoriale, la vasta maggioranza delle imprese attive iscritte alla sezione speciale delle startup innovative a febbraio 2021 opera nell’ambito dei servizi di informazione e comunicazione (54,45%) e delle attività professionali, scientifiche e tecniche (21,44%), che complessivamente rappresentano il 75,88% delle imprese iscritte. Le attività operanti nell’ambito dei servizi di informazione e comunicazione si concentrano in via prioritaria (ca 74%) sulle attività quali la “pro</w:t>
      </w:r>
      <w:r w:rsidRPr="0012011A">
        <w:t>duzione di software, consulenza informatica e attività connesse</w:t>
      </w:r>
      <w:r>
        <w:t>”. Rilevante è anche la quota di imprese riconducibili al manifatturiero, che rappresentano il 12,83% del totale delle imprese iscritte al registro a febbraio 2021, in cui ricoprono un ruolo rilevante le attività connesse alla f</w:t>
      </w:r>
      <w:r w:rsidRPr="00B631C1">
        <w:t>abbricazione di computer e prodotti di elettronica e ottica</w:t>
      </w:r>
      <w:r>
        <w:t>,</w:t>
      </w:r>
      <w:r w:rsidRPr="00B631C1">
        <w:t xml:space="preserve"> apparecchi elettromedicali</w:t>
      </w:r>
      <w:r>
        <w:t xml:space="preserve"> e di misurazione,</w:t>
      </w:r>
      <w:r w:rsidRPr="00B631C1">
        <w:t xml:space="preserve"> macchinari e apparecchiature </w:t>
      </w:r>
      <w:proofErr w:type="spellStart"/>
      <w:r w:rsidRPr="00B631C1">
        <w:t>n.c.a</w:t>
      </w:r>
      <w:proofErr w:type="spellEnd"/>
      <w:r w:rsidRPr="00B631C1">
        <w:t>.</w:t>
      </w:r>
      <w:r>
        <w:t xml:space="preserve"> (non classificato altrove).</w:t>
      </w:r>
    </w:p>
    <w:p w14:paraId="5B842133" w14:textId="77777777" w:rsidR="00A606B0" w:rsidRDefault="00A606B0" w:rsidP="002800B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558"/>
      </w:tblGrid>
      <w:tr w:rsidR="002800B4" w14:paraId="01F41B7B" w14:textId="77777777" w:rsidTr="00AF58DF">
        <w:trPr>
          <w:trHeight w:val="359"/>
        </w:trPr>
        <w:tc>
          <w:tcPr>
            <w:tcW w:w="9558" w:type="dxa"/>
          </w:tcPr>
          <w:p w14:paraId="76FA78AA" w14:textId="77777777" w:rsidR="002800B4" w:rsidRDefault="002800B4" w:rsidP="00AF58DF">
            <w:pPr>
              <w:pStyle w:val="Didascalia"/>
            </w:pPr>
            <w:bookmarkStart w:id="114" w:name="_Toc91081497"/>
            <w:r>
              <w:t xml:space="preserve">Figura </w:t>
            </w:r>
            <w:r w:rsidR="004E6566">
              <w:fldChar w:fldCharType="begin"/>
            </w:r>
            <w:r>
              <w:instrText xml:space="preserve"> SEQ Figura \* ARABIC </w:instrText>
            </w:r>
            <w:r w:rsidR="004E6566">
              <w:fldChar w:fldCharType="separate"/>
            </w:r>
            <w:r w:rsidR="00E53D6C">
              <w:rPr>
                <w:noProof/>
              </w:rPr>
              <w:t>28</w:t>
            </w:r>
            <w:r w:rsidR="004E6566">
              <w:fldChar w:fldCharType="end"/>
            </w:r>
            <w:r>
              <w:t>. Distribuzione per settore di attività delle imprese attive iscritte alla sezione speciale delle startup innovative a febbraio 2021</w:t>
            </w:r>
            <w:bookmarkEnd w:id="114"/>
            <w:r>
              <w:t xml:space="preserve"> </w:t>
            </w:r>
          </w:p>
        </w:tc>
      </w:tr>
      <w:tr w:rsidR="002800B4" w14:paraId="79378CE1" w14:textId="77777777" w:rsidTr="00AF58DF">
        <w:trPr>
          <w:trHeight w:val="3404"/>
        </w:trPr>
        <w:tc>
          <w:tcPr>
            <w:tcW w:w="9558" w:type="dxa"/>
          </w:tcPr>
          <w:p w14:paraId="0CCEEBC5" w14:textId="77777777" w:rsidR="002800B4" w:rsidRDefault="002800B4" w:rsidP="00AF58DF">
            <w:pPr>
              <w:jc w:val="center"/>
            </w:pPr>
            <w:r>
              <w:rPr>
                <w:noProof/>
                <w:lang w:eastAsia="it-IT"/>
              </w:rPr>
              <w:drawing>
                <wp:inline distT="0" distB="0" distL="0" distR="0" wp14:anchorId="709C1CFC" wp14:editId="3010DAEC">
                  <wp:extent cx="3800475" cy="2284496"/>
                  <wp:effectExtent l="0" t="0" r="0" b="190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28209" cy="2301167"/>
                          </a:xfrm>
                          <a:prstGeom prst="rect">
                            <a:avLst/>
                          </a:prstGeom>
                          <a:noFill/>
                        </pic:spPr>
                      </pic:pic>
                    </a:graphicData>
                  </a:graphic>
                </wp:inline>
              </w:drawing>
            </w:r>
          </w:p>
        </w:tc>
      </w:tr>
      <w:tr w:rsidR="002800B4" w14:paraId="0966873E" w14:textId="77777777" w:rsidTr="00AF58DF">
        <w:trPr>
          <w:trHeight w:val="83"/>
        </w:trPr>
        <w:tc>
          <w:tcPr>
            <w:tcW w:w="9558" w:type="dxa"/>
          </w:tcPr>
          <w:p w14:paraId="632479EE" w14:textId="77777777" w:rsidR="002800B4" w:rsidRDefault="002800B4" w:rsidP="00AF58DF">
            <w:r w:rsidRPr="00896993">
              <w:rPr>
                <w:sz w:val="18"/>
                <w:szCs w:val="18"/>
              </w:rPr>
              <w:t>Fonte: Elaborazione Ismeri su dati CCIAA</w:t>
            </w:r>
          </w:p>
        </w:tc>
      </w:tr>
    </w:tbl>
    <w:p w14:paraId="3D5EF897" w14:textId="77777777" w:rsidR="002800B4" w:rsidRDefault="002800B4" w:rsidP="002800B4"/>
    <w:p w14:paraId="7F7392FE" w14:textId="77777777" w:rsidR="002800B4" w:rsidRDefault="002800B4" w:rsidP="002800B4">
      <w:pPr>
        <w:pStyle w:val="Didascalia"/>
        <w:rPr>
          <w:b w:val="0"/>
          <w:i w:val="0"/>
          <w:sz w:val="22"/>
          <w:szCs w:val="22"/>
        </w:rPr>
      </w:pPr>
      <w:r>
        <w:rPr>
          <w:b w:val="0"/>
          <w:i w:val="0"/>
          <w:sz w:val="22"/>
          <w:szCs w:val="22"/>
        </w:rPr>
        <w:t xml:space="preserve">A febbraio 2021, il 10,46% delle imprese attive iscritte alla sezione speciale delle startup innovative risultano a prevalenza femminile e il 17,08% a prevalenza giovanile, valori al di sotto delle medie nazionali che si attestano rispettivamente al 12,32% e 17,42%, mentre le imprese che risultano contemporaneamente sia a prevalenza femminile che giovanile rappresentano solamente il 2,16% del </w:t>
      </w:r>
      <w:r w:rsidRPr="00B661C6">
        <w:rPr>
          <w:b w:val="0"/>
          <w:i w:val="0"/>
          <w:sz w:val="22"/>
          <w:szCs w:val="22"/>
        </w:rPr>
        <w:t xml:space="preserve">totale (Figura </w:t>
      </w:r>
      <w:r w:rsidR="003D0E26" w:rsidRPr="00B661C6">
        <w:rPr>
          <w:b w:val="0"/>
          <w:i w:val="0"/>
          <w:sz w:val="22"/>
          <w:szCs w:val="22"/>
        </w:rPr>
        <w:t xml:space="preserve">successiva e </w:t>
      </w:r>
      <w:r w:rsidRPr="00B661C6">
        <w:rPr>
          <w:b w:val="0"/>
          <w:i w:val="0"/>
          <w:sz w:val="22"/>
          <w:szCs w:val="22"/>
        </w:rPr>
        <w:t>Figure</w:t>
      </w:r>
      <w:r w:rsidR="00B661C6" w:rsidRPr="00B661C6">
        <w:rPr>
          <w:b w:val="0"/>
          <w:i w:val="0"/>
          <w:sz w:val="22"/>
          <w:szCs w:val="22"/>
        </w:rPr>
        <w:t xml:space="preserve"> nell’allegato B</w:t>
      </w:r>
      <w:r w:rsidRPr="00B661C6">
        <w:rPr>
          <w:b w:val="0"/>
          <w:i w:val="0"/>
          <w:sz w:val="22"/>
          <w:szCs w:val="22"/>
        </w:rPr>
        <w:t xml:space="preserve">). Le imprese a prevalenza femminile maggioritaria, definite come imprese in cui le donne detengono più del 55% delle quote di possesso e cariche amministrative, corrispondo al 2,66% del totale, quelle a forte prevalenza femminile, in cui il 66% delle quote di possesso e delle cariche amministrative è detenuto dalle donne, rappresentano il 4,31% del totale mentre le imprese esclusivamente femminili sono il 3,49%. Le imprese con una prevalenza maggioritaria giovanile, cioè le società in cui il 50% delle quote di possesso e delle cariche amministrative sono detenute da persone di età non superiore ai 35 anni, rappresentano il 2,41% delle imprese Lombarde iscritte al registro. Le imprese a forte o esclusiva prevalenza giovanile sono, rispettivamente, il 7,45% e il 7,23% del totale (Figura </w:t>
      </w:r>
      <w:r w:rsidR="003D0E26" w:rsidRPr="00B661C6">
        <w:rPr>
          <w:b w:val="0"/>
          <w:i w:val="0"/>
          <w:sz w:val="22"/>
          <w:szCs w:val="22"/>
        </w:rPr>
        <w:t>successiva)</w:t>
      </w:r>
      <w:r w:rsidRPr="00B661C6">
        <w:rPr>
          <w:b w:val="0"/>
          <w:i w:val="0"/>
          <w:sz w:val="22"/>
          <w:szCs w:val="22"/>
        </w:rPr>
        <w:t>. I dati sembrano quindi suggerire la necessità di favorire ulteriormente l’imprenditorialità giovanile e soprattutto</w:t>
      </w:r>
      <w:r>
        <w:rPr>
          <w:b w:val="0"/>
          <w:i w:val="0"/>
          <w:sz w:val="22"/>
          <w:szCs w:val="22"/>
        </w:rPr>
        <w:t xml:space="preserve"> quella femminile nell’ambito delle startup innovative.</w:t>
      </w:r>
    </w:p>
    <w:p w14:paraId="0FDB07D2" w14:textId="77777777" w:rsidR="00A17A3E" w:rsidRDefault="00A17A3E" w:rsidP="00A17A3E"/>
    <w:p w14:paraId="60C7CC58" w14:textId="77777777" w:rsidR="00584813" w:rsidRDefault="00584813">
      <w:pPr>
        <w:spacing w:after="320" w:line="300" w:lineRule="auto"/>
        <w:jc w:val="left"/>
        <w:rPr>
          <w:b/>
          <w:i/>
          <w:iCs/>
          <w:sz w:val="18"/>
          <w:szCs w:val="18"/>
        </w:rPr>
      </w:pPr>
      <w:r>
        <w:br w:type="page"/>
      </w:r>
    </w:p>
    <w:p w14:paraId="6BF729A0" w14:textId="77777777" w:rsidR="002800B4" w:rsidRDefault="00A17A3E" w:rsidP="00584813">
      <w:pPr>
        <w:pStyle w:val="Didascalia"/>
      </w:pPr>
      <w:bookmarkStart w:id="115" w:name="_Toc91081498"/>
      <w:r>
        <w:t xml:space="preserve">Figura </w:t>
      </w:r>
      <w:r w:rsidR="004E6566">
        <w:fldChar w:fldCharType="begin"/>
      </w:r>
      <w:r>
        <w:instrText xml:space="preserve"> SEQ Figura \* ARABIC </w:instrText>
      </w:r>
      <w:r w:rsidR="004E6566">
        <w:fldChar w:fldCharType="separate"/>
      </w:r>
      <w:r w:rsidR="00E53D6C">
        <w:rPr>
          <w:noProof/>
        </w:rPr>
        <w:t>29</w:t>
      </w:r>
      <w:r w:rsidR="004E6566">
        <w:fldChar w:fldCharType="end"/>
      </w:r>
      <w:r>
        <w:t>. Caratteristiche delle imprese iscritte nel registro: giovani e donne</w:t>
      </w:r>
      <w:bookmarkEnd w:id="115"/>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02"/>
        <w:gridCol w:w="5036"/>
      </w:tblGrid>
      <w:tr w:rsidR="00A17A3E" w14:paraId="0D5E8ADC" w14:textId="77777777" w:rsidTr="00AF58DF">
        <w:tc>
          <w:tcPr>
            <w:tcW w:w="4548" w:type="dxa"/>
          </w:tcPr>
          <w:p w14:paraId="0404E148" w14:textId="77777777" w:rsidR="00A17A3E" w:rsidRPr="00584813" w:rsidRDefault="00A17A3E" w:rsidP="00A17A3E">
            <w:pPr>
              <w:rPr>
                <w:sz w:val="18"/>
                <w:szCs w:val="18"/>
              </w:rPr>
            </w:pPr>
            <w:r w:rsidRPr="00584813">
              <w:rPr>
                <w:sz w:val="18"/>
                <w:szCs w:val="18"/>
              </w:rPr>
              <w:t>Prevalenza giovanile e femminile nelle imprese attive iscritte al registro, febbraio 2021</w:t>
            </w:r>
          </w:p>
        </w:tc>
        <w:tc>
          <w:tcPr>
            <w:tcW w:w="4976" w:type="dxa"/>
          </w:tcPr>
          <w:p w14:paraId="4A4327E6" w14:textId="77777777" w:rsidR="00A17A3E" w:rsidRPr="00584813" w:rsidRDefault="00A17A3E" w:rsidP="00A17A3E">
            <w:pPr>
              <w:rPr>
                <w:sz w:val="18"/>
                <w:szCs w:val="18"/>
              </w:rPr>
            </w:pPr>
            <w:r w:rsidRPr="00584813">
              <w:rPr>
                <w:sz w:val="18"/>
                <w:szCs w:val="18"/>
              </w:rPr>
              <w:t xml:space="preserve">Intensità della prevalenza giovanile e femminile nelle imprese attive iscritte al registro, febbraio 2021 </w:t>
            </w:r>
          </w:p>
        </w:tc>
      </w:tr>
      <w:tr w:rsidR="00A17A3E" w14:paraId="29FC08DC" w14:textId="77777777" w:rsidTr="00AF58DF">
        <w:trPr>
          <w:trHeight w:val="3263"/>
        </w:trPr>
        <w:tc>
          <w:tcPr>
            <w:tcW w:w="4548" w:type="dxa"/>
            <w:vAlign w:val="center"/>
          </w:tcPr>
          <w:p w14:paraId="7F01C766" w14:textId="77777777" w:rsidR="00A17A3E" w:rsidRDefault="00A17A3E" w:rsidP="00AF58DF">
            <w:pPr>
              <w:jc w:val="left"/>
            </w:pPr>
            <w:r>
              <w:rPr>
                <w:noProof/>
                <w:lang w:eastAsia="it-IT"/>
              </w:rPr>
              <w:drawing>
                <wp:inline distT="0" distB="0" distL="0" distR="0" wp14:anchorId="11AB4E74" wp14:editId="73ED6CE3">
                  <wp:extent cx="2857500" cy="2416680"/>
                  <wp:effectExtent l="0" t="0" r="0" b="3175"/>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72498" cy="2429365"/>
                          </a:xfrm>
                          <a:prstGeom prst="rect">
                            <a:avLst/>
                          </a:prstGeom>
                          <a:noFill/>
                        </pic:spPr>
                      </pic:pic>
                    </a:graphicData>
                  </a:graphic>
                </wp:inline>
              </w:drawing>
            </w:r>
          </w:p>
        </w:tc>
        <w:tc>
          <w:tcPr>
            <w:tcW w:w="4976" w:type="dxa"/>
          </w:tcPr>
          <w:p w14:paraId="024B9E14" w14:textId="77777777" w:rsidR="00A17A3E" w:rsidRDefault="00A17A3E" w:rsidP="00AF58DF">
            <w:pPr>
              <w:jc w:val="left"/>
            </w:pPr>
            <w:r>
              <w:rPr>
                <w:noProof/>
                <w:lang w:eastAsia="it-IT"/>
              </w:rPr>
              <w:drawing>
                <wp:inline distT="0" distB="0" distL="0" distR="0" wp14:anchorId="76773BDE" wp14:editId="5740BA25">
                  <wp:extent cx="3133625" cy="2343150"/>
                  <wp:effectExtent l="0" t="0" r="0"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51634" cy="2356616"/>
                          </a:xfrm>
                          <a:prstGeom prst="rect">
                            <a:avLst/>
                          </a:prstGeom>
                          <a:noFill/>
                        </pic:spPr>
                      </pic:pic>
                    </a:graphicData>
                  </a:graphic>
                </wp:inline>
              </w:drawing>
            </w:r>
          </w:p>
        </w:tc>
      </w:tr>
      <w:tr w:rsidR="00A17A3E" w14:paraId="3048349F" w14:textId="77777777" w:rsidTr="00AF58DF">
        <w:tc>
          <w:tcPr>
            <w:tcW w:w="4548" w:type="dxa"/>
          </w:tcPr>
          <w:p w14:paraId="44EC9E1D" w14:textId="77777777" w:rsidR="00A17A3E" w:rsidRDefault="00A17A3E" w:rsidP="00AF58DF">
            <w:r w:rsidRPr="00896993">
              <w:rPr>
                <w:sz w:val="18"/>
                <w:szCs w:val="18"/>
              </w:rPr>
              <w:t>Fonte: Elaborazione Ismeri su dati CCIAA</w:t>
            </w:r>
          </w:p>
        </w:tc>
        <w:tc>
          <w:tcPr>
            <w:tcW w:w="4976" w:type="dxa"/>
          </w:tcPr>
          <w:p w14:paraId="447AA63C" w14:textId="77777777" w:rsidR="00A17A3E" w:rsidRDefault="00A17A3E" w:rsidP="00AF58DF"/>
        </w:tc>
      </w:tr>
    </w:tbl>
    <w:p w14:paraId="5D179605" w14:textId="77777777" w:rsidR="002800B4" w:rsidRDefault="002800B4" w:rsidP="002800B4">
      <w:pPr>
        <w:keepNext/>
      </w:pPr>
    </w:p>
    <w:p w14:paraId="6CE32AFC" w14:textId="77777777" w:rsidR="00A606B0" w:rsidRDefault="00A606B0" w:rsidP="002800B4">
      <w:pPr>
        <w:keepNext/>
      </w:pPr>
    </w:p>
    <w:p w14:paraId="61F4F856" w14:textId="77777777" w:rsidR="00A606B0" w:rsidRDefault="002800B4" w:rsidP="00A606B0">
      <w:r>
        <w:t>Le startup innovative si caratterizzano per avere un numero molto modesto di dipendenti, infatti il 77% delle imprese per i quali abbiamo dati relativi agli occupati, riporta un numero di addetti tra 0 e 4. Inoltre, circa il 67% delle startup ha un modesto capitale sociale, tra i 5mila e i 50mila euro. Anche il valore produttivo appare modesto con il 55% delle imprese che riportano un valore della produzione inferiore ai 100.000 euro e il 30% che dichiara un valore della produzione compreso tra i 100.000 e i 500.000 euro. Tuttavia, tenuto conto che circa la metà delle imprese attive iscritte al registro è stata fondata da un massimo di due anni</w:t>
      </w:r>
      <w:r w:rsidR="00A606B0">
        <w:t>,</w:t>
      </w:r>
      <w:r>
        <w:t xml:space="preserve"> questi valori appaiono in qualche misura soddisfacenti. </w:t>
      </w:r>
    </w:p>
    <w:p w14:paraId="0DE7DF93" w14:textId="77777777" w:rsidR="00A606B0" w:rsidRDefault="00A606B0" w:rsidP="00A606B0"/>
    <w:p w14:paraId="1378C633" w14:textId="77777777" w:rsidR="00A606B0" w:rsidRDefault="00A606B0" w:rsidP="00A606B0">
      <w:r>
        <w:t>In conclusione, sebbene l’ecosistema delle startup innovative si sia dimostrato particolarmente resiliente alle difficoltà generate dalla pandemia di COVID-19 e rappresenti un componente ad alto valore strategico per la lotta alla crisi, sia da un punto di vista economico che tecnologico, queste imprese meritano una attenzione maggiore in Lombardia al fine di favorirne uno sviluppo significativo e duraturo. Vari studi dimostrano come la facilità di reperire un adeguato capitale finanziario e la quantità e qualità del capitale umano siano dei fattori determinanti per il successo delle startup. Le politiche a supporto delle startup innovative dovranno quindi concentrarsi maggiormente su questi due fattori anche attraverso politiche trasversali e che puntino alla formazione di figure professionali in grado di soddisfare le esigenze di queste realtà imprenditoriali. Inoltre, si segnala la necessità di incrementare le misure volte ad incentivare la partecipazione giovanile e femminile nell’imprenditoria in generale ed in particolare nelle startup innovative.</w:t>
      </w:r>
    </w:p>
    <w:p w14:paraId="1B58440F" w14:textId="77777777" w:rsidR="00A606B0" w:rsidRDefault="00A606B0">
      <w:pPr>
        <w:spacing w:after="320" w:line="300" w:lineRule="auto"/>
        <w:jc w:val="left"/>
      </w:pPr>
      <w:r>
        <w:br w:type="page"/>
      </w:r>
    </w:p>
    <w:p w14:paraId="2437A966" w14:textId="77777777" w:rsidR="00A17A3E" w:rsidRDefault="00A17A3E" w:rsidP="00A17A3E">
      <w:pPr>
        <w:pStyle w:val="Didascalia"/>
      </w:pPr>
      <w:bookmarkStart w:id="116" w:name="_Toc91081499"/>
      <w:r>
        <w:t xml:space="preserve">Figura </w:t>
      </w:r>
      <w:r w:rsidR="004E6566">
        <w:fldChar w:fldCharType="begin"/>
      </w:r>
      <w:r>
        <w:instrText xml:space="preserve"> SEQ Figura \* ARABIC </w:instrText>
      </w:r>
      <w:r w:rsidR="004E6566">
        <w:fldChar w:fldCharType="separate"/>
      </w:r>
      <w:r w:rsidR="00E53D6C">
        <w:rPr>
          <w:noProof/>
        </w:rPr>
        <w:t>30</w:t>
      </w:r>
      <w:r w:rsidR="004E6566">
        <w:fldChar w:fldCharType="end"/>
      </w:r>
      <w:r>
        <w:t xml:space="preserve">. </w:t>
      </w:r>
      <w:r w:rsidRPr="00444C4F">
        <w:t xml:space="preserve">Caratteristiche delle imprese iscritte nel registro: </w:t>
      </w:r>
      <w:r>
        <w:t>dipendenti, valore della produzione, capitale sociale, anni di attività</w:t>
      </w:r>
      <w:bookmarkEnd w:id="116"/>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767"/>
        <w:gridCol w:w="4871"/>
      </w:tblGrid>
      <w:tr w:rsidR="002800B4" w14:paraId="23D9FCEC" w14:textId="77777777" w:rsidTr="00AF58DF">
        <w:tc>
          <w:tcPr>
            <w:tcW w:w="4815" w:type="dxa"/>
          </w:tcPr>
          <w:p w14:paraId="066A7F81" w14:textId="77777777" w:rsidR="002800B4" w:rsidRPr="00584813" w:rsidRDefault="002800B4" w:rsidP="00A17A3E">
            <w:pPr>
              <w:rPr>
                <w:sz w:val="18"/>
                <w:szCs w:val="18"/>
              </w:rPr>
            </w:pPr>
            <w:r w:rsidRPr="00584813">
              <w:rPr>
                <w:sz w:val="18"/>
                <w:szCs w:val="18"/>
              </w:rPr>
              <w:t>numero di dipendenti  delle startup lombarde attive iscritte nel registro, febbraio 2021</w:t>
            </w:r>
          </w:p>
        </w:tc>
        <w:tc>
          <w:tcPr>
            <w:tcW w:w="4813" w:type="dxa"/>
          </w:tcPr>
          <w:p w14:paraId="3EAA3C59" w14:textId="77777777" w:rsidR="002800B4" w:rsidRPr="00584813" w:rsidRDefault="002800B4" w:rsidP="00A17A3E">
            <w:pPr>
              <w:rPr>
                <w:sz w:val="18"/>
                <w:szCs w:val="18"/>
              </w:rPr>
            </w:pPr>
            <w:r w:rsidRPr="00584813">
              <w:rPr>
                <w:sz w:val="18"/>
                <w:szCs w:val="18"/>
              </w:rPr>
              <w:t>valore della produzione delle startup lombarde attive iscritte nel registro, febbraio 2021</w:t>
            </w:r>
          </w:p>
        </w:tc>
      </w:tr>
      <w:tr w:rsidR="002800B4" w14:paraId="178C2C2F" w14:textId="77777777" w:rsidTr="00AF58DF">
        <w:trPr>
          <w:trHeight w:val="3263"/>
        </w:trPr>
        <w:tc>
          <w:tcPr>
            <w:tcW w:w="4815" w:type="dxa"/>
            <w:vAlign w:val="center"/>
          </w:tcPr>
          <w:p w14:paraId="7CC8B45C" w14:textId="77777777" w:rsidR="002800B4" w:rsidRDefault="002800B4" w:rsidP="00AF58DF">
            <w:pPr>
              <w:jc w:val="left"/>
            </w:pPr>
            <w:r>
              <w:rPr>
                <w:noProof/>
                <w:lang w:eastAsia="it-IT"/>
              </w:rPr>
              <w:drawing>
                <wp:inline distT="0" distB="0" distL="0" distR="0" wp14:anchorId="6931F914" wp14:editId="3D2D53BA">
                  <wp:extent cx="2952750" cy="2497235"/>
                  <wp:effectExtent l="0" t="0" r="0" b="0"/>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58298" cy="2501927"/>
                          </a:xfrm>
                          <a:prstGeom prst="rect">
                            <a:avLst/>
                          </a:prstGeom>
                          <a:noFill/>
                        </pic:spPr>
                      </pic:pic>
                    </a:graphicData>
                  </a:graphic>
                </wp:inline>
              </w:drawing>
            </w:r>
          </w:p>
          <w:p w14:paraId="3ABC2A54" w14:textId="77777777" w:rsidR="002800B4" w:rsidRDefault="002800B4" w:rsidP="00AF58DF">
            <w:pPr>
              <w:jc w:val="left"/>
            </w:pPr>
          </w:p>
        </w:tc>
        <w:tc>
          <w:tcPr>
            <w:tcW w:w="4813" w:type="dxa"/>
          </w:tcPr>
          <w:p w14:paraId="5FB0AA8F" w14:textId="77777777" w:rsidR="002800B4" w:rsidRDefault="002800B4" w:rsidP="00AF58DF">
            <w:pPr>
              <w:jc w:val="left"/>
            </w:pPr>
            <w:r>
              <w:rPr>
                <w:noProof/>
                <w:lang w:eastAsia="it-IT"/>
              </w:rPr>
              <w:drawing>
                <wp:inline distT="0" distB="0" distL="0" distR="0" wp14:anchorId="0EF1C9C9" wp14:editId="6CD6D4DF">
                  <wp:extent cx="3048000" cy="2532442"/>
                  <wp:effectExtent l="0" t="0" r="0" b="1270"/>
                  <wp:docPr id="62"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53214" cy="2536774"/>
                          </a:xfrm>
                          <a:prstGeom prst="rect">
                            <a:avLst/>
                          </a:prstGeom>
                          <a:noFill/>
                        </pic:spPr>
                      </pic:pic>
                    </a:graphicData>
                  </a:graphic>
                </wp:inline>
              </w:drawing>
            </w:r>
          </w:p>
        </w:tc>
      </w:tr>
      <w:tr w:rsidR="002800B4" w14:paraId="26E1099E" w14:textId="77777777" w:rsidTr="00AF58DF">
        <w:tc>
          <w:tcPr>
            <w:tcW w:w="4815" w:type="dxa"/>
          </w:tcPr>
          <w:p w14:paraId="7787C0B1" w14:textId="77777777" w:rsidR="002800B4" w:rsidRDefault="002800B4" w:rsidP="00AF58DF"/>
        </w:tc>
        <w:tc>
          <w:tcPr>
            <w:tcW w:w="4813" w:type="dxa"/>
          </w:tcPr>
          <w:p w14:paraId="2DF83A4B" w14:textId="77777777" w:rsidR="002800B4" w:rsidRDefault="002800B4" w:rsidP="00AF58DF"/>
        </w:tc>
      </w:tr>
      <w:tr w:rsidR="002800B4" w14:paraId="7C9AA3DD" w14:textId="77777777" w:rsidTr="00AF58DF">
        <w:tc>
          <w:tcPr>
            <w:tcW w:w="4815" w:type="dxa"/>
          </w:tcPr>
          <w:p w14:paraId="223AB8FC" w14:textId="77777777" w:rsidR="002800B4" w:rsidRPr="00584813" w:rsidRDefault="002800B4" w:rsidP="00A17A3E">
            <w:pPr>
              <w:rPr>
                <w:sz w:val="18"/>
                <w:szCs w:val="18"/>
              </w:rPr>
            </w:pPr>
            <w:r w:rsidRPr="00584813">
              <w:rPr>
                <w:sz w:val="18"/>
                <w:szCs w:val="18"/>
              </w:rPr>
              <w:t>startup lombarde attive iscritte nel registro in base al capitale sociale, febbraio 2021</w:t>
            </w:r>
          </w:p>
        </w:tc>
        <w:tc>
          <w:tcPr>
            <w:tcW w:w="4813" w:type="dxa"/>
          </w:tcPr>
          <w:p w14:paraId="41D75312" w14:textId="77777777" w:rsidR="002800B4" w:rsidRPr="00584813" w:rsidRDefault="002800B4" w:rsidP="00A17A3E">
            <w:pPr>
              <w:rPr>
                <w:sz w:val="18"/>
                <w:szCs w:val="18"/>
              </w:rPr>
            </w:pPr>
            <w:r w:rsidRPr="00584813">
              <w:rPr>
                <w:sz w:val="18"/>
                <w:szCs w:val="18"/>
              </w:rPr>
              <w:t>startup lombarde attive iscritte nel registro in base agli anni trascorsi dalla fondazione, febbraio 2021</w:t>
            </w:r>
          </w:p>
        </w:tc>
      </w:tr>
      <w:tr w:rsidR="002800B4" w14:paraId="5FA50C8C" w14:textId="77777777" w:rsidTr="00AF58DF">
        <w:trPr>
          <w:trHeight w:val="3263"/>
        </w:trPr>
        <w:tc>
          <w:tcPr>
            <w:tcW w:w="4815" w:type="dxa"/>
            <w:vAlign w:val="center"/>
          </w:tcPr>
          <w:p w14:paraId="538D5CAE" w14:textId="77777777" w:rsidR="002800B4" w:rsidRDefault="002800B4" w:rsidP="00AF58DF">
            <w:pPr>
              <w:jc w:val="left"/>
            </w:pPr>
            <w:r>
              <w:rPr>
                <w:noProof/>
                <w:lang w:eastAsia="it-IT"/>
              </w:rPr>
              <w:drawing>
                <wp:inline distT="0" distB="0" distL="0" distR="0" wp14:anchorId="08B15957" wp14:editId="16BD087E">
                  <wp:extent cx="2981325" cy="3233960"/>
                  <wp:effectExtent l="0" t="0" r="0" b="5080"/>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94153" cy="3247875"/>
                          </a:xfrm>
                          <a:prstGeom prst="rect">
                            <a:avLst/>
                          </a:prstGeom>
                          <a:noFill/>
                        </pic:spPr>
                      </pic:pic>
                    </a:graphicData>
                  </a:graphic>
                </wp:inline>
              </w:drawing>
            </w:r>
          </w:p>
          <w:p w14:paraId="712961BD" w14:textId="77777777" w:rsidR="002800B4" w:rsidRDefault="002800B4" w:rsidP="00AF58DF">
            <w:pPr>
              <w:jc w:val="left"/>
            </w:pPr>
          </w:p>
        </w:tc>
        <w:tc>
          <w:tcPr>
            <w:tcW w:w="4813" w:type="dxa"/>
            <w:vAlign w:val="center"/>
          </w:tcPr>
          <w:p w14:paraId="5B978A64" w14:textId="77777777" w:rsidR="002800B4" w:rsidRDefault="002800B4" w:rsidP="00AF58DF">
            <w:pPr>
              <w:jc w:val="center"/>
            </w:pPr>
            <w:r>
              <w:rPr>
                <w:noProof/>
                <w:lang w:eastAsia="it-IT"/>
              </w:rPr>
              <w:drawing>
                <wp:inline distT="0" distB="0" distL="0" distR="0" wp14:anchorId="6CFB91DA" wp14:editId="0A174E5C">
                  <wp:extent cx="2923540" cy="3190875"/>
                  <wp:effectExtent l="0" t="0" r="0" b="9525"/>
                  <wp:docPr id="1346" name="Immagin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36797" cy="3205344"/>
                          </a:xfrm>
                          <a:prstGeom prst="rect">
                            <a:avLst/>
                          </a:prstGeom>
                          <a:noFill/>
                        </pic:spPr>
                      </pic:pic>
                    </a:graphicData>
                  </a:graphic>
                </wp:inline>
              </w:drawing>
            </w:r>
          </w:p>
        </w:tc>
      </w:tr>
      <w:tr w:rsidR="002800B4" w14:paraId="26CDE398" w14:textId="77777777" w:rsidTr="00AF58DF">
        <w:tc>
          <w:tcPr>
            <w:tcW w:w="4815" w:type="dxa"/>
          </w:tcPr>
          <w:p w14:paraId="59DF381D" w14:textId="77777777" w:rsidR="002800B4" w:rsidRDefault="002800B4" w:rsidP="00AF58DF">
            <w:r w:rsidRPr="00896993">
              <w:rPr>
                <w:sz w:val="18"/>
                <w:szCs w:val="18"/>
              </w:rPr>
              <w:t>Fonte: Elaborazione Ismeri su dati CCIAA</w:t>
            </w:r>
          </w:p>
        </w:tc>
        <w:tc>
          <w:tcPr>
            <w:tcW w:w="4813" w:type="dxa"/>
          </w:tcPr>
          <w:p w14:paraId="6378A7E5" w14:textId="77777777" w:rsidR="002800B4" w:rsidRDefault="002800B4" w:rsidP="00AF58DF"/>
        </w:tc>
      </w:tr>
    </w:tbl>
    <w:p w14:paraId="43A10B2C" w14:textId="77777777" w:rsidR="002800B4" w:rsidRDefault="002800B4" w:rsidP="002800B4"/>
    <w:p w14:paraId="14365F5E" w14:textId="77777777" w:rsidR="002800B4" w:rsidRDefault="002800B4" w:rsidP="002800B4"/>
    <w:p w14:paraId="04F55E76" w14:textId="77777777" w:rsidR="002800B4" w:rsidRDefault="002800B4">
      <w:pPr>
        <w:spacing w:after="320" w:line="300" w:lineRule="auto"/>
        <w:jc w:val="left"/>
      </w:pPr>
    </w:p>
    <w:p w14:paraId="54358904" w14:textId="77777777" w:rsidR="00443C1C" w:rsidRDefault="00443C1C">
      <w:pPr>
        <w:spacing w:after="320" w:line="300" w:lineRule="auto"/>
        <w:jc w:val="left"/>
      </w:pPr>
    </w:p>
    <w:p w14:paraId="24D6487B" w14:textId="77777777" w:rsidR="002800B4" w:rsidRDefault="002800B4">
      <w:pPr>
        <w:spacing w:after="320" w:line="300" w:lineRule="auto"/>
        <w:jc w:val="left"/>
        <w:rPr>
          <w:b/>
          <w:bCs/>
          <w:color w:val="7F7F7F" w:themeColor="text1" w:themeTint="80"/>
          <w:sz w:val="32"/>
          <w:szCs w:val="26"/>
        </w:rPr>
      </w:pPr>
      <w:r>
        <w:br w:type="page"/>
      </w:r>
    </w:p>
    <w:p w14:paraId="4BA74AFC" w14:textId="77777777" w:rsidR="00282A60" w:rsidRDefault="00282A60" w:rsidP="00B27AA3">
      <w:pPr>
        <w:pStyle w:val="Titolo2"/>
      </w:pPr>
      <w:bookmarkStart w:id="117" w:name="_Toc91081413"/>
      <w:r>
        <w:t xml:space="preserve">Risultati degli approfondimenti valutativi </w:t>
      </w:r>
      <w:r w:rsidR="00BF3994">
        <w:t xml:space="preserve">del </w:t>
      </w:r>
      <w:r>
        <w:t>2021</w:t>
      </w:r>
      <w:bookmarkEnd w:id="117"/>
    </w:p>
    <w:p w14:paraId="6BF47724" w14:textId="77777777" w:rsidR="00282A60" w:rsidRPr="00282A60" w:rsidRDefault="00282A60" w:rsidP="00282A60"/>
    <w:p w14:paraId="1C8B98DD" w14:textId="77777777" w:rsidR="00282A60" w:rsidRPr="00BF3994" w:rsidRDefault="00282A60" w:rsidP="00B27AA3">
      <w:pPr>
        <w:pStyle w:val="Titolo3"/>
      </w:pPr>
      <w:bookmarkStart w:id="118" w:name="_Toc91081414"/>
      <w:r w:rsidRPr="00BF3994">
        <w:t>Principali risultati della valutazione FESR</w:t>
      </w:r>
      <w:bookmarkEnd w:id="118"/>
    </w:p>
    <w:p w14:paraId="327428A2" w14:textId="77777777" w:rsidR="0049154A" w:rsidRPr="00BF3994" w:rsidRDefault="0049154A" w:rsidP="0049154A"/>
    <w:p w14:paraId="2D479A3B" w14:textId="77777777" w:rsidR="0049154A" w:rsidRPr="00BF3994" w:rsidRDefault="0049154A" w:rsidP="0049154A">
      <w:pPr>
        <w:pStyle w:val="Titolo4"/>
      </w:pPr>
      <w:r w:rsidRPr="00BF3994">
        <w:t>Introduzione: interventi oggetto di approfondimento</w:t>
      </w:r>
    </w:p>
    <w:p w14:paraId="2EF498EF" w14:textId="77777777" w:rsidR="00EC4F31" w:rsidRPr="00BF3994" w:rsidRDefault="00EC4F31" w:rsidP="00EC4F31"/>
    <w:p w14:paraId="789BD7F2" w14:textId="77777777" w:rsidR="00EC4F31" w:rsidRPr="00BF3994" w:rsidRDefault="00EC4F31" w:rsidP="00EA765C">
      <w:r w:rsidRPr="00BF3994">
        <w:t xml:space="preserve">Il seguente approfondimento </w:t>
      </w:r>
      <w:r w:rsidR="00A07CDF" w:rsidRPr="00BF3994">
        <w:t xml:space="preserve">propone </w:t>
      </w:r>
      <w:r w:rsidRPr="00BF3994">
        <w:t>una sintesi delle valutazioni relativ</w:t>
      </w:r>
      <w:r w:rsidR="00D826B5" w:rsidRPr="00BF3994">
        <w:t>e</w:t>
      </w:r>
      <w:r w:rsidRPr="00BF3994">
        <w:t xml:space="preserve"> ai bandi dell’Asse III </w:t>
      </w:r>
      <w:r w:rsidR="00B36ED2" w:rsidRPr="00BF3994">
        <w:t>- Promuovere</w:t>
      </w:r>
      <w:r w:rsidRPr="00BF3994">
        <w:t xml:space="preserve"> la competitività delle piccole e medie imprese contenute </w:t>
      </w:r>
      <w:r w:rsidR="00D826B5" w:rsidRPr="00BF3994">
        <w:t xml:space="preserve">nel </w:t>
      </w:r>
      <w:r w:rsidRPr="00BF3994">
        <w:t>Rapporto Annuale di Valutazione per l’annualità 2020.</w:t>
      </w:r>
    </w:p>
    <w:p w14:paraId="0DB857ED" w14:textId="398167BD" w:rsidR="000F2880" w:rsidRPr="00BF3994" w:rsidRDefault="00EC4F31" w:rsidP="00EA765C">
      <w:r w:rsidRPr="00BF3994">
        <w:t>Le analisi incluse nel RAV 202</w:t>
      </w:r>
      <w:r w:rsidR="006736FE">
        <w:t>1</w:t>
      </w:r>
      <w:r w:rsidR="000F2880" w:rsidRPr="00BF3994">
        <w:t>, rispond</w:t>
      </w:r>
      <w:r w:rsidRPr="00BF3994">
        <w:t>ono</w:t>
      </w:r>
      <w:r w:rsidR="000F2880" w:rsidRPr="00BF3994">
        <w:t xml:space="preserve"> a 11 dei 16 quesiti valutativi individuati dal piano di valutazione </w:t>
      </w:r>
      <w:r w:rsidR="007E7FA8" w:rsidRPr="00BF3994">
        <w:t xml:space="preserve">per </w:t>
      </w:r>
      <w:r w:rsidR="000F2880" w:rsidRPr="00BF3994">
        <w:t>l’</w:t>
      </w:r>
      <w:r w:rsidR="007E7FA8" w:rsidRPr="00BF3994">
        <w:t>A</w:t>
      </w:r>
      <w:r w:rsidR="000F2880" w:rsidRPr="00BF3994">
        <w:t xml:space="preserve">sse III del POR FESR, </w:t>
      </w:r>
      <w:r w:rsidRPr="00BF3994">
        <w:t xml:space="preserve">e sono </w:t>
      </w:r>
      <w:r w:rsidR="00391AE8" w:rsidRPr="00BF3994">
        <w:t>volt</w:t>
      </w:r>
      <w:r w:rsidRPr="00BF3994">
        <w:t>e</w:t>
      </w:r>
      <w:r w:rsidR="00391AE8" w:rsidRPr="00BF3994">
        <w:t xml:space="preserve"> a valutare l’efficacia di</w:t>
      </w:r>
      <w:r w:rsidRPr="00BF3994">
        <w:t xml:space="preserve"> alcuni dei</w:t>
      </w:r>
      <w:r w:rsidR="00391AE8" w:rsidRPr="00BF3994">
        <w:t xml:space="preserve"> </w:t>
      </w:r>
      <w:r w:rsidRPr="00BF3994">
        <w:t>bandi</w:t>
      </w:r>
      <w:r w:rsidR="00391AE8" w:rsidRPr="00BF3994">
        <w:t xml:space="preserve"> </w:t>
      </w:r>
      <w:r w:rsidR="000E3AC2" w:rsidRPr="00BF3994">
        <w:t xml:space="preserve">di </w:t>
      </w:r>
      <w:r w:rsidR="00391AE8" w:rsidRPr="00BF3994">
        <w:t>Regione Lombardia</w:t>
      </w:r>
      <w:r w:rsidR="000F2880" w:rsidRPr="00BF3994">
        <w:t>.</w:t>
      </w:r>
      <w:r w:rsidR="00391AE8" w:rsidRPr="00BF3994">
        <w:rPr>
          <w:rStyle w:val="Rimandonotaapidipagina"/>
        </w:rPr>
        <w:footnoteReference w:id="15"/>
      </w:r>
      <w:r w:rsidR="00391AE8" w:rsidRPr="00BF3994">
        <w:t xml:space="preserve"> </w:t>
      </w:r>
      <w:r w:rsidR="006D36EF" w:rsidRPr="00BF3994">
        <w:t xml:space="preserve">La valutazione </w:t>
      </w:r>
      <w:r w:rsidR="00B36ED2" w:rsidRPr="00BF3994">
        <w:t xml:space="preserve">è stata svolta principalmente attraverso </w:t>
      </w:r>
      <w:r w:rsidR="000E3AC2" w:rsidRPr="00BF3994">
        <w:t>“</w:t>
      </w:r>
      <w:r w:rsidR="00B36ED2" w:rsidRPr="00BF3994">
        <w:t>survey</w:t>
      </w:r>
      <w:r w:rsidR="000E3AC2" w:rsidRPr="00BF3994">
        <w:t>”</w:t>
      </w:r>
      <w:r w:rsidR="00B36ED2" w:rsidRPr="00BF3994">
        <w:t xml:space="preserve"> </w:t>
      </w:r>
      <w:r w:rsidR="000E3AC2" w:rsidRPr="00BF3994">
        <w:t xml:space="preserve">finalizzate a raccogliere informazioni e dati dai </w:t>
      </w:r>
      <w:r w:rsidR="00B36ED2" w:rsidRPr="00BF3994">
        <w:t xml:space="preserve">beneficiari </w:t>
      </w:r>
      <w:r w:rsidR="000E3AC2" w:rsidRPr="00BF3994">
        <w:t>degli interventi</w:t>
      </w:r>
      <w:r w:rsidR="0093643D" w:rsidRPr="00BF3994">
        <w:t xml:space="preserve">. </w:t>
      </w:r>
      <w:r w:rsidR="006D36EF" w:rsidRPr="00BF3994">
        <w:t xml:space="preserve">Ogni analisi </w:t>
      </w:r>
      <w:r w:rsidR="0093643D" w:rsidRPr="00BF3994">
        <w:t>punta</w:t>
      </w:r>
      <w:r w:rsidR="006D36EF" w:rsidRPr="00BF3994">
        <w:t xml:space="preserve"> a </w:t>
      </w:r>
      <w:r w:rsidR="0093643D" w:rsidRPr="00BF3994">
        <w:t>identificare</w:t>
      </w:r>
      <w:r w:rsidR="00FB24B4" w:rsidRPr="00BF3994">
        <w:t>:</w:t>
      </w:r>
      <w:r w:rsidR="006D36EF" w:rsidRPr="00BF3994">
        <w:t xml:space="preserve"> i punti di forza e debolezza de</w:t>
      </w:r>
      <w:r w:rsidR="0093643D" w:rsidRPr="00BF3994">
        <w:t>i</w:t>
      </w:r>
      <w:r w:rsidR="006D36EF" w:rsidRPr="00BF3994">
        <w:t xml:space="preserve"> band</w:t>
      </w:r>
      <w:r w:rsidR="0093643D" w:rsidRPr="00BF3994">
        <w:t>i</w:t>
      </w:r>
      <w:r w:rsidR="006D36EF" w:rsidRPr="00BF3994">
        <w:t>, le problematiche causate dalla pandemia di COVID-19</w:t>
      </w:r>
      <w:r w:rsidR="00FA5247" w:rsidRPr="00BF3994">
        <w:t xml:space="preserve"> e</w:t>
      </w:r>
      <w:r w:rsidR="006D36EF" w:rsidRPr="00BF3994">
        <w:t xml:space="preserve"> </w:t>
      </w:r>
      <w:r w:rsidR="00FB24B4" w:rsidRPr="00BF3994">
        <w:t>il</w:t>
      </w:r>
      <w:r w:rsidR="006D36EF" w:rsidRPr="00BF3994">
        <w:t xml:space="preserve"> valore aggiunto </w:t>
      </w:r>
      <w:r w:rsidR="00FB24B4" w:rsidRPr="00BF3994">
        <w:t>dei progetti</w:t>
      </w:r>
      <w:r w:rsidR="006D36EF" w:rsidRPr="00BF3994">
        <w:t>.</w:t>
      </w:r>
    </w:p>
    <w:p w14:paraId="7411E00F" w14:textId="77777777" w:rsidR="00940D6C" w:rsidRPr="00BF3994" w:rsidRDefault="00940D6C" w:rsidP="00EA765C"/>
    <w:p w14:paraId="6CCD8BCB" w14:textId="77777777" w:rsidR="00A95C2D" w:rsidRPr="00BF3994" w:rsidRDefault="00391AE8" w:rsidP="00EA765C">
      <w:r w:rsidRPr="00BF3994">
        <w:t>Inoltre</w:t>
      </w:r>
      <w:r w:rsidR="00982D40" w:rsidRPr="00BF3994">
        <w:t>,</w:t>
      </w:r>
      <w:r w:rsidRPr="00BF3994">
        <w:t xml:space="preserve"> nel</w:t>
      </w:r>
      <w:r w:rsidR="007E7FA8" w:rsidRPr="00BF3994">
        <w:t xml:space="preserve"> RAV </w:t>
      </w:r>
      <w:r w:rsidRPr="00BF3994">
        <w:t>sono riportati</w:t>
      </w:r>
      <w:r w:rsidR="007E7FA8" w:rsidRPr="00BF3994">
        <w:t xml:space="preserve"> </w:t>
      </w:r>
      <w:r w:rsidR="000E3AC2" w:rsidRPr="00BF3994">
        <w:t xml:space="preserve">i risultati di </w:t>
      </w:r>
      <w:r w:rsidR="007E7FA8" w:rsidRPr="00BF3994">
        <w:t>due casi studio</w:t>
      </w:r>
      <w:r w:rsidRPr="00BF3994">
        <w:t xml:space="preserve"> riguardanti </w:t>
      </w:r>
      <w:r w:rsidR="00FA5247" w:rsidRPr="00BF3994">
        <w:t>i</w:t>
      </w:r>
      <w:r w:rsidRPr="00BF3994">
        <w:t xml:space="preserve"> bandi </w:t>
      </w:r>
      <w:r w:rsidR="00FA5247" w:rsidRPr="00BF3994">
        <w:t>“Al via – agevolazioni lombarde per la valorizzazione degli investimenti aziendali” e “Linea controgaranzie”. I casi</w:t>
      </w:r>
      <w:r w:rsidR="00A95C2D" w:rsidRPr="00BF3994">
        <w:t xml:space="preserve"> studio hanno l’obiettivo di:</w:t>
      </w:r>
    </w:p>
    <w:p w14:paraId="2478DDC3" w14:textId="77777777" w:rsidR="00A95C2D" w:rsidRPr="00BF3994" w:rsidRDefault="00A95C2D" w:rsidP="00FA19E0">
      <w:pPr>
        <w:pStyle w:val="Paragrafoelenco"/>
        <w:numPr>
          <w:ilvl w:val="0"/>
          <w:numId w:val="53"/>
        </w:numPr>
      </w:pPr>
      <w:r w:rsidRPr="00BF3994">
        <w:t>Identificare gli impatti e</w:t>
      </w:r>
      <w:r w:rsidR="00FA5247" w:rsidRPr="00BF3994">
        <w:t xml:space="preserve"> gli</w:t>
      </w:r>
      <w:r w:rsidRPr="00BF3994">
        <w:t xml:space="preserve"> effetti del</w:t>
      </w:r>
      <w:r w:rsidR="00FB7B85" w:rsidRPr="00BF3994">
        <w:t>le agevolazioni</w:t>
      </w:r>
      <w:r w:rsidRPr="00BF3994">
        <w:t xml:space="preserve"> sulle attività imprenditoriali e le relative ricadute economiche </w:t>
      </w:r>
      <w:r w:rsidR="00FB7B85" w:rsidRPr="00BF3994">
        <w:t>così come</w:t>
      </w:r>
      <w:r w:rsidRPr="00BF3994">
        <w:t xml:space="preserve"> sul miglioramento dell’accesso al credito per le PMI;</w:t>
      </w:r>
    </w:p>
    <w:p w14:paraId="4BE054C9" w14:textId="77777777" w:rsidR="00A95C2D" w:rsidRPr="00BF3994" w:rsidRDefault="00A95C2D" w:rsidP="00FA19E0">
      <w:pPr>
        <w:pStyle w:val="Paragrafoelenco"/>
        <w:numPr>
          <w:ilvl w:val="0"/>
          <w:numId w:val="53"/>
        </w:numPr>
      </w:pPr>
      <w:r w:rsidRPr="00BF3994">
        <w:t xml:space="preserve">Individuare gli ambiti di miglioramento nelle procedure amministrative per la presentazione e gestione dei progetti; </w:t>
      </w:r>
    </w:p>
    <w:p w14:paraId="78217FC7" w14:textId="77777777" w:rsidR="00391AE8" w:rsidRPr="00BF3994" w:rsidRDefault="00A95C2D" w:rsidP="00FA19E0">
      <w:pPr>
        <w:pStyle w:val="Paragrafoelenco"/>
        <w:numPr>
          <w:ilvl w:val="0"/>
          <w:numId w:val="53"/>
        </w:numPr>
      </w:pPr>
      <w:r w:rsidRPr="00BF3994">
        <w:t xml:space="preserve">Rilevare gli effetti della pandemia sulle imprese beneficiarie. </w:t>
      </w:r>
    </w:p>
    <w:p w14:paraId="382FF08D" w14:textId="77777777" w:rsidR="00D43DB9" w:rsidRDefault="00D43DB9" w:rsidP="00EA765C"/>
    <w:p w14:paraId="222C236C" w14:textId="3377DA8B" w:rsidR="00A76164" w:rsidRDefault="00A95C2D" w:rsidP="00EA765C">
      <w:r w:rsidRPr="00BF3994">
        <w:t xml:space="preserve">Le </w:t>
      </w:r>
      <w:r w:rsidR="008A28D4" w:rsidRPr="00BF3994">
        <w:t xml:space="preserve">informazioni alla base </w:t>
      </w:r>
      <w:r w:rsidR="00D43DB9">
        <w:t xml:space="preserve">del RAV </w:t>
      </w:r>
      <w:r w:rsidR="008A28D4" w:rsidRPr="00BF3994">
        <w:t xml:space="preserve">sono state </w:t>
      </w:r>
      <w:r w:rsidR="000E3AC2" w:rsidRPr="00BF3994">
        <w:t xml:space="preserve">raccolte </w:t>
      </w:r>
      <w:r w:rsidR="008A28D4" w:rsidRPr="00BF3994">
        <w:t xml:space="preserve">attraverso </w:t>
      </w:r>
      <w:r w:rsidR="000E3AC2" w:rsidRPr="00BF3994">
        <w:t xml:space="preserve">una </w:t>
      </w:r>
      <w:r w:rsidR="008A28D4" w:rsidRPr="00BF3994">
        <w:t>analisi di documenti</w:t>
      </w:r>
      <w:r w:rsidR="00FA5247" w:rsidRPr="00BF3994">
        <w:t xml:space="preserve"> </w:t>
      </w:r>
      <w:r w:rsidR="000E3AC2" w:rsidRPr="00BF3994">
        <w:t xml:space="preserve">rilevanti </w:t>
      </w:r>
      <w:r w:rsidR="00FA5247" w:rsidRPr="00BF3994">
        <w:t>e un</w:t>
      </w:r>
      <w:r w:rsidR="008A28D4" w:rsidRPr="00BF3994">
        <w:t xml:space="preserve"> questionario destinato a</w:t>
      </w:r>
      <w:r w:rsidR="00FA5247" w:rsidRPr="00BF3994">
        <w:t xml:space="preserve"> un campione di</w:t>
      </w:r>
      <w:r w:rsidR="008A28D4" w:rsidRPr="00BF3994">
        <w:t xml:space="preserve"> beneficiari</w:t>
      </w:r>
      <w:r w:rsidR="00A76164">
        <w:t>:</w:t>
      </w:r>
    </w:p>
    <w:p w14:paraId="1257A3AE" w14:textId="77777777" w:rsidR="00D45E79" w:rsidRDefault="00B2067C" w:rsidP="00825203">
      <w:pPr>
        <w:pStyle w:val="Paragrafoelenco"/>
        <w:numPr>
          <w:ilvl w:val="0"/>
          <w:numId w:val="59"/>
        </w:numPr>
      </w:pPr>
      <w:r>
        <w:t xml:space="preserve">82 aziende che hanno completato le attività nel caso di “Al via”; </w:t>
      </w:r>
    </w:p>
    <w:p w14:paraId="472EFB97" w14:textId="77777777" w:rsidR="00D45E79" w:rsidRDefault="00D43DB9" w:rsidP="00825203">
      <w:pPr>
        <w:pStyle w:val="Paragrafoelenco"/>
        <w:numPr>
          <w:ilvl w:val="0"/>
          <w:numId w:val="59"/>
        </w:numPr>
      </w:pPr>
      <w:r>
        <w:t xml:space="preserve">36 rispondenti rispetto agli avvisi </w:t>
      </w:r>
      <w:r w:rsidR="00A76164">
        <w:t>S</w:t>
      </w:r>
      <w:r w:rsidRPr="00D43DB9">
        <w:t xml:space="preserve">viluppo di prodotti e servizi integrati per la valorizzazione degli attrattori turistico-culturali e naturali della Lombardia e </w:t>
      </w:r>
      <w:r w:rsidR="00A76164">
        <w:t>V</w:t>
      </w:r>
      <w:r w:rsidRPr="00D43DB9">
        <w:t>alorizzazione turistico-culturale della Lombardia</w:t>
      </w:r>
      <w:r>
        <w:t xml:space="preserve">; </w:t>
      </w:r>
    </w:p>
    <w:p w14:paraId="70769E3A" w14:textId="77777777" w:rsidR="00D45E79" w:rsidRDefault="00D43DB9" w:rsidP="00825203">
      <w:pPr>
        <w:pStyle w:val="Paragrafoelenco"/>
        <w:numPr>
          <w:ilvl w:val="0"/>
          <w:numId w:val="59"/>
        </w:numPr>
      </w:pPr>
      <w:r>
        <w:t>10 imprese beneficiarie della l</w:t>
      </w:r>
      <w:r w:rsidRPr="00D43DB9">
        <w:t>inea Intraprendo</w:t>
      </w:r>
      <w:r>
        <w:t>,</w:t>
      </w:r>
      <w:r w:rsidRPr="00D43DB9">
        <w:t xml:space="preserve"> </w:t>
      </w:r>
      <w:r>
        <w:t>i</w:t>
      </w:r>
      <w:r w:rsidRPr="00D43DB9">
        <w:t>nterventi di supporto alla nascita di nuove imprese</w:t>
      </w:r>
      <w:r>
        <w:t>;</w:t>
      </w:r>
      <w:r w:rsidRPr="00D43DB9">
        <w:t xml:space="preserve"> </w:t>
      </w:r>
    </w:p>
    <w:p w14:paraId="11A11720" w14:textId="77777777" w:rsidR="00D45E79" w:rsidRDefault="00B2067C" w:rsidP="00825203">
      <w:pPr>
        <w:pStyle w:val="Paragrafoelenco"/>
        <w:numPr>
          <w:ilvl w:val="0"/>
          <w:numId w:val="59"/>
        </w:numPr>
      </w:pPr>
      <w:r>
        <w:t>9 realtà che hanno concluso il progetto o sono in chiusura nel caso della “Linea controgaranzie”)</w:t>
      </w:r>
      <w:r w:rsidR="008A28D4" w:rsidRPr="00BF3994">
        <w:t xml:space="preserve">. </w:t>
      </w:r>
    </w:p>
    <w:p w14:paraId="6C00EA6F" w14:textId="77777777" w:rsidR="00A95C2D" w:rsidRPr="00BF3994" w:rsidRDefault="008A28D4" w:rsidP="00EA765C">
      <w:r w:rsidRPr="00BF3994">
        <w:t>Inoltre</w:t>
      </w:r>
      <w:r w:rsidR="00FA5247" w:rsidRPr="00BF3994">
        <w:t>,</w:t>
      </w:r>
      <w:r w:rsidRPr="00BF3994">
        <w:t xml:space="preserve"> per </w:t>
      </w:r>
      <w:r w:rsidR="00FA5247" w:rsidRPr="00BF3994">
        <w:t xml:space="preserve">quanto </w:t>
      </w:r>
      <w:r w:rsidRPr="00BF3994">
        <w:t xml:space="preserve">riguarda la </w:t>
      </w:r>
      <w:r w:rsidR="00FA5247" w:rsidRPr="00BF3994">
        <w:t>“L</w:t>
      </w:r>
      <w:r w:rsidRPr="00BF3994">
        <w:t>inea controgaranzie</w:t>
      </w:r>
      <w:r w:rsidR="00FA5247" w:rsidRPr="00BF3994">
        <w:t>”,</w:t>
      </w:r>
      <w:r w:rsidRPr="00BF3994">
        <w:t xml:space="preserve"> sono state condotte interviste </w:t>
      </w:r>
      <w:r w:rsidR="003F7AA6" w:rsidRPr="00BF3994">
        <w:t>con i</w:t>
      </w:r>
      <w:r w:rsidRPr="00BF3994">
        <w:t xml:space="preserve"> referenti di Finlombarda e </w:t>
      </w:r>
      <w:r w:rsidR="00207BA1" w:rsidRPr="00BF3994">
        <w:t>de</w:t>
      </w:r>
      <w:r w:rsidRPr="00BF3994">
        <w:t>i tre confidi coinvolti nell’intervento.</w:t>
      </w:r>
    </w:p>
    <w:p w14:paraId="7A2E8CEC" w14:textId="77777777" w:rsidR="00282A60" w:rsidRDefault="00282A60" w:rsidP="007A44A9">
      <w:pPr>
        <w:jc w:val="left"/>
      </w:pPr>
    </w:p>
    <w:p w14:paraId="66E12973" w14:textId="77777777" w:rsidR="00BF3994" w:rsidRPr="00BF3994" w:rsidRDefault="0049154A" w:rsidP="00BF3994">
      <w:pPr>
        <w:pStyle w:val="Titolo4"/>
      </w:pPr>
      <w:r w:rsidRPr="00BF3994">
        <w:t>Risultati della valutazione degli interventi per la creazione e lo sviluppo delle imprese</w:t>
      </w:r>
    </w:p>
    <w:p w14:paraId="67001A62" w14:textId="77777777" w:rsidR="003D5996" w:rsidRDefault="00F52E1D" w:rsidP="00FB0990">
      <w:pPr>
        <w:pStyle w:val="Titolo5"/>
      </w:pPr>
      <w:r w:rsidRPr="00BF3994">
        <w:t>Creazione di nuova impresa</w:t>
      </w:r>
      <w:r w:rsidR="00516F2F" w:rsidRPr="00BF3994">
        <w:t xml:space="preserve"> e consolidamento</w:t>
      </w:r>
      <w:r w:rsidR="000E3AC2" w:rsidRPr="00BF3994">
        <w:t xml:space="preserve"> delle esistenti</w:t>
      </w:r>
    </w:p>
    <w:p w14:paraId="0A011A3D" w14:textId="77777777" w:rsidR="00BF3994" w:rsidRPr="00BF3994" w:rsidRDefault="00BF3994" w:rsidP="00BF3994"/>
    <w:p w14:paraId="67585A91" w14:textId="77777777" w:rsidR="00470C19" w:rsidRDefault="000E3AC2" w:rsidP="00470C19">
      <w:r>
        <w:t xml:space="preserve">Il sostegno all’imprenditorialità inteso come </w:t>
      </w:r>
      <w:r w:rsidR="00470C19">
        <w:t xml:space="preserve">creazione di nuove imprese </w:t>
      </w:r>
      <w:r>
        <w:t xml:space="preserve">e consolidamento delle imprese esistenti rappresenta </w:t>
      </w:r>
      <w:r w:rsidR="00470C19">
        <w:t xml:space="preserve">uno dei pilastri del POR FESR. Di conseguenza molte </w:t>
      </w:r>
      <w:r w:rsidR="00EA765C">
        <w:t>misure</w:t>
      </w:r>
      <w:r w:rsidR="00470C19">
        <w:t xml:space="preserve"> sono state </w:t>
      </w:r>
      <w:r w:rsidR="00EA765C">
        <w:t xml:space="preserve">destinate </w:t>
      </w:r>
      <w:r w:rsidR="00470C19">
        <w:t>al supporto alla creazione e consolidamento di nuove realtà imprenditoriali nel territorio. Il RAV 2020 riporta la valutazione del bando “Intraprendo”, la principale misura</w:t>
      </w:r>
      <w:r w:rsidR="00BE37B6">
        <w:t xml:space="preserve"> a supporto delle nuove realtà imprenditoriali</w:t>
      </w:r>
      <w:r w:rsidR="003F7AA6">
        <w:t>.</w:t>
      </w:r>
    </w:p>
    <w:p w14:paraId="439766A9" w14:textId="77777777" w:rsidR="00BE37B6" w:rsidRDefault="00BE37B6" w:rsidP="00470C19"/>
    <w:p w14:paraId="224A3025" w14:textId="77777777" w:rsidR="00BE37B6" w:rsidRDefault="005242CC" w:rsidP="00470C19">
      <w:r>
        <w:t xml:space="preserve">I beneficiari </w:t>
      </w:r>
      <w:r w:rsidR="003F7AA6">
        <w:t xml:space="preserve">del bando </w:t>
      </w:r>
      <w:r>
        <w:t>sono principalmente micro e piccole imprese che</w:t>
      </w:r>
      <w:r w:rsidR="00265BA0">
        <w:t xml:space="preserve"> risiedono nei maggiori centri urbani della regione: provincia di Milano, Bergamo e Brescia. </w:t>
      </w:r>
      <w:r w:rsidR="00BE37B6">
        <w:t>La valutazione si basa su un’indagine relativa ad un campione di 11 beneficiari di progetti conclusi entro il 2020</w:t>
      </w:r>
      <w:r w:rsidR="003F7AA6">
        <w:t>,</w:t>
      </w:r>
      <w:r w:rsidR="00BE37B6">
        <w:t xml:space="preserve"> rappresentato in maggior parte da imprese con meno di 24 mesi di attività e imprese a prevalenza giovanile (&lt;35 anni). Le imprese operano sia nel settore manufatturiero che dei servizi e il 40% di esse in aree collegate alla S3 (</w:t>
      </w:r>
      <w:r w:rsidR="00BE37B6" w:rsidRPr="00BE37B6">
        <w:t>industrie creative e culturali; manifatturiero avanzato e mobilità sostenibile</w:t>
      </w:r>
      <w:r w:rsidR="00BE37B6">
        <w:t>).</w:t>
      </w:r>
    </w:p>
    <w:p w14:paraId="1325D19D" w14:textId="77777777" w:rsidR="00BE37B6" w:rsidRDefault="00BE37B6" w:rsidP="00470C19"/>
    <w:p w14:paraId="2CE7232B" w14:textId="77777777" w:rsidR="00BE37B6" w:rsidRDefault="00BE37B6" w:rsidP="00470C19">
      <w:r>
        <w:t>L’agevolazione è stata valutata positivamente da</w:t>
      </w:r>
      <w:r w:rsidR="00D443AA">
        <w:t>i rispondenti</w:t>
      </w:r>
      <w:r w:rsidR="000E3AC2">
        <w:t>.</w:t>
      </w:r>
      <w:r w:rsidR="003F7AA6">
        <w:t xml:space="preserve"> </w:t>
      </w:r>
      <w:r w:rsidR="000E3AC2">
        <w:t xml:space="preserve">Questi, </w:t>
      </w:r>
      <w:r w:rsidR="003F7AA6">
        <w:t>in</w:t>
      </w:r>
      <w:r w:rsidR="00D443AA">
        <w:t xml:space="preserve"> assenza dell’agevolazione</w:t>
      </w:r>
      <w:r w:rsidR="000E3AC2">
        <w:t>,</w:t>
      </w:r>
      <w:r w:rsidR="00D443AA">
        <w:t xml:space="preserve"> avrebbero comunque sostenuto l’investimento in quanto necessario all’avvio dell’impresa, ma a condizioni peggiori o in tempi più lunghi</w:t>
      </w:r>
      <w:r w:rsidR="002C2651">
        <w:t>,</w:t>
      </w:r>
      <w:r w:rsidR="00D443AA">
        <w:t xml:space="preserve"> </w:t>
      </w:r>
      <w:r w:rsidR="002C2651">
        <w:t>con una ricaduta minore</w:t>
      </w:r>
      <w:r w:rsidR="007E4F51">
        <w:t>, a loro giudizio,</w:t>
      </w:r>
      <w:r w:rsidR="002C2651">
        <w:t xml:space="preserve"> </w:t>
      </w:r>
      <w:r w:rsidR="00D443AA">
        <w:t xml:space="preserve">sull’attività economica dell’impresa. L’agevolazione ha infatti ridotto l’esposizione finanziaria e il costo degli investimenti; consentito l’acquisto di attrezzature volte alla creazione, miglioramento e differenziazione dei prodotti/servizi </w:t>
      </w:r>
      <w:r w:rsidR="008101AE">
        <w:t>offerti da</w:t>
      </w:r>
      <w:r w:rsidR="00D443AA">
        <w:t>ll’azienda</w:t>
      </w:r>
      <w:r w:rsidR="006B0371">
        <w:t>,</w:t>
      </w:r>
      <w:r w:rsidR="00D443AA">
        <w:t xml:space="preserve"> con conseguenti effetti positivi sulla crescita del fatturato e del personale. </w:t>
      </w:r>
      <w:r w:rsidR="00265BA0">
        <w:t xml:space="preserve">Tuttavia, vista l’entità degli investimenti, al termine del progetto le aziende </w:t>
      </w:r>
      <w:r w:rsidR="005242CC">
        <w:t xml:space="preserve">hanno avuto necessità di reperire nuovi finanziamenti. </w:t>
      </w:r>
    </w:p>
    <w:p w14:paraId="3A3CE5C3" w14:textId="77777777" w:rsidR="005242CC" w:rsidRDefault="005242CC" w:rsidP="00470C19"/>
    <w:p w14:paraId="4D474C12" w14:textId="77777777" w:rsidR="00BB0746" w:rsidRDefault="005242CC" w:rsidP="00470C19">
      <w:r>
        <w:t>I rispondenti hanno riscontrato punti di debolezza nella gestione amministrativo</w:t>
      </w:r>
      <w:r w:rsidR="007E4F51">
        <w:t>-</w:t>
      </w:r>
      <w:r>
        <w:t>procedurale e lentezza nei tempi di risposta della Regione nelle varie fasi del progetto. Inoltre, le piccole e micro imprese hanno riscontrato notevoli difficoltà nella presentazione, gestione e rendicontazione dei progetti</w:t>
      </w:r>
      <w:r w:rsidR="00BB0746">
        <w:t xml:space="preserve"> ed espresso la necessità di avere più contributi a fondo perduto</w:t>
      </w:r>
      <w:r>
        <w:t>.</w:t>
      </w:r>
      <w:r w:rsidR="00BB0746">
        <w:t xml:space="preserve"> Per cercare di rispondere alle debolezze riscontrate e assecondare le necessità delle imprese, la Regione ha pubblicato nel 2019, il bando </w:t>
      </w:r>
      <w:r w:rsidR="00A07CDF">
        <w:t>“</w:t>
      </w:r>
      <w:r w:rsidR="00BB0746">
        <w:t>Archè</w:t>
      </w:r>
      <w:r w:rsidR="00A07CDF">
        <w:t>”</w:t>
      </w:r>
      <w:r w:rsidR="00BB0746">
        <w:t xml:space="preserve"> che si configura come un contributo a fondo perduto. La valutazione di quest</w:t>
      </w:r>
      <w:r w:rsidR="00112A15">
        <w:t>’</w:t>
      </w:r>
      <w:r w:rsidR="00BB0746">
        <w:t>ultimo sarà rilevante per comprendere come e in che misura le modifiche apportate abbiano risolto le problematiche riscontrate nel bando “Intraprendo” e come si possa integrare questa misura nella programmazione 2021-2027 in maniera ancora più efficiente.</w:t>
      </w:r>
    </w:p>
    <w:p w14:paraId="433E2D66" w14:textId="77777777" w:rsidR="00BE37B6" w:rsidRPr="00470C19" w:rsidRDefault="00BE37B6" w:rsidP="00470C19"/>
    <w:p w14:paraId="43607A3F" w14:textId="77777777" w:rsidR="00F52E1D" w:rsidRDefault="00F52E1D" w:rsidP="00FB0990">
      <w:pPr>
        <w:pStyle w:val="Titolo5"/>
      </w:pPr>
      <w:r w:rsidRPr="00F52E1D">
        <w:t>Sostegno e rilancio</w:t>
      </w:r>
      <w:r w:rsidR="003A7CB7">
        <w:t xml:space="preserve"> della</w:t>
      </w:r>
      <w:r w:rsidRPr="00F52E1D">
        <w:t xml:space="preserve"> competitività </w:t>
      </w:r>
      <w:r w:rsidR="00EC5907">
        <w:t xml:space="preserve">delle </w:t>
      </w:r>
      <w:r w:rsidRPr="00F52E1D">
        <w:t>imprese</w:t>
      </w:r>
    </w:p>
    <w:p w14:paraId="673E94B5" w14:textId="77777777" w:rsidR="00BF3994" w:rsidRPr="00BF3994" w:rsidRDefault="00BF3994" w:rsidP="00BF3994"/>
    <w:p w14:paraId="66DBCB14" w14:textId="77777777" w:rsidR="009767D9" w:rsidRDefault="00E70579" w:rsidP="00EC5907">
      <w:pPr>
        <w:pStyle w:val="Titolo6"/>
      </w:pPr>
      <w:r>
        <w:t>Sostegno all’internazionalizzazione delle imprese</w:t>
      </w:r>
    </w:p>
    <w:p w14:paraId="190AAA9D" w14:textId="77777777" w:rsidR="00F100FA" w:rsidRDefault="002328E6" w:rsidP="002328E6">
      <w:r>
        <w:t xml:space="preserve">Le azioni a sostegno dell’internazionalizzazione </w:t>
      </w:r>
      <w:r w:rsidR="008101AE">
        <w:t>risultano</w:t>
      </w:r>
      <w:r>
        <w:t xml:space="preserve"> molto rilevanti per lo sviluppo e la competitività, specialmente delle piccole imprese</w:t>
      </w:r>
      <w:r w:rsidR="00F100FA">
        <w:t xml:space="preserve">, in quanto </w:t>
      </w:r>
      <w:r w:rsidR="00112A15">
        <w:t>facilitano la penetrazione di</w:t>
      </w:r>
      <w:r w:rsidR="00F100FA">
        <w:t xml:space="preserve"> nuovi mercati e </w:t>
      </w:r>
      <w:r w:rsidR="00112A15">
        <w:t>l’acquisizione di</w:t>
      </w:r>
      <w:r w:rsidR="00F100FA">
        <w:t xml:space="preserve"> nuovi clienti. Nel RAV viene riportata una prima valutazione del bando “Linea </w:t>
      </w:r>
      <w:r w:rsidR="0045184A">
        <w:t>i</w:t>
      </w:r>
      <w:r w:rsidR="00F100FA">
        <w:t>nternazionalizzazione”.</w:t>
      </w:r>
    </w:p>
    <w:p w14:paraId="49401589" w14:textId="77777777" w:rsidR="00F100FA" w:rsidRDefault="00F100FA" w:rsidP="002328E6"/>
    <w:p w14:paraId="3A871411" w14:textId="77777777" w:rsidR="00F100FA" w:rsidRDefault="00F100FA" w:rsidP="002328E6">
      <w:r>
        <w:t>I beneficiari sono principalmente rappresentati da piccole e medie imprese già consolidate che risiedono nei maggiori centri urbani della regione: provincia di Milano, Bergamo e Brescia, che non avrebbero altrimenti gli strumenti necessari per sviluppare o consolidare la propria presenza in mercati esteri.</w:t>
      </w:r>
    </w:p>
    <w:p w14:paraId="6B19AE35" w14:textId="77777777" w:rsidR="00F100FA" w:rsidRDefault="00F100FA" w:rsidP="002328E6"/>
    <w:p w14:paraId="533D25E2" w14:textId="77777777" w:rsidR="00F100FA" w:rsidRDefault="007D59FA" w:rsidP="002328E6">
      <w:r>
        <w:t>La misura ha riscontrato molteplici criticità, risultando poco attraente per le imprese sotto vari punti di vista</w:t>
      </w:r>
      <w:r w:rsidR="0045184A">
        <w:t>: l</w:t>
      </w:r>
      <w:r>
        <w:t>a metodologia utilizzata per valutare l’ammissibilità delle imprese risulta troppo restrittiva; la non finanziabilità di interventi diretti all’export</w:t>
      </w:r>
      <w:r w:rsidR="0045184A">
        <w:t xml:space="preserve"> diminuisce l’attrattività del bando; le agevolazioni finanziarie risultano poco attraenti. Inoltre, è bene sottolineare che la pandemia da COVID</w:t>
      </w:r>
      <w:r w:rsidR="003355AC">
        <w:t>-</w:t>
      </w:r>
      <w:r w:rsidR="0045184A">
        <w:t>19, a causa delle restrizioni relative a viaggi e manifestazioni fieristiche, ha fortemente influito sull’implementazione del bando. Per rispondere a queste problematiche la regione ha lanciato il bando “Linea internazionalizzazione plus” introducendo modalità di partecipazione ad eventi internazionali attraverso piattaforme online e contributi a fondo perduto per le imprese. Sarà necessario valutare questa misura alla conclusione dei progetti anche in vista di una possibile inclusione della misura, anche in forma rivista, nella programmazione 2021-2027.</w:t>
      </w:r>
    </w:p>
    <w:p w14:paraId="6BE3280A" w14:textId="77777777" w:rsidR="007E4F51" w:rsidRDefault="007E4F51" w:rsidP="002328E6"/>
    <w:p w14:paraId="0483F8C7" w14:textId="77777777" w:rsidR="00F52E1D" w:rsidRDefault="00F52E1D" w:rsidP="00EC5907">
      <w:pPr>
        <w:pStyle w:val="Titolo6"/>
      </w:pPr>
      <w:r>
        <w:t>Settore turistico</w:t>
      </w:r>
    </w:p>
    <w:p w14:paraId="55EBA88F" w14:textId="3617EF67" w:rsidR="003A7CB7" w:rsidRDefault="003A7CB7" w:rsidP="003A7CB7">
      <w:r>
        <w:t>Regione Lombardia ha finanziato molteplici bandi volti al sostegno e al rilancio della competitività delle imprese operanti nel settore del turismo. Il RAV riporta una valutazione delle seguenti misure</w:t>
      </w:r>
      <w:r w:rsidR="008101AE">
        <w:t>:</w:t>
      </w:r>
      <w:r>
        <w:t xml:space="preserve"> </w:t>
      </w:r>
      <w:r w:rsidR="00B2067C" w:rsidRPr="001422DB">
        <w:rPr>
          <w:color w:val="000000" w:themeColor="text1"/>
        </w:rPr>
        <w:t>l’“Avviso pubblico per lo sviluppo di prodotti e servizi integrati per la valorizzazione degli attrattori turistico –culturali e naturali della Lombardia” (Attrattori 1)</w:t>
      </w:r>
      <w:r w:rsidR="00B2067C">
        <w:rPr>
          <w:color w:val="000000" w:themeColor="text1"/>
        </w:rPr>
        <w:t>,</w:t>
      </w:r>
      <w:r w:rsidR="00B2067C" w:rsidRPr="001422DB">
        <w:rPr>
          <w:color w:val="000000" w:themeColor="text1"/>
        </w:rPr>
        <w:t xml:space="preserve"> l’“Avviso pubblico per la valorizzazione turistico-culturale della Lombardia” (Attrattori 2)</w:t>
      </w:r>
      <w:r w:rsidR="00B2067C">
        <w:rPr>
          <w:color w:val="000000" w:themeColor="text1"/>
        </w:rPr>
        <w:t xml:space="preserve"> </w:t>
      </w:r>
      <w:r>
        <w:t>e i principali risultati della valutazione condotta da Regione Lombardia e Polis Lombardia sull’Avviso “Turismo e Attrattività”</w:t>
      </w:r>
      <w:r w:rsidR="008101AE">
        <w:t>.</w:t>
      </w:r>
    </w:p>
    <w:p w14:paraId="4CAE4D9D" w14:textId="77777777" w:rsidR="00977744" w:rsidRDefault="00977744" w:rsidP="003A7CB7"/>
    <w:p w14:paraId="55E46DCE" w14:textId="50FB33BC" w:rsidR="00977744" w:rsidRDefault="00B2067C" w:rsidP="003A7CB7">
      <w:r>
        <w:t>I bandi “Attrattori 1” e “Attrattori 2”sono</w:t>
      </w:r>
      <w:r w:rsidR="008101AE">
        <w:t xml:space="preserve"> finalizzat</w:t>
      </w:r>
      <w:r>
        <w:t>i</w:t>
      </w:r>
      <w:r w:rsidR="008101AE">
        <w:t xml:space="preserve"> al</w:t>
      </w:r>
      <w:r w:rsidR="00977744">
        <w:t>la messa in rete e aggregazione di imprese commerciali, turistiche, creative e culturali del territorio. La valutazione è stata condotta tramite una survey online indirizzata ai beneficiari.</w:t>
      </w:r>
    </w:p>
    <w:p w14:paraId="375555A6" w14:textId="77777777" w:rsidR="00977744" w:rsidRDefault="00977744" w:rsidP="003A7CB7"/>
    <w:p w14:paraId="5FC384AA" w14:textId="4597F417" w:rsidR="00977744" w:rsidRDefault="00977744" w:rsidP="003A7CB7">
      <w:r>
        <w:t>I band</w:t>
      </w:r>
      <w:r w:rsidR="00B2067C">
        <w:t>i</w:t>
      </w:r>
      <w:r>
        <w:t xml:space="preserve"> ha</w:t>
      </w:r>
      <w:r w:rsidR="00B2067C">
        <w:t>nno</w:t>
      </w:r>
      <w:r>
        <w:t xml:space="preserve"> avuto un effetto positivo sull’attività economica dei beneficiari</w:t>
      </w:r>
      <w:r w:rsidR="00DA63DC">
        <w:t>. Per esempio,</w:t>
      </w:r>
      <w:r w:rsidR="00A4200D">
        <w:t xml:space="preserve"> </w:t>
      </w:r>
      <w:r w:rsidR="00592E8C">
        <w:t>l’impatto del progetto sul fatturato è valutat</w:t>
      </w:r>
      <w:r w:rsidR="00A4200D">
        <w:t>o</w:t>
      </w:r>
      <w:r w:rsidR="00592E8C">
        <w:t xml:space="preserve"> positivamente dal 79% dei rispondenti (su un totale di 34</w:t>
      </w:r>
      <w:r w:rsidR="0001064C">
        <w:t xml:space="preserve"> partecipanti ad Attrattori 1 e Attrattori 2</w:t>
      </w:r>
      <w:r w:rsidR="00592E8C">
        <w:t>).</w:t>
      </w:r>
      <w:r w:rsidR="00187D48">
        <w:t xml:space="preserve"> </w:t>
      </w:r>
      <w:r w:rsidR="00A4200D">
        <w:t xml:space="preserve">Sempre per il 79% dei beneficiari sentiti attraverso la survey, </w:t>
      </w:r>
      <w:r w:rsidR="00A4200D" w:rsidRPr="001E75C4">
        <w:rPr>
          <w:rFonts w:eastAsia="Liberation Sans" w:cstheme="minorHAnsi"/>
        </w:rPr>
        <w:t>senza il finanziamento ottenuto grazie a</w:t>
      </w:r>
      <w:r w:rsidR="0001064C">
        <w:rPr>
          <w:rFonts w:eastAsia="Liberation Sans" w:cstheme="minorHAnsi"/>
        </w:rPr>
        <w:t>gli avvisi</w:t>
      </w:r>
      <w:r w:rsidR="00A4200D">
        <w:rPr>
          <w:rFonts w:eastAsia="Liberation Sans" w:cstheme="minorHAnsi"/>
        </w:rPr>
        <w:t xml:space="preserve">, </w:t>
      </w:r>
      <w:r w:rsidR="00A4200D" w:rsidRPr="001E75C4">
        <w:rPr>
          <w:rFonts w:eastAsia="Liberation Sans" w:cstheme="minorHAnsi"/>
        </w:rPr>
        <w:t xml:space="preserve">non </w:t>
      </w:r>
      <w:r w:rsidR="00A4200D">
        <w:rPr>
          <w:rFonts w:eastAsia="Liberation Sans" w:cstheme="minorHAnsi"/>
        </w:rPr>
        <w:t xml:space="preserve">vi sarebbe stato alcuno investimento autonomo finalizzato a </w:t>
      </w:r>
      <w:r w:rsidR="00A4200D" w:rsidRPr="001E75C4">
        <w:rPr>
          <w:rFonts w:eastAsia="Liberation Sans" w:cstheme="minorHAnsi"/>
        </w:rPr>
        <w:t xml:space="preserve">migliorare/rafforzare la propria attività. </w:t>
      </w:r>
      <w:r w:rsidR="00187D48">
        <w:t xml:space="preserve">Per un 31%, </w:t>
      </w:r>
      <w:r>
        <w:t>in assenza del finanziamento</w:t>
      </w:r>
      <w:r w:rsidR="00187D48">
        <w:t xml:space="preserve">, gli investimenti non sarebbero stati </w:t>
      </w:r>
      <w:r>
        <w:t>intrapres</w:t>
      </w:r>
      <w:r w:rsidR="00187D48">
        <w:t>i mentre per gli altri, che avrebbero comunque realizzato le attività anche se in autonomia, i tempi di realizzazione sarebbero stati più lunghi e con importi più limitati.</w:t>
      </w:r>
      <w:r>
        <w:t>. Il finanziamento ha consentito lo sviluppo di nuovi prodotti e servizi innovativ</w:t>
      </w:r>
      <w:r w:rsidR="007E4F51">
        <w:t>i</w:t>
      </w:r>
      <w:r>
        <w:t xml:space="preserve"> e </w:t>
      </w:r>
      <w:r w:rsidR="003049F4">
        <w:t xml:space="preserve">la creazione </w:t>
      </w:r>
      <w:r w:rsidR="00301C97">
        <w:t xml:space="preserve">di </w:t>
      </w:r>
      <w:r>
        <w:t xml:space="preserve">partnership tra vari attori economici </w:t>
      </w:r>
      <w:r w:rsidR="003049F4">
        <w:t xml:space="preserve">e culturali </w:t>
      </w:r>
      <w:r>
        <w:t>del territorio</w:t>
      </w:r>
      <w:r w:rsidR="00301C97">
        <w:t xml:space="preserve"> </w:t>
      </w:r>
      <w:r w:rsidR="003049F4">
        <w:t>generando</w:t>
      </w:r>
      <w:r w:rsidR="00301C97">
        <w:t xml:space="preserve"> effetti positivi sul fatturato, aumento del personale e la possibilità di impostare una programmazione sul lungo periodo generalmente difficile nel settore turistico/culturale.</w:t>
      </w:r>
      <w:r w:rsidR="003063A3">
        <w:t xml:space="preserve"> Tuttavia, </w:t>
      </w:r>
      <w:r w:rsidR="0001064C">
        <w:t xml:space="preserve">i bandi </w:t>
      </w:r>
      <w:r w:rsidR="003063A3">
        <w:t>ha</w:t>
      </w:r>
      <w:r w:rsidR="0001064C">
        <w:t>nno</w:t>
      </w:r>
      <w:r w:rsidR="007E4F51">
        <w:t xml:space="preserve"> evidenziato anche alcune debolezze</w:t>
      </w:r>
      <w:r w:rsidR="003063A3">
        <w:t xml:space="preserve">. I partecipanti alla survey riportano, infatti, difficoltà nella gestione e rendicontazione dei </w:t>
      </w:r>
      <w:r w:rsidR="000361C4">
        <w:t>progetti</w:t>
      </w:r>
      <w:r w:rsidR="003063A3">
        <w:t xml:space="preserve"> a causa dell’eccessiva complessità del bando e difficoltà nell’utilizzo del sistema informatico.</w:t>
      </w:r>
    </w:p>
    <w:p w14:paraId="6AC552E9" w14:textId="77777777" w:rsidR="003063A3" w:rsidRDefault="003063A3" w:rsidP="003A7CB7"/>
    <w:p w14:paraId="2F0A96BA" w14:textId="77777777" w:rsidR="003063A3" w:rsidRDefault="006629C3" w:rsidP="003A7CB7">
      <w:r>
        <w:t>La valutazione di impatto dell’</w:t>
      </w:r>
      <w:r w:rsidR="003063A3">
        <w:t>Avviso “Turismo e Attrattività</w:t>
      </w:r>
      <w:r>
        <w:t>”</w:t>
      </w:r>
      <w:r w:rsidR="000A5229">
        <w:t xml:space="preserve">, condotta da </w:t>
      </w:r>
      <w:r w:rsidR="00E632DD">
        <w:t>Regione Lombard</w:t>
      </w:r>
      <w:r w:rsidR="00327AAC">
        <w:t>i</w:t>
      </w:r>
      <w:r w:rsidR="00E632DD">
        <w:t xml:space="preserve">a e </w:t>
      </w:r>
      <w:proofErr w:type="spellStart"/>
      <w:r w:rsidR="000A5229">
        <w:t>Poli</w:t>
      </w:r>
      <w:r w:rsidR="00E632DD">
        <w:t>S</w:t>
      </w:r>
      <w:proofErr w:type="spellEnd"/>
      <w:r w:rsidR="00442D81">
        <w:t xml:space="preserve"> Lombardia</w:t>
      </w:r>
      <w:r w:rsidR="00E632DD">
        <w:t>,</w:t>
      </w:r>
      <w:r>
        <w:t xml:space="preserve"> ha coinvolto tutti i partecipanti al bando</w:t>
      </w:r>
      <w:r w:rsidR="009B4649">
        <w:t>, i quali</w:t>
      </w:r>
      <w:r>
        <w:t xml:space="preserve"> sono stati messi a confronto con imprese simili operanti nello stesso settore. La distribuzione geografica dei beneficiari rispecchia la vocazione turistica dei comuni lombardi. Tramite il bando sono stati finanziati progetti volti a sviluppare tematiche di interesse ambientale come efficientamento delle risorse; riduzione dell’inquinamento e soluzioni per la mobilità sostenibile con ricadute positive sullo sviluppo e situazione economica delle imprese che ha permesso un aumento di assunzioni nelle imprese beneficiarie con effetti positivi anche sul settore in generale.</w:t>
      </w:r>
      <w:r w:rsidR="00E56AF2">
        <w:t xml:space="preserve"> L’avviso può essere considerato una buona pratica</w:t>
      </w:r>
      <w:r w:rsidR="003C6F94">
        <w:t>, a giudizio del valutatore indipendente,</w:t>
      </w:r>
      <w:r w:rsidR="00E56AF2">
        <w:t xml:space="preserve"> in quanto non sono stati riscontrati particolari punti di debolezza sia a livello amministrativo gestionale sia a livello di contenuti.</w:t>
      </w:r>
    </w:p>
    <w:p w14:paraId="44452E91" w14:textId="77777777" w:rsidR="003C6F94" w:rsidRDefault="003C6F94" w:rsidP="003A7CB7"/>
    <w:p w14:paraId="2D185814" w14:textId="77777777" w:rsidR="0093406E" w:rsidRDefault="0093406E" w:rsidP="00EC5907">
      <w:pPr>
        <w:pStyle w:val="Titolo6"/>
      </w:pPr>
      <w:r>
        <w:t>Riorganizzazione e ristrutturazione aziendale</w:t>
      </w:r>
    </w:p>
    <w:p w14:paraId="19F7C438" w14:textId="77777777" w:rsidR="003C4780" w:rsidRDefault="00905D33" w:rsidP="0093406E">
      <w:r>
        <w:t xml:space="preserve">Regione Lombardia ha finanziato </w:t>
      </w:r>
      <w:r w:rsidR="00315100">
        <w:t xml:space="preserve">e offerto controgaranzie per </w:t>
      </w:r>
      <w:r>
        <w:t xml:space="preserve">vari interventi volti a incrementare la competitività delle aziende del territorio tramite </w:t>
      </w:r>
      <w:r w:rsidR="00DC1D85">
        <w:t xml:space="preserve">interventi </w:t>
      </w:r>
      <w:r w:rsidR="003355AC">
        <w:t>volti</w:t>
      </w:r>
      <w:r w:rsidR="00315100">
        <w:t xml:space="preserve"> alla riorganizzazione e ristrutturazione aziendale</w:t>
      </w:r>
      <w:r w:rsidR="003C4780">
        <w:t xml:space="preserve">. Il RAV riporta due casi studio riguardanti i bandi “Linea controgaranzie” (1 &amp; 2) </w:t>
      </w:r>
      <w:r w:rsidR="00DC1D85">
        <w:t xml:space="preserve">e </w:t>
      </w:r>
      <w:r w:rsidR="003C4780">
        <w:t>“Al via”.</w:t>
      </w:r>
    </w:p>
    <w:p w14:paraId="512F60B9" w14:textId="77777777" w:rsidR="003C4780" w:rsidRDefault="003C4780" w:rsidP="0093406E"/>
    <w:p w14:paraId="219E84E2" w14:textId="77777777" w:rsidR="0093406E" w:rsidRDefault="003C4780" w:rsidP="0093406E">
      <w:r>
        <w:t>Il bando “Al via” ha principalmente coinvolto piccole e medie imprese operanti nel settore manufatturiero nei principali poli urbani della regione (</w:t>
      </w:r>
      <w:r w:rsidR="00DC1D85">
        <w:t>e</w:t>
      </w:r>
      <w:r>
        <w:t xml:space="preserve">.g. Milano, Bergamo, Brescia). L’agevolazione è stata principalmente utilizzata </w:t>
      </w:r>
      <w:r w:rsidR="00DC1D85">
        <w:t>a supporto di</w:t>
      </w:r>
      <w:r>
        <w:t xml:space="preserve"> investimenti ad alto valore tecnologico</w:t>
      </w:r>
      <w:r w:rsidR="005F6CA5">
        <w:t xml:space="preserve"> che hanno permesso l’acquisto di attrezzature e servizi volti allo sviluppo della manifattura 4.0, accelerando </w:t>
      </w:r>
      <w:r w:rsidR="00DC1D85">
        <w:t>lo sviluppo d</w:t>
      </w:r>
      <w:r w:rsidR="005F6CA5">
        <w:t xml:space="preserve">i processi organizzativi e produttivi verso il concetto di “smart </w:t>
      </w:r>
      <w:proofErr w:type="spellStart"/>
      <w:r w:rsidR="005F6CA5">
        <w:t>factory</w:t>
      </w:r>
      <w:proofErr w:type="spellEnd"/>
      <w:r w:rsidR="005F6CA5">
        <w:t xml:space="preserve">”. </w:t>
      </w:r>
      <w:r w:rsidR="003C6F94">
        <w:t>Secondo il valutatore indipendente e sulla base delle informazioni raccolte dai beneficiari, g</w:t>
      </w:r>
      <w:r w:rsidR="005F6CA5">
        <w:t xml:space="preserve">li investimenti sostenuti hanno avuto effetti molto positivi sulle imprese rendendo più efficiente l’utilizzo delle risorse, ottimizzando i processi produttivi e rendendo possibile un aumento dell’offerta di prodotti e servizi. Tutto ciò ha contribuito ad aumentare la competitività delle aziende e </w:t>
      </w:r>
      <w:r w:rsidR="00595035">
        <w:t>ad un aumento delle assunzioni</w:t>
      </w:r>
      <w:r w:rsidR="005F6CA5">
        <w:t>. Nonostante gli effetti positivi generati sull’attività economica dei beneficiari, sono stat</w:t>
      </w:r>
      <w:r w:rsidR="0006465D">
        <w:t>e</w:t>
      </w:r>
      <w:r w:rsidR="005F6CA5">
        <w:t xml:space="preserve"> riscontrate delle criticità riguardanti la gestione del bando. Le imprese, soprattutto le piccole e micro imprese, hanno riscontrato difficoltà nella gestione e rendicontazione del bando </w:t>
      </w:r>
      <w:r w:rsidR="003766AE">
        <w:t>a causa della complessità della documentazione richiesta. Inoltre, i tempi di risposta della Regione risultano lenti soprattutto in relazione ai rimborsi.</w:t>
      </w:r>
      <w:r w:rsidR="00337AEF">
        <w:t xml:space="preserve"> Alcuni miglioramenti di carattere amministrativo</w:t>
      </w:r>
      <w:r w:rsidR="003C6F94">
        <w:t>-</w:t>
      </w:r>
      <w:r w:rsidR="00337AEF">
        <w:t xml:space="preserve">procedurale sono stati già messi in pratica nel bando “Al via fast”, </w:t>
      </w:r>
      <w:r w:rsidR="00DC1D85">
        <w:t>rendendo</w:t>
      </w:r>
      <w:r w:rsidR="00337AEF">
        <w:t xml:space="preserve"> più appetibile per le imprese la partecipazione al bando.</w:t>
      </w:r>
    </w:p>
    <w:p w14:paraId="595C8640" w14:textId="77777777" w:rsidR="003766AE" w:rsidRDefault="003766AE" w:rsidP="0093406E"/>
    <w:p w14:paraId="4D972F46" w14:textId="77777777" w:rsidR="003C4780" w:rsidRDefault="003766AE" w:rsidP="0093406E">
      <w:r>
        <w:t>Il bando “Linea controgaranzie” (1 &amp; 2) ha coinvolto principalmente imprese artigiane</w:t>
      </w:r>
      <w:r w:rsidR="009135F6">
        <w:t xml:space="preserve"> e </w:t>
      </w:r>
      <w:r w:rsidR="009135F6" w:rsidRPr="00CF28C1">
        <w:t>liberi professionisti</w:t>
      </w:r>
      <w:r w:rsidR="009135F6">
        <w:t xml:space="preserve"> operanti nei settori: </w:t>
      </w:r>
      <w:r w:rsidR="009135F6" w:rsidRPr="009135F6">
        <w:rPr>
          <w:rFonts w:cstheme="minorHAnsi"/>
        </w:rPr>
        <w:t>trasporto; logistica; edilizia</w:t>
      </w:r>
      <w:r w:rsidR="003C6F94">
        <w:rPr>
          <w:rFonts w:cstheme="minorHAnsi"/>
        </w:rPr>
        <w:t>;</w:t>
      </w:r>
      <w:r w:rsidR="009135F6" w:rsidRPr="009135F6">
        <w:rPr>
          <w:rFonts w:cstheme="minorHAnsi"/>
        </w:rPr>
        <w:t xml:space="preserve"> cura alla persona</w:t>
      </w:r>
      <w:r w:rsidR="003C6F94">
        <w:rPr>
          <w:rFonts w:cstheme="minorHAnsi"/>
        </w:rPr>
        <w:t>. Le imprese e i professionisti beneficiari,</w:t>
      </w:r>
      <w:r w:rsidR="009135F6" w:rsidRPr="009135F6">
        <w:rPr>
          <w:rFonts w:cstheme="minorHAnsi"/>
        </w:rPr>
        <w:t xml:space="preserve"> in assenza della controgaranzia</w:t>
      </w:r>
      <w:r w:rsidR="003C6F94">
        <w:rPr>
          <w:rFonts w:cstheme="minorHAnsi"/>
        </w:rPr>
        <w:t>,</w:t>
      </w:r>
      <w:r w:rsidR="009135F6" w:rsidRPr="009135F6">
        <w:rPr>
          <w:rFonts w:cstheme="minorHAnsi"/>
        </w:rPr>
        <w:t xml:space="preserve"> non avrebbero potuto accedere ai prestiti e di conseguenza non </w:t>
      </w:r>
      <w:r w:rsidR="00DC1D85">
        <w:rPr>
          <w:rFonts w:cstheme="minorHAnsi"/>
        </w:rPr>
        <w:t xml:space="preserve">avrebbero potuto </w:t>
      </w:r>
      <w:r w:rsidR="009135F6" w:rsidRPr="009135F6">
        <w:rPr>
          <w:rFonts w:cstheme="minorHAnsi"/>
        </w:rPr>
        <w:t xml:space="preserve">avviare gli investimenti necessari allo sviluppo dell’attività. Le controgaranzie hanno </w:t>
      </w:r>
      <w:r w:rsidR="009135F6">
        <w:t xml:space="preserve">permesso di ottenere tassi molto bassi; migliorare l’organizzazione del lavoro e sviluppare di prodotti e servizi innovativi </w:t>
      </w:r>
      <w:r w:rsidR="00DC1D85">
        <w:t xml:space="preserve">con un conseguente impatto </w:t>
      </w:r>
      <w:r w:rsidR="009135F6">
        <w:t>positiv</w:t>
      </w:r>
      <w:r w:rsidR="00DC1D85">
        <w:t>o</w:t>
      </w:r>
      <w:r w:rsidR="009135F6">
        <w:t xml:space="preserve"> sul fatturato e </w:t>
      </w:r>
      <w:r w:rsidR="00DC1D85">
        <w:t>creazione di</w:t>
      </w:r>
      <w:r w:rsidR="009135F6">
        <w:t xml:space="preserve"> nuovi posti di lavoro. Come altri bandi anche “Linea controgaranzie” ha risentito delle pesanti e onerose procedure amministrative e delle criticità operative del sistema informativo per lo scambio dei dati utilizzato da Finlombarda.</w:t>
      </w:r>
    </w:p>
    <w:p w14:paraId="3BFD6B18" w14:textId="77777777" w:rsidR="009135F6" w:rsidRPr="0093406E" w:rsidRDefault="009135F6" w:rsidP="0093406E"/>
    <w:p w14:paraId="04024952" w14:textId="77777777" w:rsidR="00873CBC" w:rsidRDefault="0049154A" w:rsidP="00FB0990">
      <w:pPr>
        <w:pStyle w:val="Titolo5"/>
      </w:pPr>
      <w:r w:rsidRPr="003D5996">
        <w:t>Effetti del C</w:t>
      </w:r>
      <w:r w:rsidR="00EC2E87">
        <w:t>OVID</w:t>
      </w:r>
      <w:r w:rsidR="00526830">
        <w:t>-19</w:t>
      </w:r>
    </w:p>
    <w:p w14:paraId="66C37AD8" w14:textId="77777777" w:rsidR="00BF3994" w:rsidRPr="00BF3994" w:rsidRDefault="00BF3994" w:rsidP="00BF3994"/>
    <w:p w14:paraId="744CA92D" w14:textId="77777777" w:rsidR="003D5996" w:rsidRDefault="00526830" w:rsidP="003D5996">
      <w:r>
        <w:t xml:space="preserve">Le misure messe in atto per fronteggiare l’emergenza sanitaria scaturita dalla pandemia di COVID-19 hanno avuto un notevole impatto sul tessuto economico e imprenditoriale lombardo. </w:t>
      </w:r>
      <w:r w:rsidR="009B3AD8">
        <w:t>La c</w:t>
      </w:r>
      <w:r w:rsidR="003E6B39">
        <w:t xml:space="preserve">hiusura </w:t>
      </w:r>
      <w:r w:rsidR="009B3AD8">
        <w:t xml:space="preserve">delle </w:t>
      </w:r>
      <w:r w:rsidR="003E6B39">
        <w:t>aziende</w:t>
      </w:r>
      <w:r w:rsidR="00EC2E87">
        <w:t xml:space="preserve"> e le restrizioni sui viaggi</w:t>
      </w:r>
      <w:r w:rsidR="003E6B39">
        <w:t xml:space="preserve"> </w:t>
      </w:r>
      <w:r w:rsidR="00EC2E87">
        <w:t xml:space="preserve">hanno generato: </w:t>
      </w:r>
      <w:r w:rsidR="003C6F94">
        <w:t xml:space="preserve">un </w:t>
      </w:r>
      <w:r w:rsidR="003E6B39">
        <w:t>rallenta</w:t>
      </w:r>
      <w:r w:rsidR="00EC2E87">
        <w:t>mento della</w:t>
      </w:r>
      <w:r w:rsidR="003E6B39">
        <w:t xml:space="preserve"> produzione</w:t>
      </w:r>
      <w:r w:rsidR="00D64D0E">
        <w:t xml:space="preserve">; </w:t>
      </w:r>
      <w:r w:rsidR="003E6B39">
        <w:t>difficoltà nel reperire materie prime</w:t>
      </w:r>
      <w:r w:rsidR="00D64D0E">
        <w:t>;</w:t>
      </w:r>
      <w:r w:rsidR="003E6B39">
        <w:t xml:space="preserve"> </w:t>
      </w:r>
      <w:r w:rsidR="003C6F94">
        <w:t xml:space="preserve">una </w:t>
      </w:r>
      <w:r w:rsidR="003E6B39">
        <w:t>riduzione della domanda</w:t>
      </w:r>
      <w:r w:rsidR="00D64D0E">
        <w:t>;</w:t>
      </w:r>
      <w:r w:rsidR="003E6B39">
        <w:t xml:space="preserve"> </w:t>
      </w:r>
      <w:r w:rsidR="003C6F94">
        <w:t xml:space="preserve">una </w:t>
      </w:r>
      <w:r w:rsidR="003E6B39">
        <w:t>carenza della liquidità per supportare la gestione ordinaria delle attività</w:t>
      </w:r>
      <w:r w:rsidR="00D64D0E">
        <w:t>;</w:t>
      </w:r>
      <w:r w:rsidR="003E6B39">
        <w:t xml:space="preserve"> </w:t>
      </w:r>
      <w:r w:rsidR="003C6F94">
        <w:t xml:space="preserve">una </w:t>
      </w:r>
      <w:r w:rsidR="003E6B39">
        <w:t xml:space="preserve">difficoltà </w:t>
      </w:r>
      <w:r w:rsidR="003C6F94">
        <w:t xml:space="preserve">maggiore </w:t>
      </w:r>
      <w:r w:rsidR="003E6B39">
        <w:t>nel raggiungere i mercati esteri</w:t>
      </w:r>
      <w:r w:rsidR="00D64D0E">
        <w:t>;</w:t>
      </w:r>
      <w:r w:rsidR="00416C33">
        <w:t xml:space="preserve"> </w:t>
      </w:r>
      <w:r w:rsidR="003C6F94">
        <w:t xml:space="preserve">una crescente </w:t>
      </w:r>
      <w:r w:rsidR="00416C33">
        <w:t>difficoltà nel pianificare investimenti</w:t>
      </w:r>
      <w:r w:rsidR="00301C97">
        <w:t>. Gli effetti</w:t>
      </w:r>
      <w:r w:rsidR="003063A3">
        <w:t xml:space="preserve"> della pandemia</w:t>
      </w:r>
      <w:r w:rsidR="00301C97">
        <w:t xml:space="preserve"> sono stati particolarmente </w:t>
      </w:r>
      <w:r w:rsidR="003063A3">
        <w:t>severi</w:t>
      </w:r>
      <w:r w:rsidR="00301C97">
        <w:t xml:space="preserve"> per le imprese del settore turistico che </w:t>
      </w:r>
      <w:r w:rsidR="003063A3">
        <w:t>hanno visto ridurre notevolmente l’affluenza di turisti, specialmente stranieri.</w:t>
      </w:r>
      <w:r w:rsidR="009135F6">
        <w:t xml:space="preserve"> </w:t>
      </w:r>
    </w:p>
    <w:p w14:paraId="3C031517" w14:textId="77777777" w:rsidR="00416C33" w:rsidRDefault="00416C33" w:rsidP="003D5996"/>
    <w:p w14:paraId="5D4CE301" w14:textId="77777777" w:rsidR="00416C33" w:rsidRDefault="003C6F94" w:rsidP="003D5996">
      <w:r>
        <w:t>Nonostante questo quadro generalmente negativo, va sottolineato che p</w:t>
      </w:r>
      <w:r w:rsidR="00416C33">
        <w:t>er alcune imprese la pandemia ha portato effetti positivi: sviluppo di nuovi prodotti</w:t>
      </w:r>
      <w:r w:rsidR="00EC2E87">
        <w:t xml:space="preserve"> e </w:t>
      </w:r>
      <w:r w:rsidR="00416C33">
        <w:t>nuove linee di business</w:t>
      </w:r>
      <w:r w:rsidR="008D5BF7">
        <w:t>;</w:t>
      </w:r>
      <w:r w:rsidR="00416C33">
        <w:t xml:space="preserve"> acquisizione di nuovi clienti e inserimento in nuovi settori di mercato che rispondono alle nuove esigenze create dal </w:t>
      </w:r>
      <w:r w:rsidR="00EC2E87">
        <w:t>COVID-19</w:t>
      </w:r>
      <w:r w:rsidR="00416C33">
        <w:t xml:space="preserve"> (</w:t>
      </w:r>
      <w:r>
        <w:t xml:space="preserve">dispositivi di protezione </w:t>
      </w:r>
      <w:r w:rsidR="00D83745">
        <w:t xml:space="preserve">individuale come </w:t>
      </w:r>
      <w:r w:rsidR="00416C33">
        <w:t>mascherine, tessuti TNT, sanificazione…)</w:t>
      </w:r>
      <w:r w:rsidR="00EC2E87">
        <w:t>.</w:t>
      </w:r>
    </w:p>
    <w:p w14:paraId="69AD7A6C" w14:textId="77777777" w:rsidR="002F15B4" w:rsidRDefault="002F15B4" w:rsidP="003D5996"/>
    <w:p w14:paraId="3F3E7200" w14:textId="77777777" w:rsidR="008C17EC" w:rsidRPr="00BE29D6" w:rsidRDefault="002F15B4" w:rsidP="00282A60">
      <w:r>
        <w:t>Per fronteggiare gli effetti negativi del COVID-19 e supportare la ripartenza</w:t>
      </w:r>
      <w:r w:rsidR="00D83745">
        <w:t>,</w:t>
      </w:r>
      <w:r>
        <w:t xml:space="preserve"> </w:t>
      </w:r>
      <w:r w:rsidR="00EC2E87">
        <w:t xml:space="preserve">i beneficiari che hanno partecipato alle survey relative alle valutazioni di cui sopra, </w:t>
      </w:r>
      <w:r w:rsidR="00D83745">
        <w:t>hanno manifestano diverse necessità come</w:t>
      </w:r>
      <w:r w:rsidR="00EC2E87">
        <w:t>:</w:t>
      </w:r>
      <w:r>
        <w:t xml:space="preserve"> migliore e più veloce accesso al credito facilitato</w:t>
      </w:r>
      <w:r w:rsidR="00EC2E87">
        <w:t>;</w:t>
      </w:r>
      <w:r>
        <w:t xml:space="preserve"> possibilità di acquisire contribuiti finalizzati all’innovazione dei processi produttivi</w:t>
      </w:r>
      <w:r w:rsidR="00EC2E87">
        <w:t>;</w:t>
      </w:r>
      <w:r>
        <w:t xml:space="preserve"> </w:t>
      </w:r>
      <w:r w:rsidR="00D83745">
        <w:t xml:space="preserve">maggior ricorso a </w:t>
      </w:r>
      <w:r>
        <w:t>finanziamenti a fondo perduto</w:t>
      </w:r>
      <w:r w:rsidR="00EC2E87">
        <w:t>;</w:t>
      </w:r>
      <w:r>
        <w:t xml:space="preserve"> corsi di formazione per il personale</w:t>
      </w:r>
      <w:r w:rsidR="00EC2E87">
        <w:t xml:space="preserve"> </w:t>
      </w:r>
      <w:r>
        <w:t>nell’ambito della digitalizzazione/informatizzazione dei processi produttivi</w:t>
      </w:r>
      <w:r w:rsidR="00EC2E87">
        <w:t>;</w:t>
      </w:r>
      <w:r>
        <w:t xml:space="preserve"> investimenti in ricerca e sviluppo</w:t>
      </w:r>
      <w:r w:rsidR="00EC2E87">
        <w:t>;</w:t>
      </w:r>
      <w:r w:rsidR="00125CD8">
        <w:t xml:space="preserve"> sgravi fiscali per l’assunzione di personale.</w:t>
      </w:r>
    </w:p>
    <w:p w14:paraId="59A85200" w14:textId="77777777" w:rsidR="003B3DCA" w:rsidRDefault="003B3DCA">
      <w:pPr>
        <w:spacing w:after="320" w:line="300" w:lineRule="auto"/>
        <w:jc w:val="left"/>
        <w:rPr>
          <w:highlight w:val="yellow"/>
        </w:rPr>
      </w:pPr>
      <w:r>
        <w:rPr>
          <w:highlight w:val="yellow"/>
        </w:rPr>
        <w:br w:type="page"/>
      </w:r>
    </w:p>
    <w:p w14:paraId="295EA856" w14:textId="77777777" w:rsidR="0049154A" w:rsidRPr="002800B4" w:rsidRDefault="0049154A" w:rsidP="00282A60">
      <w:pPr>
        <w:rPr>
          <w:highlight w:val="yellow"/>
        </w:rPr>
      </w:pPr>
    </w:p>
    <w:p w14:paraId="2F6CB905" w14:textId="77777777" w:rsidR="00282A60" w:rsidRPr="00BF3994" w:rsidRDefault="00282A60" w:rsidP="00B27AA3">
      <w:pPr>
        <w:pStyle w:val="Titolo3"/>
      </w:pPr>
      <w:bookmarkStart w:id="119" w:name="_Toc91081415"/>
      <w:r w:rsidRPr="00BF3994">
        <w:t>Principali risultati della valutazione FSE</w:t>
      </w:r>
      <w:bookmarkEnd w:id="119"/>
    </w:p>
    <w:p w14:paraId="7902BD1E" w14:textId="77777777" w:rsidR="00282A60" w:rsidRPr="00BF3994" w:rsidRDefault="00282A60" w:rsidP="00282A60"/>
    <w:p w14:paraId="791E32F6" w14:textId="77777777" w:rsidR="003B3DCA" w:rsidRPr="00BF3994" w:rsidRDefault="003B3DCA" w:rsidP="003B3DCA">
      <w:pPr>
        <w:pStyle w:val="Titolo4"/>
      </w:pPr>
      <w:r w:rsidRPr="00BF3994">
        <w:t>Introduzione: interventi FSE oggetto di approfondimento</w:t>
      </w:r>
    </w:p>
    <w:p w14:paraId="16960C5E" w14:textId="77777777" w:rsidR="003B3DCA" w:rsidRPr="00BF3994" w:rsidRDefault="003B3DCA" w:rsidP="003B3DCA">
      <w:pPr>
        <w:pStyle w:val="m-1649626204377707979msolistparagraph"/>
        <w:shd w:val="clear" w:color="auto" w:fill="FFFFFF"/>
        <w:spacing w:before="0" w:beforeAutospacing="0" w:after="0" w:afterAutospacing="0"/>
        <w:rPr>
          <w:rFonts w:ascii="Calibri" w:hAnsi="Calibri" w:cs="Calibri"/>
          <w:color w:val="222222"/>
          <w:sz w:val="22"/>
          <w:szCs w:val="22"/>
        </w:rPr>
      </w:pPr>
    </w:p>
    <w:p w14:paraId="15653583" w14:textId="77777777" w:rsidR="003B3DCA" w:rsidRDefault="003B3DCA" w:rsidP="00AB45DF">
      <w:r w:rsidRPr="00BF3994">
        <w:t>Nell’ottica di una lettura sempre più integrata dei risultati degli interventi finanziati dai vari Fondi Strutturali, il Rapporto di valutazione 2021 del POR FSE Lombardia si è concentrato</w:t>
      </w:r>
      <w:r>
        <w:t xml:space="preserve"> sulle </w:t>
      </w:r>
      <w:r w:rsidRPr="003C2786">
        <w:rPr>
          <w:b/>
        </w:rPr>
        <w:t>misure volte alla creazione di impresa e al sostegno all’imprenditorialità nella regione</w:t>
      </w:r>
      <w:r>
        <w:t>. Tutti i fondi, infatti, hanno contribuito, ciascuno per il suo ambito di competenza e con un raggio di azione differente, a promuovere lo sviluppo sia del tessuto economico regionale, che di quello sociale (puntando sulla formazione e l’inclusione lavorativa del capitale umano). Sebbene il ruolo principale nel campo delle imprese e dell’imprenditoria sia svolto dal POR FESR</w:t>
      </w:r>
      <w:r>
        <w:rPr>
          <w:rStyle w:val="Rimandonotaapidipagina"/>
          <w:rFonts w:cs="Calibri"/>
          <w:color w:val="222222"/>
          <w:szCs w:val="22"/>
        </w:rPr>
        <w:footnoteReference w:id="16"/>
      </w:r>
      <w:r>
        <w:t>, è indubbio che anche il Fondo Sociale Europeo abbia dato un suo apporto alla promozione dell’autoimprenditorialità, che risulta una risorsa importante nel fornire opportunità di lavoro alternative al lavoro dipendente.</w:t>
      </w:r>
    </w:p>
    <w:p w14:paraId="66C2A161" w14:textId="77777777" w:rsidR="003B3DCA" w:rsidRDefault="003B3DCA" w:rsidP="00AB45DF">
      <w:r>
        <w:t xml:space="preserve">In questo capitolo si analizzeranno i risultati della valutazione condotta su due iniziative finanziate all’interno dell’Obiettivo Tematico 8: la </w:t>
      </w:r>
      <w:r w:rsidRPr="003C2786">
        <w:rPr>
          <w:b/>
        </w:rPr>
        <w:t>Dote Unica Lavoro (DUL)</w:t>
      </w:r>
      <w:r>
        <w:t>, di cui già si è accennato nello scorso Rapporto di Valutazione Unitaria 2020, ma che qui verrà presa in considerazione nella parte che offre servizi per l’</w:t>
      </w:r>
      <w:r w:rsidRPr="003C2786">
        <w:rPr>
          <w:b/>
        </w:rPr>
        <w:t>autoimprenditorialità</w:t>
      </w:r>
      <w:r>
        <w:t xml:space="preserve">, e il </w:t>
      </w:r>
      <w:r w:rsidRPr="003C2786">
        <w:rPr>
          <w:b/>
        </w:rPr>
        <w:t>Bando per la “Selezione di percorsi di formazione/accompagnamento per l’avvio di imprese culturali e creative da insediare in spazi pubblici</w:t>
      </w:r>
      <w:r>
        <w:t>”. Verranno quindi evidenziati i risultati disponibili a fine 2020 rispetto alle due iniziative,  traendo anche conclusioni utili per la nuova programmazione 2021-2027, e anche mettendo in luce in che modo la crisi pandemica ha influito sull’implementazione degli interventi. Gli interventi presi in considerazione coprono due archi temporali differenti: da un lato, la DUL Autoimprenditorialità è stata analizzata per il biennio 2016-2018, corrispondente dalla Fase II della misura</w:t>
      </w:r>
      <w:r>
        <w:rPr>
          <w:rStyle w:val="Rimandonotaapidipagina"/>
          <w:rFonts w:cs="Calibri"/>
          <w:color w:val="222222"/>
          <w:szCs w:val="22"/>
        </w:rPr>
        <w:footnoteReference w:id="17"/>
      </w:r>
      <w:r>
        <w:t xml:space="preserve">, mentre il Bando per la “Selezione di percorsi di formazione/accompagnamento per l’avvio di imprese culturali e creative da insediare in spazi pubblici” riguarda l’annualità 2020-2021. </w:t>
      </w:r>
    </w:p>
    <w:p w14:paraId="53B5E852" w14:textId="77777777" w:rsidR="003B3DCA" w:rsidRDefault="003B3DCA" w:rsidP="00AB45DF">
      <w:r>
        <w:t>Qui di seguito si riportano in maniera sintetica le principali caratteristiche delle misure analizzate e le metodologie con le quali è stata condotta l’attività valutativa.</w:t>
      </w:r>
    </w:p>
    <w:p w14:paraId="049E62B7" w14:textId="77777777" w:rsidR="003B3DCA" w:rsidRDefault="003B3DCA" w:rsidP="00AB45DF"/>
    <w:p w14:paraId="4B3DC08D" w14:textId="77777777" w:rsidR="003B3DCA" w:rsidRPr="00464844" w:rsidRDefault="003B3DCA" w:rsidP="00AB45DF">
      <w:pPr>
        <w:rPr>
          <w:b/>
          <w:bCs/>
          <w:i/>
          <w:iCs/>
        </w:rPr>
      </w:pPr>
      <w:r w:rsidRPr="00464844">
        <w:rPr>
          <w:b/>
          <w:bCs/>
          <w:i/>
          <w:iCs/>
        </w:rPr>
        <w:t>DUL Autoimprenditorialità</w:t>
      </w:r>
    </w:p>
    <w:p w14:paraId="1B10B24C" w14:textId="77777777" w:rsidR="003B3DCA" w:rsidRDefault="003B3DCA" w:rsidP="00AB45DF">
      <w:pPr>
        <w:rPr>
          <w:rFonts w:cs="Calibri"/>
          <w:color w:val="222222"/>
          <w:szCs w:val="22"/>
        </w:rPr>
      </w:pPr>
    </w:p>
    <w:p w14:paraId="6A94D59D" w14:textId="77777777" w:rsidR="003B3DCA" w:rsidRDefault="003B3DCA" w:rsidP="00AB45DF">
      <w:pPr>
        <w:rPr>
          <w:rFonts w:cs="Calibri"/>
          <w:color w:val="222222"/>
          <w:szCs w:val="22"/>
        </w:rPr>
      </w:pPr>
      <w:r>
        <w:rPr>
          <w:rFonts w:cs="Calibri"/>
          <w:color w:val="222222"/>
          <w:szCs w:val="22"/>
        </w:rPr>
        <w:t>I</w:t>
      </w:r>
      <w:r w:rsidRPr="003744FF">
        <w:rPr>
          <w:rFonts w:cs="Calibri"/>
          <w:color w:val="222222"/>
          <w:szCs w:val="22"/>
        </w:rPr>
        <w:t xml:space="preserve">ntrodotta a ottobre 2013, la </w:t>
      </w:r>
      <w:r w:rsidRPr="003C2786">
        <w:rPr>
          <w:rFonts w:cs="Calibri"/>
          <w:color w:val="222222"/>
          <w:szCs w:val="22"/>
        </w:rPr>
        <w:t>Dote è un sostegno finanziario</w:t>
      </w:r>
      <w:r>
        <w:rPr>
          <w:rFonts w:cs="Calibri"/>
          <w:color w:val="222222"/>
          <w:szCs w:val="22"/>
        </w:rPr>
        <w:t xml:space="preserve"> in capo a ciascun beneficiario, da utilizzare </w:t>
      </w:r>
      <w:r w:rsidRPr="003C2786">
        <w:rPr>
          <w:rFonts w:cs="Calibri"/>
          <w:color w:val="222222"/>
          <w:szCs w:val="22"/>
        </w:rPr>
        <w:t>per finanziare un’offerta integrata e personalizzata di servizi di accompagnamento all’inserimento lavorativo</w:t>
      </w:r>
      <w:r>
        <w:rPr>
          <w:rFonts w:cs="Calibri"/>
          <w:color w:val="222222"/>
          <w:szCs w:val="22"/>
        </w:rPr>
        <w:t>, e che si inscrive in un sistema dotale già avviato dalla Regione anche con fondi FSE. L’entità del sostegno della DUL varia in base all’intensità dell’intervento necessario per ciascun individuo, e può essere utilizzata sia presso tutti gli operatori accreditati, siano essi pubblici, privati o del Terzo settore.</w:t>
      </w:r>
    </w:p>
    <w:p w14:paraId="6AD3D73A" w14:textId="77777777" w:rsidR="007855DE" w:rsidRPr="007855DE" w:rsidRDefault="003B3DCA" w:rsidP="007855DE">
      <w:pPr>
        <w:rPr>
          <w:rFonts w:cs="Calibri"/>
          <w:bCs/>
          <w:i/>
          <w:iCs/>
          <w:color w:val="222222"/>
          <w:szCs w:val="22"/>
        </w:rPr>
      </w:pPr>
      <w:r>
        <w:rPr>
          <w:rFonts w:cs="Calibri"/>
          <w:color w:val="222222"/>
          <w:szCs w:val="22"/>
        </w:rPr>
        <w:t xml:space="preserve">La DUL </w:t>
      </w:r>
      <w:r w:rsidRPr="003744FF">
        <w:rPr>
          <w:rFonts w:cs="Calibri"/>
          <w:color w:val="222222"/>
          <w:szCs w:val="22"/>
        </w:rPr>
        <w:t xml:space="preserve">si caratterizza per </w:t>
      </w:r>
      <w:r>
        <w:rPr>
          <w:rFonts w:cs="Calibri"/>
          <w:color w:val="222222"/>
          <w:szCs w:val="22"/>
        </w:rPr>
        <w:t>il suo</w:t>
      </w:r>
      <w:r w:rsidRPr="003744FF">
        <w:rPr>
          <w:rFonts w:cs="Calibri"/>
          <w:color w:val="222222"/>
          <w:szCs w:val="22"/>
        </w:rPr>
        <w:t xml:space="preserve"> forte orientamento al risultato occupazionale, e mette a disposizione doti e servizi di diversa intensità a seconda del profilo dei destinatari e del loro grado di occupabilità</w:t>
      </w:r>
      <w:r>
        <w:rPr>
          <w:rFonts w:cs="Calibri"/>
          <w:color w:val="222222"/>
          <w:szCs w:val="22"/>
        </w:rPr>
        <w:t>, e si differenzia dal sistema dotale già in vigore poiché ha introdotto la definizione di costi standard per i diversi servizi erogabili</w:t>
      </w:r>
      <w:r w:rsidRPr="003744FF">
        <w:rPr>
          <w:rFonts w:cs="Calibri"/>
          <w:color w:val="222222"/>
          <w:szCs w:val="22"/>
        </w:rPr>
        <w:t>.</w:t>
      </w:r>
      <w:r>
        <w:rPr>
          <w:rFonts w:cs="Calibri"/>
          <w:color w:val="222222"/>
          <w:szCs w:val="22"/>
        </w:rPr>
        <w:t xml:space="preserve"> </w:t>
      </w:r>
      <w:r w:rsidR="007855DE" w:rsidRPr="007855DE">
        <w:rPr>
          <w:rFonts w:cs="Calibri"/>
          <w:color w:val="222222"/>
          <w:szCs w:val="22"/>
        </w:rPr>
        <w:t xml:space="preserve">La centralità del sistema dotale nella strategia del POR trova conferma nel fatto che il 75,9% dei progetti è rappresentato dalla Dote Unica Lavoro, che ha coinvolto il 40,8% del totale dei destinatari degli interventi attivati finora con il POR FSE. </w:t>
      </w:r>
    </w:p>
    <w:p w14:paraId="5BF4BB30" w14:textId="77777777" w:rsidR="003B3DCA" w:rsidRDefault="003B3DCA" w:rsidP="00AB45DF">
      <w:pPr>
        <w:rPr>
          <w:rFonts w:cs="Calibri"/>
          <w:color w:val="222222"/>
          <w:szCs w:val="22"/>
        </w:rPr>
      </w:pPr>
    </w:p>
    <w:p w14:paraId="56BE08A9" w14:textId="77777777" w:rsidR="003B3DCA" w:rsidRDefault="003B3DCA" w:rsidP="00AB45DF">
      <w:pPr>
        <w:rPr>
          <w:rFonts w:cs="Calibri"/>
          <w:color w:val="222222"/>
          <w:szCs w:val="22"/>
        </w:rPr>
      </w:pPr>
      <w:r>
        <w:rPr>
          <w:rFonts w:cs="Calibri"/>
          <w:color w:val="222222"/>
          <w:szCs w:val="22"/>
        </w:rPr>
        <w:t xml:space="preserve">La </w:t>
      </w:r>
      <w:r w:rsidRPr="00A5473B">
        <w:rPr>
          <w:rFonts w:cs="Calibri"/>
          <w:color w:val="222222"/>
          <w:szCs w:val="22"/>
        </w:rPr>
        <w:t>DUL prevede 5 fasce di intensità di aiuto</w:t>
      </w:r>
      <w:r>
        <w:rPr>
          <w:rFonts w:cs="Calibri"/>
          <w:color w:val="222222"/>
          <w:szCs w:val="22"/>
        </w:rPr>
        <w:t xml:space="preserve">, </w:t>
      </w:r>
      <w:r w:rsidRPr="00A5473B">
        <w:rPr>
          <w:rFonts w:cs="Calibri"/>
          <w:color w:val="222222"/>
          <w:szCs w:val="22"/>
        </w:rPr>
        <w:t>dalla 1 che equivale a “bassa”, alla 4 che equivale a “molto alta”, e con la fascia 5 che equivale ad “Altro aiuto</w:t>
      </w:r>
      <w:r>
        <w:rPr>
          <w:rFonts w:cs="Calibri"/>
          <w:color w:val="222222"/>
          <w:szCs w:val="22"/>
        </w:rPr>
        <w:t xml:space="preserve">”. </w:t>
      </w:r>
      <w:r w:rsidRPr="003744FF">
        <w:rPr>
          <w:rFonts w:cs="Calibri"/>
          <w:color w:val="222222"/>
          <w:szCs w:val="22"/>
        </w:rPr>
        <w:t xml:space="preserve">Questo </w:t>
      </w:r>
      <w:r w:rsidRPr="00E24A3D">
        <w:rPr>
          <w:rFonts w:cs="Calibri"/>
          <w:color w:val="222222"/>
          <w:szCs w:val="22"/>
        </w:rPr>
        <w:t>intervento</w:t>
      </w:r>
      <w:r w:rsidRPr="003744FF">
        <w:rPr>
          <w:rFonts w:cs="Calibri"/>
          <w:color w:val="222222"/>
          <w:szCs w:val="22"/>
        </w:rPr>
        <w:t xml:space="preserve"> è </w:t>
      </w:r>
      <w:r w:rsidRPr="00E24A3D">
        <w:rPr>
          <w:rFonts w:cs="Calibri"/>
          <w:color w:val="222222"/>
          <w:szCs w:val="22"/>
        </w:rPr>
        <w:t>rivolto</w:t>
      </w:r>
      <w:r w:rsidRPr="003744FF">
        <w:rPr>
          <w:rFonts w:cs="Calibri"/>
          <w:color w:val="222222"/>
          <w:szCs w:val="22"/>
        </w:rPr>
        <w:t xml:space="preserve"> principalmente </w:t>
      </w:r>
      <w:r w:rsidRPr="00E24A3D">
        <w:rPr>
          <w:rFonts w:cs="Calibri"/>
          <w:color w:val="222222"/>
          <w:szCs w:val="22"/>
        </w:rPr>
        <w:t>a giovani</w:t>
      </w:r>
      <w:r w:rsidRPr="003744FF">
        <w:rPr>
          <w:rFonts w:cs="Calibri"/>
          <w:color w:val="222222"/>
          <w:szCs w:val="22"/>
        </w:rPr>
        <w:t xml:space="preserve"> </w:t>
      </w:r>
      <w:r w:rsidRPr="00E24A3D">
        <w:rPr>
          <w:rFonts w:cs="Calibri"/>
          <w:color w:val="222222"/>
          <w:szCs w:val="22"/>
        </w:rPr>
        <w:t>e adulti disoccupati</w:t>
      </w:r>
      <w:r w:rsidRPr="003744FF">
        <w:rPr>
          <w:rFonts w:cs="Calibri"/>
          <w:color w:val="222222"/>
          <w:szCs w:val="22"/>
        </w:rPr>
        <w:t xml:space="preserve">, nonché a </w:t>
      </w:r>
      <w:r w:rsidRPr="00E24A3D">
        <w:rPr>
          <w:rFonts w:cs="Calibri"/>
          <w:color w:val="222222"/>
          <w:szCs w:val="22"/>
        </w:rPr>
        <w:t>occupati sospesi con accordi che prevedono esuberi</w:t>
      </w:r>
      <w:r w:rsidRPr="003744FF">
        <w:rPr>
          <w:rFonts w:cs="Calibri"/>
          <w:color w:val="222222"/>
          <w:szCs w:val="22"/>
        </w:rPr>
        <w:t xml:space="preserve">. Nel 2016 è stata avviata la </w:t>
      </w:r>
      <w:r w:rsidRPr="00B76DF7">
        <w:rPr>
          <w:rFonts w:cs="Calibri"/>
          <w:color w:val="222222"/>
          <w:szCs w:val="22"/>
        </w:rPr>
        <w:t>Fase II</w:t>
      </w:r>
      <w:r w:rsidRPr="003744FF">
        <w:rPr>
          <w:rFonts w:cs="Calibri"/>
          <w:color w:val="222222"/>
          <w:szCs w:val="22"/>
        </w:rPr>
        <w:t xml:space="preserve">, </w:t>
      </w:r>
      <w:r w:rsidRPr="00B76DF7">
        <w:rPr>
          <w:rFonts w:cs="Calibri"/>
          <w:color w:val="222222"/>
          <w:szCs w:val="22"/>
        </w:rPr>
        <w:t>mirata a un processo di revisione delle modalità d’attuazione dello strumento, prevedendo una maggiore personalizzazione dei servizi a seconda del target di riferimento</w:t>
      </w:r>
      <w:r w:rsidRPr="003744FF">
        <w:rPr>
          <w:rFonts w:cs="Calibri"/>
          <w:color w:val="222222"/>
          <w:szCs w:val="22"/>
        </w:rPr>
        <w:t xml:space="preserve">. </w:t>
      </w:r>
      <w:r>
        <w:rPr>
          <w:rFonts w:cs="Calibri"/>
          <w:color w:val="222222"/>
          <w:szCs w:val="22"/>
        </w:rPr>
        <w:t xml:space="preserve">In questa Fase è stata inoltre </w:t>
      </w:r>
      <w:r w:rsidRPr="00B76DF7">
        <w:rPr>
          <w:rFonts w:cs="Calibri"/>
          <w:color w:val="222222"/>
          <w:szCs w:val="22"/>
        </w:rPr>
        <w:t>introdotta la fascia di intensità di aiuto “3 Plus”</w:t>
      </w:r>
      <w:r>
        <w:rPr>
          <w:rFonts w:cs="Calibri"/>
          <w:color w:val="222222"/>
          <w:szCs w:val="22"/>
        </w:rPr>
        <w:t>, dedicata a soggetti con particolari forme di svantaggio, coinvolti in Progetti di inserimento lavorativo personalizzati, prevedendo una indennità di partecipazione di 300 euro al mese, per un massimo di 6 mesi, da accompagnarsi ad attività di orientamento, formazione e ricerca attiva del lavoro. Per questa fascia, dunque, il risultato del servizio di inserimento e avvio al tirocinio era rappresentato anche dall’avvio di un tirocinio extra-curriculare di almeno 180 giorni continuativi di calendario con il medesimo soggetto ospitante.</w:t>
      </w:r>
    </w:p>
    <w:p w14:paraId="535F2EA2" w14:textId="77777777" w:rsidR="003B3DCA" w:rsidRDefault="003B3DCA" w:rsidP="00AB45DF">
      <w:pPr>
        <w:rPr>
          <w:rFonts w:cs="Calibri"/>
          <w:color w:val="222222"/>
          <w:szCs w:val="22"/>
        </w:rPr>
      </w:pPr>
      <w:r>
        <w:rPr>
          <w:rFonts w:cs="Calibri"/>
          <w:color w:val="222222"/>
          <w:szCs w:val="22"/>
        </w:rPr>
        <w:t xml:space="preserve">Andando più nello specifico, la </w:t>
      </w:r>
      <w:r w:rsidRPr="00B76DF7">
        <w:rPr>
          <w:rFonts w:cs="Calibri"/>
          <w:color w:val="222222"/>
          <w:szCs w:val="22"/>
        </w:rPr>
        <w:t>DUL Autoimprenditorialità è un servizio di formazione e lavoro funzionale all’attivazione di un’attività imprenditoriale</w:t>
      </w:r>
      <w:r>
        <w:rPr>
          <w:rFonts w:cs="Calibri"/>
          <w:color w:val="222222"/>
          <w:szCs w:val="22"/>
        </w:rPr>
        <w:t xml:space="preserve">, inserita come uno dei percorsi a disposizione dei destinatari sin dalla nascita della Dote, già dal 2013. I servizi di autoimprenditorialità sono stati inseriti nel paniere delle misure a disposizione al fine di completare le opportunità di personalizzazione dei percorsi offerti, per contrastare la disoccupazione e favorire il reimpiego di quei soggetti a rischio di disoccupazione. C’è da sottolineare che il ricorso al filone autoimprenditorialità della DUL è stato lasciato su base spontanea, senza la messa a disposizione di un accompagnamento ad hoc da parte degli operatori verso i potenziali beneficiari. Nel caso della DUL Autoimprenditorialità, </w:t>
      </w:r>
      <w:r w:rsidRPr="002C44BE">
        <w:rPr>
          <w:rFonts w:cs="Calibri"/>
          <w:color w:val="222222"/>
          <w:szCs w:val="22"/>
        </w:rPr>
        <w:t>il risultato era rappresentato (anche nella Fase III e IV) dall’iscrizione dell’impresa alla CCIAA e/o dall’apertura di una partita IVA coerente con il business plan elaborato.</w:t>
      </w:r>
      <w:r>
        <w:rPr>
          <w:rFonts w:cs="Calibri"/>
          <w:color w:val="222222"/>
          <w:szCs w:val="22"/>
        </w:rPr>
        <w:t xml:space="preserve"> </w:t>
      </w:r>
    </w:p>
    <w:p w14:paraId="058CE4A2" w14:textId="77777777" w:rsidR="003B3DCA" w:rsidRPr="00A26785" w:rsidRDefault="003B3DCA" w:rsidP="00AB45DF">
      <w:pPr>
        <w:rPr>
          <w:rFonts w:cs="Calibri"/>
          <w:color w:val="222222"/>
          <w:szCs w:val="22"/>
        </w:rPr>
      </w:pPr>
      <w:r>
        <w:rPr>
          <w:rFonts w:cs="Calibri"/>
          <w:color w:val="222222"/>
          <w:szCs w:val="22"/>
        </w:rPr>
        <w:t>Il Manuale Unico di Gestione della Dote, infatti, a seguito dell’approvazione della Fase II, con riferimento al servizio di autoimprenditorialità, specificava quanto segue</w:t>
      </w:r>
      <w:r>
        <w:rPr>
          <w:rStyle w:val="Rimandonotaapidipagina"/>
          <w:rFonts w:cs="Calibri"/>
          <w:color w:val="222222"/>
          <w:szCs w:val="22"/>
        </w:rPr>
        <w:footnoteReference w:id="18"/>
      </w:r>
      <w:r>
        <w:rPr>
          <w:rFonts w:cs="Calibri"/>
          <w:color w:val="222222"/>
          <w:szCs w:val="22"/>
        </w:rPr>
        <w:t xml:space="preserve">: </w:t>
      </w:r>
      <w:r w:rsidRPr="00A26785">
        <w:rPr>
          <w:rFonts w:cs="Calibri"/>
          <w:color w:val="222222"/>
          <w:szCs w:val="22"/>
        </w:rPr>
        <w:t xml:space="preserve">“Il </w:t>
      </w:r>
      <w:r w:rsidRPr="002C44BE">
        <w:rPr>
          <w:rFonts w:cs="Calibri"/>
          <w:color w:val="222222"/>
          <w:szCs w:val="22"/>
        </w:rPr>
        <w:t>servizio di autoimprenditorialità</w:t>
      </w:r>
      <w:r w:rsidRPr="00A26785">
        <w:rPr>
          <w:rFonts w:cs="Calibri"/>
          <w:color w:val="222222"/>
          <w:szCs w:val="22"/>
        </w:rPr>
        <w:t xml:space="preserve">, alternativo al servizio d’inserimento e avvio al lavoro, </w:t>
      </w:r>
      <w:r w:rsidRPr="002C44BE">
        <w:rPr>
          <w:rFonts w:cs="Calibri"/>
          <w:color w:val="222222"/>
          <w:szCs w:val="22"/>
        </w:rPr>
        <w:t>comprende le attività specificatamente orientate ad accompagnare l'attivazione di un'attività imprenditoriale in tutte le sue fasi, dalla valutazione preliminare dell’idea alla concreta realizzazione del progetto</w:t>
      </w:r>
      <w:r w:rsidRPr="00A26785">
        <w:rPr>
          <w:rFonts w:cs="Calibri"/>
          <w:color w:val="222222"/>
          <w:szCs w:val="22"/>
        </w:rPr>
        <w:t xml:space="preserve">. Tali attività individuate dal </w:t>
      </w:r>
      <w:proofErr w:type="spellStart"/>
      <w:r w:rsidRPr="00A26785">
        <w:rPr>
          <w:rFonts w:cs="Calibri"/>
          <w:color w:val="222222"/>
          <w:szCs w:val="22"/>
        </w:rPr>
        <w:t>D.d.u.o</w:t>
      </w:r>
      <w:proofErr w:type="spellEnd"/>
      <w:r w:rsidRPr="00A26785">
        <w:rPr>
          <w:rFonts w:cs="Calibri"/>
          <w:color w:val="222222"/>
          <w:szCs w:val="22"/>
        </w:rPr>
        <w:t xml:space="preserve">. n. 8617 del 26.09.2013 </w:t>
      </w:r>
      <w:proofErr w:type="spellStart"/>
      <w:r w:rsidRPr="00A26785">
        <w:rPr>
          <w:rFonts w:cs="Calibri"/>
          <w:color w:val="222222"/>
          <w:szCs w:val="22"/>
        </w:rPr>
        <w:t>ss.mm.ii</w:t>
      </w:r>
      <w:proofErr w:type="spellEnd"/>
      <w:r w:rsidRPr="00A26785">
        <w:rPr>
          <w:rFonts w:cs="Calibri"/>
          <w:color w:val="222222"/>
          <w:szCs w:val="22"/>
        </w:rPr>
        <w:t>., nell’ambito dei servizi al lavoro compresi nel quadro regionale degli standard minimi dei servizi al lavoro comprendono:</w:t>
      </w:r>
    </w:p>
    <w:p w14:paraId="092BBDEC" w14:textId="77777777" w:rsidR="003B3DCA" w:rsidRPr="00AB45DF" w:rsidRDefault="003B3DCA" w:rsidP="0038676D">
      <w:pPr>
        <w:pStyle w:val="Paragrafoelenco"/>
        <w:numPr>
          <w:ilvl w:val="0"/>
          <w:numId w:val="36"/>
        </w:numPr>
        <w:rPr>
          <w:rFonts w:cs="Calibri"/>
          <w:color w:val="222222"/>
          <w:szCs w:val="22"/>
        </w:rPr>
      </w:pPr>
      <w:r w:rsidRPr="00AB45DF">
        <w:rPr>
          <w:rFonts w:cs="Calibri"/>
          <w:color w:val="222222"/>
          <w:szCs w:val="22"/>
        </w:rPr>
        <w:t>Individuazione e definizione dell'idea di business;</w:t>
      </w:r>
    </w:p>
    <w:p w14:paraId="6E21BA82" w14:textId="77777777" w:rsidR="003B3DCA" w:rsidRPr="00AB45DF" w:rsidRDefault="003B3DCA" w:rsidP="0038676D">
      <w:pPr>
        <w:pStyle w:val="Paragrafoelenco"/>
        <w:numPr>
          <w:ilvl w:val="0"/>
          <w:numId w:val="36"/>
        </w:numPr>
        <w:rPr>
          <w:rFonts w:cs="Calibri"/>
          <w:color w:val="222222"/>
          <w:szCs w:val="22"/>
        </w:rPr>
      </w:pPr>
      <w:r w:rsidRPr="00AB45DF">
        <w:rPr>
          <w:rFonts w:cs="Calibri"/>
          <w:color w:val="222222"/>
          <w:szCs w:val="22"/>
        </w:rPr>
        <w:t>Verifica della coerenza tra idea imprenditoriale e requisiti personali del destinatario;</w:t>
      </w:r>
    </w:p>
    <w:p w14:paraId="1EFCFAC6" w14:textId="77777777" w:rsidR="003B3DCA" w:rsidRPr="00AB45DF" w:rsidRDefault="003B3DCA" w:rsidP="0038676D">
      <w:pPr>
        <w:pStyle w:val="Paragrafoelenco"/>
        <w:numPr>
          <w:ilvl w:val="0"/>
          <w:numId w:val="36"/>
        </w:numPr>
        <w:rPr>
          <w:rFonts w:cs="Calibri"/>
          <w:color w:val="222222"/>
          <w:szCs w:val="22"/>
        </w:rPr>
      </w:pPr>
      <w:r w:rsidRPr="00AB45DF">
        <w:rPr>
          <w:rFonts w:cs="Calibri"/>
          <w:color w:val="222222"/>
          <w:szCs w:val="22"/>
        </w:rPr>
        <w:t>Stesura di un primo piano di fattibilità della proposta imprenditoriale;</w:t>
      </w:r>
    </w:p>
    <w:p w14:paraId="6A2D46FC" w14:textId="77777777" w:rsidR="003B3DCA" w:rsidRPr="00AB45DF" w:rsidRDefault="003B3DCA" w:rsidP="0038676D">
      <w:pPr>
        <w:pStyle w:val="Paragrafoelenco"/>
        <w:numPr>
          <w:ilvl w:val="0"/>
          <w:numId w:val="36"/>
        </w:numPr>
        <w:rPr>
          <w:rFonts w:cs="Calibri"/>
          <w:color w:val="222222"/>
          <w:szCs w:val="22"/>
        </w:rPr>
      </w:pPr>
      <w:r w:rsidRPr="00AB45DF">
        <w:rPr>
          <w:rFonts w:cs="Calibri"/>
          <w:color w:val="222222"/>
          <w:szCs w:val="22"/>
        </w:rPr>
        <w:t>Analisi di mercato volta all'individuazione dei micro-settori con maggiori potenzialità di successo;</w:t>
      </w:r>
    </w:p>
    <w:p w14:paraId="66090F35" w14:textId="77777777" w:rsidR="003B3DCA" w:rsidRPr="00AB45DF" w:rsidRDefault="003B3DCA" w:rsidP="0038676D">
      <w:pPr>
        <w:pStyle w:val="Paragrafoelenco"/>
        <w:numPr>
          <w:ilvl w:val="0"/>
          <w:numId w:val="36"/>
        </w:numPr>
        <w:rPr>
          <w:rFonts w:cs="Calibri"/>
          <w:color w:val="222222"/>
          <w:szCs w:val="22"/>
        </w:rPr>
      </w:pPr>
      <w:r w:rsidRPr="00AB45DF">
        <w:rPr>
          <w:rFonts w:cs="Calibri"/>
          <w:color w:val="222222"/>
          <w:szCs w:val="22"/>
        </w:rPr>
        <w:t>Ricognizione delle possibilità di finanziamento agevolato e degli incentivi esistenti;</w:t>
      </w:r>
    </w:p>
    <w:p w14:paraId="0499400C" w14:textId="77777777" w:rsidR="003B3DCA" w:rsidRPr="00AB45DF" w:rsidRDefault="003B3DCA" w:rsidP="0038676D">
      <w:pPr>
        <w:pStyle w:val="Paragrafoelenco"/>
        <w:numPr>
          <w:ilvl w:val="0"/>
          <w:numId w:val="36"/>
        </w:numPr>
        <w:rPr>
          <w:rFonts w:cs="Calibri"/>
          <w:color w:val="222222"/>
          <w:szCs w:val="22"/>
        </w:rPr>
      </w:pPr>
      <w:r w:rsidRPr="00AB45DF">
        <w:rPr>
          <w:rFonts w:cs="Calibri"/>
          <w:color w:val="222222"/>
          <w:szCs w:val="22"/>
        </w:rPr>
        <w:t>Sostegno nell'acquisizione delle informazioni necessarie per la stesura di un business plan;</w:t>
      </w:r>
    </w:p>
    <w:p w14:paraId="063AAD08" w14:textId="77777777" w:rsidR="003B3DCA" w:rsidRPr="00AB45DF" w:rsidRDefault="003B3DCA" w:rsidP="0038676D">
      <w:pPr>
        <w:pStyle w:val="Paragrafoelenco"/>
        <w:numPr>
          <w:ilvl w:val="0"/>
          <w:numId w:val="36"/>
        </w:numPr>
        <w:rPr>
          <w:rFonts w:cs="Calibri"/>
          <w:color w:val="222222"/>
          <w:szCs w:val="22"/>
        </w:rPr>
      </w:pPr>
      <w:r w:rsidRPr="00AB45DF">
        <w:rPr>
          <w:rFonts w:cs="Calibri"/>
          <w:color w:val="222222"/>
          <w:szCs w:val="22"/>
        </w:rPr>
        <w:t>Sostegno nell'attività di stesura del business plan;</w:t>
      </w:r>
    </w:p>
    <w:p w14:paraId="140CC6E1" w14:textId="77777777" w:rsidR="003B3DCA" w:rsidRPr="00AB45DF" w:rsidRDefault="003B3DCA" w:rsidP="0038676D">
      <w:pPr>
        <w:pStyle w:val="Paragrafoelenco"/>
        <w:numPr>
          <w:ilvl w:val="0"/>
          <w:numId w:val="36"/>
        </w:numPr>
        <w:rPr>
          <w:rFonts w:cs="Calibri"/>
          <w:color w:val="222222"/>
          <w:szCs w:val="22"/>
        </w:rPr>
      </w:pPr>
      <w:r w:rsidRPr="00AB45DF">
        <w:rPr>
          <w:rFonts w:cs="Calibri"/>
          <w:color w:val="222222"/>
          <w:szCs w:val="22"/>
        </w:rPr>
        <w:t>Supporto nell'espletamento degli adempimenti necessari ai fini dell'iscrizione dell'impresa alla CCIAA e/o dell'apertura di una partita IVA.”</w:t>
      </w:r>
    </w:p>
    <w:p w14:paraId="49365757" w14:textId="77777777" w:rsidR="003B3DCA" w:rsidRDefault="003B3DCA" w:rsidP="00AB45DF"/>
    <w:p w14:paraId="44C187E3" w14:textId="77777777" w:rsidR="003B3DCA" w:rsidRPr="0091616F" w:rsidRDefault="003B3DCA" w:rsidP="00AB45DF">
      <w:r>
        <w:t>Nel caso della DUL Autoimprenditorialità, la dote viene “spesa” dal destinatario per l’erogazione di un servizio di accompagnamento all’avvio di un’impresa (si veda l’elenco di cui sopra) erogato dagli operatori accreditati presso la Regione Lombardia</w:t>
      </w:r>
      <w:r>
        <w:rPr>
          <w:rStyle w:val="Rimandonotaapidipagina"/>
          <w:rFonts w:cs="Calibri"/>
          <w:color w:val="222222"/>
          <w:szCs w:val="22"/>
        </w:rPr>
        <w:footnoteReference w:id="19"/>
      </w:r>
      <w:r>
        <w:t>. In base alla fascia di intensità di aiuto di appartenenza, a ciascun destinatario veniva corrisposta una dote dell’importo pari al numero di ore massime di supporto richiedibili</w:t>
      </w:r>
      <w:r>
        <w:rPr>
          <w:rStyle w:val="Rimandonotaapidipagina"/>
          <w:rFonts w:cs="Calibri"/>
          <w:color w:val="222222"/>
          <w:szCs w:val="22"/>
        </w:rPr>
        <w:footnoteReference w:id="20"/>
      </w:r>
      <w:r>
        <w:t>. Stando all’attuale Manuale Unico della Gestione della Dote, “</w:t>
      </w:r>
      <w:r w:rsidRPr="0091616F">
        <w:t>il servizio è riconosciuto a processo, secondo la seguente modalità:</w:t>
      </w:r>
    </w:p>
    <w:p w14:paraId="4F86DCCA" w14:textId="77777777" w:rsidR="003B3DCA" w:rsidRDefault="003B3DCA" w:rsidP="0038676D">
      <w:pPr>
        <w:pStyle w:val="Paragrafoelenco"/>
        <w:numPr>
          <w:ilvl w:val="0"/>
          <w:numId w:val="37"/>
        </w:numPr>
      </w:pPr>
      <w:r w:rsidRPr="0091616F">
        <w:t>il 70% è erogato a processo, in base alle effettive ore di accompagnamento svolte;</w:t>
      </w:r>
    </w:p>
    <w:p w14:paraId="03D11C9C" w14:textId="77777777" w:rsidR="003B3DCA" w:rsidRDefault="003B3DCA" w:rsidP="0038676D">
      <w:pPr>
        <w:pStyle w:val="Paragrafoelenco"/>
        <w:numPr>
          <w:ilvl w:val="0"/>
          <w:numId w:val="37"/>
        </w:numPr>
      </w:pPr>
      <w:r w:rsidRPr="0091616F">
        <w:t xml:space="preserve">il restante 30% è riconosciuto a condizione del raggiungimento di un risultato occupazionale, rappresentato dall’avvenuta iscrizione dell’impresa alla CCIAA e/o apertura di una partita IVA coerente con il business plan realizzato. </w:t>
      </w:r>
      <w:r>
        <w:t>A</w:t>
      </w:r>
      <w:r w:rsidRPr="0091616F">
        <w:t>i fini del riconoscimento del servizio, il business plan dovrà riportare una data di realizzazione antecedente alla data di iscrizione dell’impresa alla CCIAA e/o di apertura di una partita IVA, e dovrà essere firmato olograficamente dal destinatario.</w:t>
      </w:r>
      <w:r>
        <w:t>”</w:t>
      </w:r>
    </w:p>
    <w:p w14:paraId="08433D61" w14:textId="77777777" w:rsidR="003B3DCA" w:rsidRPr="0091616F" w:rsidRDefault="003B3DCA" w:rsidP="00AB45DF">
      <w:r w:rsidRPr="0091616F">
        <w:t>Agli operatori è richiesta la produzione e messa a disposizione, in fase di rendicontazione e successivi controlli della seguente documentazione:</w:t>
      </w:r>
    </w:p>
    <w:p w14:paraId="16966844" w14:textId="77777777" w:rsidR="003B3DCA" w:rsidRPr="0091616F" w:rsidRDefault="003B3DCA" w:rsidP="0038676D">
      <w:pPr>
        <w:pStyle w:val="Paragrafoelenco"/>
        <w:numPr>
          <w:ilvl w:val="0"/>
          <w:numId w:val="38"/>
        </w:numPr>
      </w:pPr>
      <w:proofErr w:type="spellStart"/>
      <w:r w:rsidRPr="0091616F">
        <w:t>timesheet</w:t>
      </w:r>
      <w:proofErr w:type="spellEnd"/>
      <w:r w:rsidRPr="0091616F">
        <w:t xml:space="preserve"> (in fase di realizzazione del Piano di Intervento Personalizzato </w:t>
      </w:r>
      <w:r>
        <w:t xml:space="preserve">- </w:t>
      </w:r>
      <w:r w:rsidRPr="0091616F">
        <w:t xml:space="preserve">PIP/rendicontazione); </w:t>
      </w:r>
    </w:p>
    <w:p w14:paraId="232AAAC2" w14:textId="77777777" w:rsidR="003B3DCA" w:rsidRPr="0091616F" w:rsidRDefault="003B3DCA" w:rsidP="0038676D">
      <w:pPr>
        <w:pStyle w:val="Paragrafoelenco"/>
        <w:numPr>
          <w:ilvl w:val="0"/>
          <w:numId w:val="38"/>
        </w:numPr>
      </w:pPr>
      <w:r w:rsidRPr="0091616F">
        <w:t xml:space="preserve">copia del certificato di iscrizione al registro delle imprese, ovvero copia del certificato di attribuzione della partita IVA (in fase di richiesta di liquidazione); </w:t>
      </w:r>
    </w:p>
    <w:p w14:paraId="36E594D7" w14:textId="77777777" w:rsidR="003B3DCA" w:rsidRPr="00433FA3" w:rsidRDefault="003B3DCA" w:rsidP="0038676D">
      <w:pPr>
        <w:pStyle w:val="Paragrafoelenco"/>
        <w:numPr>
          <w:ilvl w:val="0"/>
          <w:numId w:val="38"/>
        </w:numPr>
      </w:pPr>
      <w:r w:rsidRPr="0091616F">
        <w:t>business plan (in fase di richiesta di liquidazione).</w:t>
      </w:r>
    </w:p>
    <w:p w14:paraId="208BD712" w14:textId="77777777" w:rsidR="003B3DCA" w:rsidRDefault="003B3DCA" w:rsidP="00AB45DF"/>
    <w:p w14:paraId="2FC694A6" w14:textId="77777777" w:rsidR="003B3DCA" w:rsidRDefault="003B3DCA" w:rsidP="00AB45DF">
      <w:r>
        <w:t>Nel biennio 2016-2018 preso in considerazione, le doti con servizio autoimprenditorialità attivate sono state 2.649, ovvero un numero residuale rispetto al totale delle doti attivate nella Fase II, pari a 157.538 (1,6% delle doti totali è stato rivolto a percorsi per l’autoimprenditorialità), per un importo complessivo richiesto di circa 10Meuro, e un importo medio per ciascuna dote pari a poco meno di 4mila euro</w:t>
      </w:r>
      <w:r>
        <w:rPr>
          <w:rStyle w:val="Rimandonotaapidipagina"/>
          <w:rFonts w:cs="Calibri"/>
          <w:color w:val="222222"/>
          <w:szCs w:val="22"/>
        </w:rPr>
        <w:footnoteReference w:id="21"/>
      </w:r>
      <w:r>
        <w:t xml:space="preserve">. </w:t>
      </w:r>
      <w:r w:rsidRPr="009C6A4B">
        <w:rPr>
          <w:b/>
        </w:rPr>
        <w:t>Le doti autoimprenditorialità si concentravano quasi esclusivamente su soggetti che andavano dalla Fascia 1 alla Fascia 3 di aiuto (97% circa)</w:t>
      </w:r>
      <w:r>
        <w:t>, e solo il restante 3% si concentrava sulla Fascia 3 Plus, ovvero quella “ad alta intensità di aiuto – svantaggio”. Si noti che quasi il 37% dei destinatari della DUL Autoimprenditorialità  rientrava nella Fascia 3, ad alta intensità di aiuto, i cui destinatari necessitavano di “un supporto intensivo per un periodo medio-lungo e di un forte sostegno individuale per la collocazione o la ricollocazione nel mercato del lavoro”.</w:t>
      </w:r>
    </w:p>
    <w:p w14:paraId="7041663D" w14:textId="77777777" w:rsidR="003B3DCA" w:rsidRDefault="003B3DCA" w:rsidP="00AB45DF"/>
    <w:p w14:paraId="17FC2C5F" w14:textId="77777777" w:rsidR="003B3DCA" w:rsidRDefault="003B3DCA" w:rsidP="00AB45DF">
      <w:r>
        <w:t xml:space="preserve"> Dai dati di monitoraggio, e</w:t>
      </w:r>
      <w:r w:rsidRPr="0091616F">
        <w:t>merge una maggiore propensione a partecipare da parte delle fasce più svantaggiate</w:t>
      </w:r>
      <w:r>
        <w:t>,</w:t>
      </w:r>
      <w:r w:rsidRPr="0091616F">
        <w:t xml:space="preserve"> ma questo non rispecchia necessariamente la strategia di intervento. Anzi, essendo la misura finalizzata a sostenere l’imprenditorialità, il fatto che raccolga chi è più svantaggiato potrebbe sollevare dubbi sulla reale efficacia di medio termine poiché appare più un rimedio alla disoccupazione che un supporto all’imprenditorialità</w:t>
      </w:r>
      <w:r>
        <w:rPr>
          <w:rStyle w:val="Rimandonotaapidipagina"/>
          <w:rFonts w:cs="Calibri"/>
          <w:color w:val="222222"/>
          <w:szCs w:val="22"/>
        </w:rPr>
        <w:footnoteReference w:id="22"/>
      </w:r>
      <w:r w:rsidRPr="0091616F">
        <w:t>. Al tempo stesso</w:t>
      </w:r>
      <w:r>
        <w:t>,</w:t>
      </w:r>
      <w:r w:rsidRPr="0091616F">
        <w:t xml:space="preserve"> va osservato però che la survey (si veda dopo il paragrafo sui risultati) sottolinea che la principale motivazione dei partecipanti è l’aver sempre voluto avviare un’attività propria. Ciò in qualche misura ci rassicura sull’effettiva capacità della misura di intercettare chi è davvero motivato a creare un’attività. Ad ogni modo questo aspetto </w:t>
      </w:r>
      <w:r>
        <w:t xml:space="preserve">può </w:t>
      </w:r>
      <w:r w:rsidRPr="0091616F">
        <w:t>merita</w:t>
      </w:r>
      <w:r>
        <w:t>re un</w:t>
      </w:r>
      <w:r w:rsidRPr="0091616F">
        <w:t xml:space="preserve"> approfondimento</w:t>
      </w:r>
      <w:r>
        <w:t>. La tabella qui di seguito riporta una panoramica della distribuzione delle doti per Fascia di aiuto e valore dell’importo erogato.</w:t>
      </w:r>
    </w:p>
    <w:p w14:paraId="403EF5E1" w14:textId="77777777" w:rsidR="003B3DCA" w:rsidRDefault="003B3DCA" w:rsidP="003B3DCA">
      <w:pPr>
        <w:pStyle w:val="m-1649626204377707979msolistparagraph"/>
        <w:shd w:val="clear" w:color="auto" w:fill="FFFFFF"/>
        <w:spacing w:before="0" w:beforeAutospacing="0" w:after="0" w:afterAutospacing="0"/>
        <w:jc w:val="both"/>
        <w:rPr>
          <w:rFonts w:ascii="Calibri" w:hAnsi="Calibri" w:cs="Calibri"/>
          <w:color w:val="222222"/>
          <w:sz w:val="22"/>
          <w:szCs w:val="22"/>
        </w:rPr>
      </w:pPr>
    </w:p>
    <w:p w14:paraId="4A6B8983" w14:textId="77777777" w:rsidR="003B3DCA" w:rsidRPr="00506015" w:rsidRDefault="00DB5AF9" w:rsidP="00DB5AF9">
      <w:pPr>
        <w:pStyle w:val="Didascalia"/>
        <w:rPr>
          <w:rFonts w:cs="Calibri"/>
          <w:b w:val="0"/>
          <w:bCs/>
          <w:i w:val="0"/>
          <w:iCs w:val="0"/>
          <w:sz w:val="22"/>
          <w:szCs w:val="22"/>
        </w:rPr>
      </w:pPr>
      <w:bookmarkStart w:id="120" w:name="_Toc91081457"/>
      <w:r>
        <w:t xml:space="preserve">Tabella </w:t>
      </w:r>
      <w:r w:rsidR="004E6566">
        <w:fldChar w:fldCharType="begin"/>
      </w:r>
      <w:r>
        <w:instrText xml:space="preserve"> SEQ Tabella \* ARABIC </w:instrText>
      </w:r>
      <w:r w:rsidR="004E6566">
        <w:fldChar w:fldCharType="separate"/>
      </w:r>
      <w:r w:rsidR="00E53D6C">
        <w:rPr>
          <w:noProof/>
        </w:rPr>
        <w:t>31</w:t>
      </w:r>
      <w:r w:rsidR="004E6566">
        <w:fldChar w:fldCharType="end"/>
      </w:r>
      <w:r>
        <w:t xml:space="preserve">. </w:t>
      </w:r>
      <w:r w:rsidRPr="00CE18E7">
        <w:t>Doti Autoimprenditorialità prese in carico e importi richiesti</w:t>
      </w:r>
      <w:bookmarkEnd w:id="120"/>
    </w:p>
    <w:tbl>
      <w:tblPr>
        <w:tblStyle w:val="Tabellagriglia4-colore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603"/>
        <w:gridCol w:w="1600"/>
        <w:gridCol w:w="1625"/>
        <w:gridCol w:w="1600"/>
        <w:gridCol w:w="1605"/>
      </w:tblGrid>
      <w:tr w:rsidR="003B3DCA" w14:paraId="3ED9B857" w14:textId="77777777" w:rsidTr="00BF6D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9" w:type="dxa"/>
            <w:vMerge w:val="restart"/>
            <w:tcBorders>
              <w:top w:val="none" w:sz="0" w:space="0" w:color="auto"/>
              <w:left w:val="none" w:sz="0" w:space="0" w:color="auto"/>
              <w:bottom w:val="none" w:sz="0" w:space="0" w:color="auto"/>
              <w:right w:val="none" w:sz="0" w:space="0" w:color="auto"/>
            </w:tcBorders>
            <w:shd w:val="clear" w:color="auto" w:fill="669748" w:themeFill="accent2" w:themeFillShade="BF"/>
          </w:tcPr>
          <w:p w14:paraId="1A873917" w14:textId="77777777" w:rsidR="003B3DCA" w:rsidRPr="0029063E" w:rsidRDefault="003B3DCA" w:rsidP="00AF58DF">
            <w:pPr>
              <w:pStyle w:val="m-1649626204377707979msolistparagraph"/>
              <w:keepNext/>
              <w:keepLines/>
              <w:spacing w:before="0"/>
              <w:rPr>
                <w:rFonts w:ascii="Calibri" w:hAnsi="Calibri" w:cs="Calibri"/>
                <w:color w:val="FFFFFF" w:themeColor="background1"/>
                <w:sz w:val="22"/>
                <w:szCs w:val="22"/>
              </w:rPr>
            </w:pPr>
            <w:r w:rsidRPr="0029063E">
              <w:rPr>
                <w:rFonts w:ascii="Calibri" w:hAnsi="Calibri" w:cs="Calibri"/>
                <w:color w:val="FFFFFF" w:themeColor="background1"/>
                <w:sz w:val="22"/>
                <w:szCs w:val="22"/>
              </w:rPr>
              <w:t>Fascia di aiuto</w:t>
            </w:r>
          </w:p>
        </w:tc>
        <w:tc>
          <w:tcPr>
            <w:tcW w:w="3259" w:type="dxa"/>
            <w:gridSpan w:val="2"/>
            <w:tcBorders>
              <w:top w:val="none" w:sz="0" w:space="0" w:color="auto"/>
              <w:left w:val="none" w:sz="0" w:space="0" w:color="auto"/>
              <w:bottom w:val="none" w:sz="0" w:space="0" w:color="auto"/>
              <w:right w:val="none" w:sz="0" w:space="0" w:color="auto"/>
            </w:tcBorders>
            <w:shd w:val="clear" w:color="auto" w:fill="669748" w:themeFill="accent2" w:themeFillShade="BF"/>
          </w:tcPr>
          <w:p w14:paraId="50A5DA4E" w14:textId="77777777" w:rsidR="003B3DCA" w:rsidRPr="0029063E" w:rsidRDefault="003B3DCA" w:rsidP="00AF58DF">
            <w:pPr>
              <w:pStyle w:val="m-1649626204377707979msolistparagraph"/>
              <w:keepNext/>
              <w:keepLines/>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2"/>
                <w:szCs w:val="22"/>
              </w:rPr>
            </w:pPr>
            <w:r w:rsidRPr="0029063E">
              <w:rPr>
                <w:rFonts w:ascii="Calibri" w:hAnsi="Calibri" w:cs="Calibri"/>
                <w:color w:val="FFFFFF" w:themeColor="background1"/>
                <w:sz w:val="22"/>
                <w:szCs w:val="22"/>
              </w:rPr>
              <w:t>N° doti prese in carico</w:t>
            </w:r>
          </w:p>
        </w:tc>
        <w:tc>
          <w:tcPr>
            <w:tcW w:w="3260" w:type="dxa"/>
            <w:gridSpan w:val="2"/>
            <w:tcBorders>
              <w:top w:val="none" w:sz="0" w:space="0" w:color="auto"/>
              <w:left w:val="none" w:sz="0" w:space="0" w:color="auto"/>
              <w:bottom w:val="none" w:sz="0" w:space="0" w:color="auto"/>
              <w:right w:val="none" w:sz="0" w:space="0" w:color="auto"/>
            </w:tcBorders>
            <w:shd w:val="clear" w:color="auto" w:fill="669748" w:themeFill="accent2" w:themeFillShade="BF"/>
          </w:tcPr>
          <w:p w14:paraId="05B4CFF6" w14:textId="77777777" w:rsidR="003B3DCA" w:rsidRPr="0029063E" w:rsidRDefault="003B3DCA" w:rsidP="00AF58DF">
            <w:pPr>
              <w:pStyle w:val="m-1649626204377707979msolistparagraph"/>
              <w:keepNext/>
              <w:keepLines/>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2"/>
                <w:szCs w:val="22"/>
              </w:rPr>
            </w:pPr>
            <w:r w:rsidRPr="0029063E">
              <w:rPr>
                <w:rFonts w:ascii="Calibri" w:hAnsi="Calibri" w:cs="Calibri"/>
                <w:color w:val="FFFFFF" w:themeColor="background1"/>
                <w:sz w:val="22"/>
                <w:szCs w:val="22"/>
              </w:rPr>
              <w:t>Importo totale (in euro)</w:t>
            </w:r>
          </w:p>
        </w:tc>
        <w:tc>
          <w:tcPr>
            <w:tcW w:w="1630" w:type="dxa"/>
            <w:vMerge w:val="restart"/>
            <w:tcBorders>
              <w:top w:val="none" w:sz="0" w:space="0" w:color="auto"/>
              <w:left w:val="none" w:sz="0" w:space="0" w:color="auto"/>
              <w:bottom w:val="none" w:sz="0" w:space="0" w:color="auto"/>
              <w:right w:val="none" w:sz="0" w:space="0" w:color="auto"/>
            </w:tcBorders>
            <w:shd w:val="clear" w:color="auto" w:fill="669748" w:themeFill="accent2" w:themeFillShade="BF"/>
          </w:tcPr>
          <w:p w14:paraId="049AB9E2" w14:textId="77777777" w:rsidR="003B3DCA" w:rsidRPr="0029063E" w:rsidRDefault="003B3DCA" w:rsidP="00AF58DF">
            <w:pPr>
              <w:pStyle w:val="m-1649626204377707979msolistparagraph"/>
              <w:keepNext/>
              <w:keepLines/>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2"/>
                <w:szCs w:val="22"/>
              </w:rPr>
            </w:pPr>
            <w:r w:rsidRPr="0029063E">
              <w:rPr>
                <w:rFonts w:ascii="Calibri" w:hAnsi="Calibri" w:cs="Calibri"/>
                <w:color w:val="FFFFFF" w:themeColor="background1"/>
                <w:sz w:val="22"/>
                <w:szCs w:val="22"/>
              </w:rPr>
              <w:t>Importo medio (in euro)</w:t>
            </w:r>
          </w:p>
        </w:tc>
      </w:tr>
      <w:tr w:rsidR="003B3DCA" w14:paraId="7E72CC27" w14:textId="77777777" w:rsidTr="00BF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9" w:type="dxa"/>
            <w:vMerge/>
          </w:tcPr>
          <w:p w14:paraId="4181C602" w14:textId="77777777" w:rsidR="003B3DCA" w:rsidRDefault="003B3DCA" w:rsidP="00AF58DF">
            <w:pPr>
              <w:pStyle w:val="m-1649626204377707979msolistparagraph"/>
              <w:keepNext/>
              <w:keepLines/>
              <w:spacing w:before="0"/>
              <w:rPr>
                <w:rFonts w:ascii="Calibri" w:hAnsi="Calibri" w:cs="Calibri"/>
                <w:color w:val="222222"/>
                <w:sz w:val="22"/>
                <w:szCs w:val="22"/>
              </w:rPr>
            </w:pPr>
          </w:p>
        </w:tc>
        <w:tc>
          <w:tcPr>
            <w:tcW w:w="1629" w:type="dxa"/>
            <w:shd w:val="clear" w:color="auto" w:fill="669748" w:themeFill="accent2" w:themeFillShade="BF"/>
          </w:tcPr>
          <w:p w14:paraId="2A9623DA" w14:textId="77777777" w:rsidR="003B3DCA" w:rsidRPr="00506015" w:rsidRDefault="003B3DCA" w:rsidP="00AF58DF">
            <w:pPr>
              <w:pStyle w:val="m-1649626204377707979msolistparagraph"/>
              <w:keepNext/>
              <w:keepLines/>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i/>
                <w:iCs/>
                <w:color w:val="222222"/>
                <w:sz w:val="22"/>
                <w:szCs w:val="22"/>
              </w:rPr>
            </w:pPr>
            <w:r w:rsidRPr="00506015">
              <w:rPr>
                <w:rFonts w:ascii="Calibri" w:hAnsi="Calibri" w:cs="Calibri"/>
                <w:i/>
                <w:iCs/>
                <w:color w:val="222222"/>
                <w:sz w:val="22"/>
                <w:szCs w:val="22"/>
              </w:rPr>
              <w:t>Val. Assoluto</w:t>
            </w:r>
          </w:p>
        </w:tc>
        <w:tc>
          <w:tcPr>
            <w:tcW w:w="1630" w:type="dxa"/>
            <w:shd w:val="clear" w:color="auto" w:fill="669748" w:themeFill="accent2" w:themeFillShade="BF"/>
          </w:tcPr>
          <w:p w14:paraId="5CEA35F7" w14:textId="77777777" w:rsidR="003B3DCA" w:rsidRPr="00506015" w:rsidRDefault="003B3DCA" w:rsidP="00AF58DF">
            <w:pPr>
              <w:pStyle w:val="m-1649626204377707979msolistparagraph"/>
              <w:keepNext/>
              <w:keepLines/>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i/>
                <w:iCs/>
                <w:color w:val="222222"/>
                <w:sz w:val="22"/>
                <w:szCs w:val="22"/>
              </w:rPr>
            </w:pPr>
            <w:r w:rsidRPr="00506015">
              <w:rPr>
                <w:rFonts w:ascii="Calibri" w:hAnsi="Calibri" w:cs="Calibri"/>
                <w:i/>
                <w:iCs/>
                <w:color w:val="222222"/>
                <w:sz w:val="22"/>
                <w:szCs w:val="22"/>
              </w:rPr>
              <w:t>% sul totale</w:t>
            </w:r>
          </w:p>
        </w:tc>
        <w:tc>
          <w:tcPr>
            <w:tcW w:w="1630" w:type="dxa"/>
            <w:shd w:val="clear" w:color="auto" w:fill="669748" w:themeFill="accent2" w:themeFillShade="BF"/>
          </w:tcPr>
          <w:p w14:paraId="2025216B" w14:textId="77777777" w:rsidR="003B3DCA" w:rsidRPr="00506015" w:rsidRDefault="003B3DCA" w:rsidP="00AF58DF">
            <w:pPr>
              <w:pStyle w:val="m-1649626204377707979msolistparagraph"/>
              <w:keepNext/>
              <w:keepLines/>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i/>
                <w:iCs/>
                <w:color w:val="222222"/>
                <w:sz w:val="22"/>
                <w:szCs w:val="22"/>
              </w:rPr>
            </w:pPr>
            <w:r w:rsidRPr="00506015">
              <w:rPr>
                <w:rFonts w:ascii="Calibri" w:hAnsi="Calibri" w:cs="Calibri"/>
                <w:i/>
                <w:iCs/>
                <w:color w:val="222222"/>
                <w:sz w:val="22"/>
                <w:szCs w:val="22"/>
              </w:rPr>
              <w:t>Val. Assoluto</w:t>
            </w:r>
          </w:p>
        </w:tc>
        <w:tc>
          <w:tcPr>
            <w:tcW w:w="1630" w:type="dxa"/>
            <w:shd w:val="clear" w:color="auto" w:fill="669748" w:themeFill="accent2" w:themeFillShade="BF"/>
          </w:tcPr>
          <w:p w14:paraId="4B7FD3CC" w14:textId="77777777" w:rsidR="003B3DCA" w:rsidRPr="00506015" w:rsidRDefault="003B3DCA" w:rsidP="00AF58DF">
            <w:pPr>
              <w:pStyle w:val="m-1649626204377707979msolistparagraph"/>
              <w:keepNext/>
              <w:keepLines/>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i/>
                <w:iCs/>
                <w:color w:val="222222"/>
                <w:sz w:val="22"/>
                <w:szCs w:val="22"/>
              </w:rPr>
            </w:pPr>
            <w:r w:rsidRPr="00506015">
              <w:rPr>
                <w:rFonts w:ascii="Calibri" w:hAnsi="Calibri" w:cs="Calibri"/>
                <w:i/>
                <w:iCs/>
                <w:color w:val="222222"/>
                <w:sz w:val="22"/>
                <w:szCs w:val="22"/>
              </w:rPr>
              <w:t>% sul totale</w:t>
            </w:r>
          </w:p>
        </w:tc>
        <w:tc>
          <w:tcPr>
            <w:tcW w:w="1630" w:type="dxa"/>
            <w:vMerge/>
          </w:tcPr>
          <w:p w14:paraId="01ED0F5B" w14:textId="77777777" w:rsidR="003B3DCA" w:rsidRDefault="003B3DCA" w:rsidP="00AF58DF">
            <w:pPr>
              <w:pStyle w:val="m-1649626204377707979msolistparagraph"/>
              <w:keepNext/>
              <w:keepLines/>
              <w:spacing w:before="0"/>
              <w:cnfStyle w:val="000000100000" w:firstRow="0" w:lastRow="0" w:firstColumn="0" w:lastColumn="0" w:oddVBand="0" w:evenVBand="0" w:oddHBand="1" w:evenHBand="0" w:firstRowFirstColumn="0" w:firstRowLastColumn="0" w:lastRowFirstColumn="0" w:lastRowLastColumn="0"/>
              <w:rPr>
                <w:rFonts w:ascii="Calibri" w:hAnsi="Calibri" w:cs="Calibri"/>
                <w:color w:val="222222"/>
                <w:sz w:val="22"/>
                <w:szCs w:val="22"/>
              </w:rPr>
            </w:pPr>
          </w:p>
        </w:tc>
      </w:tr>
      <w:tr w:rsidR="003B3DCA" w14:paraId="65B4C765" w14:textId="77777777" w:rsidTr="00BF6D01">
        <w:tc>
          <w:tcPr>
            <w:cnfStyle w:val="001000000000" w:firstRow="0" w:lastRow="0" w:firstColumn="1" w:lastColumn="0" w:oddVBand="0" w:evenVBand="0" w:oddHBand="0" w:evenHBand="0" w:firstRowFirstColumn="0" w:firstRowLastColumn="0" w:lastRowFirstColumn="0" w:lastRowLastColumn="0"/>
            <w:tcW w:w="1629" w:type="dxa"/>
            <w:shd w:val="clear" w:color="auto" w:fill="auto"/>
          </w:tcPr>
          <w:p w14:paraId="150EF9EC" w14:textId="77777777" w:rsidR="003B3DCA" w:rsidRDefault="003B3DCA" w:rsidP="00AF58DF">
            <w:pPr>
              <w:pStyle w:val="m-1649626204377707979msolistparagraph"/>
              <w:keepNext/>
              <w:keepLines/>
              <w:spacing w:before="0"/>
              <w:rPr>
                <w:rFonts w:ascii="Calibri" w:hAnsi="Calibri" w:cs="Calibri"/>
                <w:color w:val="222222"/>
                <w:sz w:val="22"/>
                <w:szCs w:val="22"/>
              </w:rPr>
            </w:pPr>
            <w:r>
              <w:rPr>
                <w:rFonts w:ascii="Calibri" w:hAnsi="Calibri" w:cs="Calibri"/>
                <w:color w:val="222222"/>
                <w:sz w:val="22"/>
                <w:szCs w:val="22"/>
              </w:rPr>
              <w:t>Fascia 1</w:t>
            </w:r>
          </w:p>
        </w:tc>
        <w:tc>
          <w:tcPr>
            <w:tcW w:w="1629" w:type="dxa"/>
            <w:shd w:val="clear" w:color="auto" w:fill="auto"/>
          </w:tcPr>
          <w:p w14:paraId="7A967F9D" w14:textId="77777777" w:rsidR="003B3DCA" w:rsidRDefault="003B3DCA" w:rsidP="00825203">
            <w:pPr>
              <w:pStyle w:val="m-1649626204377707979msolistparagraph"/>
              <w:keepNext/>
              <w:keepLines/>
              <w:spacing w:before="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818</w:t>
            </w:r>
          </w:p>
        </w:tc>
        <w:tc>
          <w:tcPr>
            <w:tcW w:w="1630" w:type="dxa"/>
            <w:shd w:val="clear" w:color="auto" w:fill="auto"/>
          </w:tcPr>
          <w:p w14:paraId="7AAAA2AB" w14:textId="12187E45" w:rsidR="003B3DCA" w:rsidRDefault="003B3DCA" w:rsidP="00825203">
            <w:pPr>
              <w:pStyle w:val="m-1649626204377707979msolistparagraph"/>
              <w:keepNext/>
              <w:keepLines/>
              <w:spacing w:before="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30,88</w:t>
            </w:r>
            <w:r w:rsidR="005B12F6">
              <w:rPr>
                <w:rFonts w:ascii="Calibri" w:hAnsi="Calibri" w:cs="Calibri"/>
                <w:color w:val="222222"/>
                <w:sz w:val="22"/>
                <w:szCs w:val="22"/>
              </w:rPr>
              <w:t>%</w:t>
            </w:r>
          </w:p>
        </w:tc>
        <w:tc>
          <w:tcPr>
            <w:tcW w:w="1630" w:type="dxa"/>
            <w:shd w:val="clear" w:color="auto" w:fill="auto"/>
          </w:tcPr>
          <w:p w14:paraId="7F2F650A" w14:textId="77777777" w:rsidR="003B3DCA" w:rsidRDefault="003B3DCA" w:rsidP="00825203">
            <w:pPr>
              <w:pStyle w:val="m-1649626204377707979msolistparagraph"/>
              <w:keepNext/>
              <w:keepLines/>
              <w:spacing w:before="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2.332.964,19</w:t>
            </w:r>
          </w:p>
        </w:tc>
        <w:tc>
          <w:tcPr>
            <w:tcW w:w="1630" w:type="dxa"/>
            <w:shd w:val="clear" w:color="auto" w:fill="auto"/>
          </w:tcPr>
          <w:p w14:paraId="584438A0" w14:textId="77777777" w:rsidR="003B3DCA" w:rsidRDefault="003B3DCA" w:rsidP="00825203">
            <w:pPr>
              <w:pStyle w:val="m-1649626204377707979msolistparagraph"/>
              <w:keepNext/>
              <w:keepLines/>
              <w:spacing w:before="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23,12%</w:t>
            </w:r>
          </w:p>
        </w:tc>
        <w:tc>
          <w:tcPr>
            <w:tcW w:w="1630" w:type="dxa"/>
            <w:shd w:val="clear" w:color="auto" w:fill="auto"/>
          </w:tcPr>
          <w:p w14:paraId="4C3D460A" w14:textId="77777777" w:rsidR="003B3DCA" w:rsidRDefault="003B3DCA" w:rsidP="00825203">
            <w:pPr>
              <w:pStyle w:val="m-1649626204377707979msolistparagraph"/>
              <w:keepNext/>
              <w:keepLines/>
              <w:spacing w:before="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2.852,03</w:t>
            </w:r>
          </w:p>
        </w:tc>
      </w:tr>
      <w:tr w:rsidR="003B3DCA" w14:paraId="4DC33468" w14:textId="77777777" w:rsidTr="00BF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9" w:type="dxa"/>
            <w:shd w:val="clear" w:color="auto" w:fill="auto"/>
          </w:tcPr>
          <w:p w14:paraId="63525EC2" w14:textId="77777777" w:rsidR="003B3DCA" w:rsidRDefault="003B3DCA" w:rsidP="00AF58DF">
            <w:pPr>
              <w:pStyle w:val="m-1649626204377707979msolistparagraph"/>
              <w:keepNext/>
              <w:keepLines/>
              <w:spacing w:before="0"/>
              <w:rPr>
                <w:rFonts w:ascii="Calibri" w:hAnsi="Calibri" w:cs="Calibri"/>
                <w:color w:val="222222"/>
                <w:sz w:val="22"/>
                <w:szCs w:val="22"/>
              </w:rPr>
            </w:pPr>
            <w:r>
              <w:rPr>
                <w:rFonts w:ascii="Calibri" w:hAnsi="Calibri" w:cs="Calibri"/>
                <w:color w:val="222222"/>
                <w:sz w:val="22"/>
                <w:szCs w:val="22"/>
              </w:rPr>
              <w:t>Fascia 2</w:t>
            </w:r>
          </w:p>
        </w:tc>
        <w:tc>
          <w:tcPr>
            <w:tcW w:w="1629" w:type="dxa"/>
            <w:shd w:val="clear" w:color="auto" w:fill="auto"/>
          </w:tcPr>
          <w:p w14:paraId="6A0A15FC" w14:textId="77777777" w:rsidR="003B3DCA" w:rsidRDefault="003B3DCA" w:rsidP="00825203">
            <w:pPr>
              <w:pStyle w:val="m-1649626204377707979msolistparagraph"/>
              <w:keepNext/>
              <w:keepLines/>
              <w:spacing w:befor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783</w:t>
            </w:r>
          </w:p>
        </w:tc>
        <w:tc>
          <w:tcPr>
            <w:tcW w:w="1630" w:type="dxa"/>
            <w:shd w:val="clear" w:color="auto" w:fill="auto"/>
          </w:tcPr>
          <w:p w14:paraId="1FFA58C3" w14:textId="77777777" w:rsidR="003B3DCA" w:rsidRDefault="003B3DCA" w:rsidP="00825203">
            <w:pPr>
              <w:pStyle w:val="m-1649626204377707979msolistparagraph"/>
              <w:keepNext/>
              <w:keepLines/>
              <w:spacing w:befor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29,56%</w:t>
            </w:r>
          </w:p>
        </w:tc>
        <w:tc>
          <w:tcPr>
            <w:tcW w:w="1630" w:type="dxa"/>
            <w:shd w:val="clear" w:color="auto" w:fill="auto"/>
          </w:tcPr>
          <w:p w14:paraId="622C001D" w14:textId="77777777" w:rsidR="003B3DCA" w:rsidRDefault="003B3DCA" w:rsidP="00825203">
            <w:pPr>
              <w:pStyle w:val="m-1649626204377707979msolistparagraph"/>
              <w:keepNext/>
              <w:keepLines/>
              <w:spacing w:befor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2.950.297,06</w:t>
            </w:r>
          </w:p>
        </w:tc>
        <w:tc>
          <w:tcPr>
            <w:tcW w:w="1630" w:type="dxa"/>
            <w:shd w:val="clear" w:color="auto" w:fill="auto"/>
          </w:tcPr>
          <w:p w14:paraId="4D0D391E" w14:textId="77777777" w:rsidR="003B3DCA" w:rsidRDefault="003B3DCA" w:rsidP="00825203">
            <w:pPr>
              <w:pStyle w:val="m-1649626204377707979msolistparagraph"/>
              <w:keepNext/>
              <w:keepLines/>
              <w:spacing w:befor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29,23%</w:t>
            </w:r>
          </w:p>
        </w:tc>
        <w:tc>
          <w:tcPr>
            <w:tcW w:w="1630" w:type="dxa"/>
            <w:shd w:val="clear" w:color="auto" w:fill="auto"/>
          </w:tcPr>
          <w:p w14:paraId="0F5512E9" w14:textId="77777777" w:rsidR="003B3DCA" w:rsidRDefault="003B3DCA" w:rsidP="00825203">
            <w:pPr>
              <w:pStyle w:val="m-1649626204377707979msolistparagraph"/>
              <w:keepNext/>
              <w:keepLines/>
              <w:spacing w:befor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3.767,94</w:t>
            </w:r>
          </w:p>
        </w:tc>
      </w:tr>
      <w:tr w:rsidR="003B3DCA" w14:paraId="7F253A3A" w14:textId="77777777" w:rsidTr="00BF6D01">
        <w:tc>
          <w:tcPr>
            <w:cnfStyle w:val="001000000000" w:firstRow="0" w:lastRow="0" w:firstColumn="1" w:lastColumn="0" w:oddVBand="0" w:evenVBand="0" w:oddHBand="0" w:evenHBand="0" w:firstRowFirstColumn="0" w:firstRowLastColumn="0" w:lastRowFirstColumn="0" w:lastRowLastColumn="0"/>
            <w:tcW w:w="1629" w:type="dxa"/>
            <w:shd w:val="clear" w:color="auto" w:fill="auto"/>
          </w:tcPr>
          <w:p w14:paraId="54BE69B9" w14:textId="77777777" w:rsidR="003B3DCA" w:rsidRDefault="003B3DCA" w:rsidP="00AF58DF">
            <w:pPr>
              <w:pStyle w:val="m-1649626204377707979msolistparagraph"/>
              <w:keepNext/>
              <w:keepLines/>
              <w:spacing w:before="0"/>
              <w:rPr>
                <w:rFonts w:ascii="Calibri" w:hAnsi="Calibri" w:cs="Calibri"/>
                <w:color w:val="222222"/>
                <w:sz w:val="22"/>
                <w:szCs w:val="22"/>
              </w:rPr>
            </w:pPr>
            <w:r>
              <w:rPr>
                <w:rFonts w:ascii="Calibri" w:hAnsi="Calibri" w:cs="Calibri"/>
                <w:color w:val="222222"/>
                <w:sz w:val="22"/>
                <w:szCs w:val="22"/>
              </w:rPr>
              <w:t>Fascia 3</w:t>
            </w:r>
          </w:p>
        </w:tc>
        <w:tc>
          <w:tcPr>
            <w:tcW w:w="1629" w:type="dxa"/>
            <w:shd w:val="clear" w:color="auto" w:fill="auto"/>
          </w:tcPr>
          <w:p w14:paraId="27EAC649" w14:textId="77777777" w:rsidR="003B3DCA" w:rsidRDefault="003B3DCA" w:rsidP="00825203">
            <w:pPr>
              <w:pStyle w:val="m-1649626204377707979msolistparagraph"/>
              <w:keepNext/>
              <w:keepLines/>
              <w:spacing w:before="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965</w:t>
            </w:r>
          </w:p>
        </w:tc>
        <w:tc>
          <w:tcPr>
            <w:tcW w:w="1630" w:type="dxa"/>
            <w:shd w:val="clear" w:color="auto" w:fill="auto"/>
          </w:tcPr>
          <w:p w14:paraId="74C59D75" w14:textId="77777777" w:rsidR="003B3DCA" w:rsidRDefault="003B3DCA" w:rsidP="00825203">
            <w:pPr>
              <w:pStyle w:val="m-1649626204377707979msolistparagraph"/>
              <w:keepNext/>
              <w:keepLines/>
              <w:spacing w:before="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36,43%</w:t>
            </w:r>
          </w:p>
        </w:tc>
        <w:tc>
          <w:tcPr>
            <w:tcW w:w="1630" w:type="dxa"/>
            <w:shd w:val="clear" w:color="auto" w:fill="auto"/>
          </w:tcPr>
          <w:p w14:paraId="5C368185" w14:textId="77777777" w:rsidR="003B3DCA" w:rsidRDefault="003B3DCA" w:rsidP="00825203">
            <w:pPr>
              <w:pStyle w:val="m-1649626204377707979msolistparagraph"/>
              <w:keepNext/>
              <w:keepLines/>
              <w:spacing w:before="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4.359.579,93</w:t>
            </w:r>
          </w:p>
        </w:tc>
        <w:tc>
          <w:tcPr>
            <w:tcW w:w="1630" w:type="dxa"/>
            <w:shd w:val="clear" w:color="auto" w:fill="auto"/>
          </w:tcPr>
          <w:p w14:paraId="3213BA70" w14:textId="77777777" w:rsidR="003B3DCA" w:rsidRDefault="003B3DCA" w:rsidP="00825203">
            <w:pPr>
              <w:pStyle w:val="m-1649626204377707979msolistparagraph"/>
              <w:keepNext/>
              <w:keepLines/>
              <w:spacing w:before="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43,20%</w:t>
            </w:r>
          </w:p>
        </w:tc>
        <w:tc>
          <w:tcPr>
            <w:tcW w:w="1630" w:type="dxa"/>
            <w:shd w:val="clear" w:color="auto" w:fill="auto"/>
          </w:tcPr>
          <w:p w14:paraId="39E41C7A" w14:textId="77777777" w:rsidR="003B3DCA" w:rsidRDefault="003B3DCA" w:rsidP="00825203">
            <w:pPr>
              <w:pStyle w:val="m-1649626204377707979msolistparagraph"/>
              <w:keepNext/>
              <w:keepLines/>
              <w:spacing w:before="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4.517,70</w:t>
            </w:r>
          </w:p>
        </w:tc>
      </w:tr>
      <w:tr w:rsidR="003B3DCA" w14:paraId="72549039" w14:textId="77777777" w:rsidTr="00BF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9" w:type="dxa"/>
            <w:shd w:val="clear" w:color="auto" w:fill="auto"/>
          </w:tcPr>
          <w:p w14:paraId="5237AEF7" w14:textId="77777777" w:rsidR="003B3DCA" w:rsidRDefault="003B3DCA" w:rsidP="00AF58DF">
            <w:pPr>
              <w:pStyle w:val="m-1649626204377707979msolistparagraph"/>
              <w:keepNext/>
              <w:keepLines/>
              <w:spacing w:before="0"/>
              <w:rPr>
                <w:rFonts w:ascii="Calibri" w:hAnsi="Calibri" w:cs="Calibri"/>
                <w:color w:val="222222"/>
                <w:sz w:val="22"/>
                <w:szCs w:val="22"/>
              </w:rPr>
            </w:pPr>
            <w:r>
              <w:rPr>
                <w:rFonts w:ascii="Calibri" w:hAnsi="Calibri" w:cs="Calibri"/>
                <w:color w:val="222222"/>
                <w:sz w:val="22"/>
                <w:szCs w:val="22"/>
              </w:rPr>
              <w:t>Fascia 3 Plus</w:t>
            </w:r>
          </w:p>
        </w:tc>
        <w:tc>
          <w:tcPr>
            <w:tcW w:w="1629" w:type="dxa"/>
            <w:shd w:val="clear" w:color="auto" w:fill="auto"/>
          </w:tcPr>
          <w:p w14:paraId="3D402926" w14:textId="77777777" w:rsidR="003B3DCA" w:rsidRDefault="003B3DCA" w:rsidP="00825203">
            <w:pPr>
              <w:pStyle w:val="m-1649626204377707979msolistparagraph"/>
              <w:keepNext/>
              <w:keepLines/>
              <w:spacing w:befor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83</w:t>
            </w:r>
          </w:p>
        </w:tc>
        <w:tc>
          <w:tcPr>
            <w:tcW w:w="1630" w:type="dxa"/>
            <w:shd w:val="clear" w:color="auto" w:fill="auto"/>
          </w:tcPr>
          <w:p w14:paraId="61777477" w14:textId="77777777" w:rsidR="003B3DCA" w:rsidRDefault="003B3DCA" w:rsidP="00825203">
            <w:pPr>
              <w:pStyle w:val="m-1649626204377707979msolistparagraph"/>
              <w:keepNext/>
              <w:keepLines/>
              <w:spacing w:befor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3,13%</w:t>
            </w:r>
          </w:p>
        </w:tc>
        <w:tc>
          <w:tcPr>
            <w:tcW w:w="1630" w:type="dxa"/>
            <w:shd w:val="clear" w:color="auto" w:fill="auto"/>
          </w:tcPr>
          <w:p w14:paraId="3EBBD505" w14:textId="77777777" w:rsidR="003B3DCA" w:rsidRDefault="003B3DCA" w:rsidP="00825203">
            <w:pPr>
              <w:pStyle w:val="m-1649626204377707979msolistparagraph"/>
              <w:keepNext/>
              <w:keepLines/>
              <w:spacing w:befor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449.760,68</w:t>
            </w:r>
          </w:p>
        </w:tc>
        <w:tc>
          <w:tcPr>
            <w:tcW w:w="1630" w:type="dxa"/>
            <w:shd w:val="clear" w:color="auto" w:fill="auto"/>
          </w:tcPr>
          <w:p w14:paraId="46E7E7D9" w14:textId="77777777" w:rsidR="003B3DCA" w:rsidRDefault="003B3DCA" w:rsidP="00825203">
            <w:pPr>
              <w:pStyle w:val="m-1649626204377707979msolistparagraph"/>
              <w:keepNext/>
              <w:keepLines/>
              <w:spacing w:befor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4,46%</w:t>
            </w:r>
          </w:p>
        </w:tc>
        <w:tc>
          <w:tcPr>
            <w:tcW w:w="1630" w:type="dxa"/>
            <w:shd w:val="clear" w:color="auto" w:fill="auto"/>
          </w:tcPr>
          <w:p w14:paraId="49B6512A" w14:textId="77777777" w:rsidR="003B3DCA" w:rsidRDefault="003B3DCA" w:rsidP="00825203">
            <w:pPr>
              <w:pStyle w:val="m-1649626204377707979msolistparagraph"/>
              <w:keepNext/>
              <w:keepLines/>
              <w:spacing w:befor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5.418,80</w:t>
            </w:r>
          </w:p>
        </w:tc>
      </w:tr>
      <w:tr w:rsidR="003B3DCA" w14:paraId="555A0007" w14:textId="77777777" w:rsidTr="00BF6D01">
        <w:tc>
          <w:tcPr>
            <w:cnfStyle w:val="001000000000" w:firstRow="0" w:lastRow="0" w:firstColumn="1" w:lastColumn="0" w:oddVBand="0" w:evenVBand="0" w:oddHBand="0" w:evenHBand="0" w:firstRowFirstColumn="0" w:firstRowLastColumn="0" w:lastRowFirstColumn="0" w:lastRowLastColumn="0"/>
            <w:tcW w:w="1629" w:type="dxa"/>
            <w:shd w:val="clear" w:color="auto" w:fill="auto"/>
          </w:tcPr>
          <w:p w14:paraId="312DBDFD" w14:textId="77777777" w:rsidR="003B3DCA" w:rsidRDefault="003B3DCA" w:rsidP="00AF58DF">
            <w:pPr>
              <w:pStyle w:val="m-1649626204377707979msolistparagraph"/>
              <w:keepNext/>
              <w:keepLines/>
              <w:spacing w:before="0"/>
              <w:rPr>
                <w:rFonts w:ascii="Calibri" w:hAnsi="Calibri" w:cs="Calibri"/>
                <w:color w:val="222222"/>
                <w:sz w:val="22"/>
                <w:szCs w:val="22"/>
              </w:rPr>
            </w:pPr>
            <w:r>
              <w:rPr>
                <w:rFonts w:ascii="Calibri" w:hAnsi="Calibri" w:cs="Calibri"/>
                <w:color w:val="222222"/>
                <w:sz w:val="22"/>
                <w:szCs w:val="22"/>
              </w:rPr>
              <w:t>N° totale doti</w:t>
            </w:r>
          </w:p>
        </w:tc>
        <w:tc>
          <w:tcPr>
            <w:tcW w:w="1629" w:type="dxa"/>
            <w:shd w:val="clear" w:color="auto" w:fill="auto"/>
          </w:tcPr>
          <w:p w14:paraId="42DE6050" w14:textId="77777777" w:rsidR="003B3DCA" w:rsidRPr="00DA3974" w:rsidRDefault="003B3DCA" w:rsidP="00825203">
            <w:pPr>
              <w:pStyle w:val="m-1649626204377707979msolistparagraph"/>
              <w:keepNext/>
              <w:keepLines/>
              <w:spacing w:before="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222222"/>
                <w:sz w:val="22"/>
                <w:szCs w:val="22"/>
              </w:rPr>
            </w:pPr>
            <w:r w:rsidRPr="00DA3974">
              <w:rPr>
                <w:rFonts w:ascii="Calibri" w:hAnsi="Calibri" w:cs="Calibri"/>
                <w:b/>
                <w:bCs/>
                <w:color w:val="222222"/>
                <w:sz w:val="22"/>
                <w:szCs w:val="22"/>
              </w:rPr>
              <w:t>2.649</w:t>
            </w:r>
          </w:p>
        </w:tc>
        <w:tc>
          <w:tcPr>
            <w:tcW w:w="1630" w:type="dxa"/>
            <w:shd w:val="clear" w:color="auto" w:fill="auto"/>
          </w:tcPr>
          <w:p w14:paraId="6821A8E3" w14:textId="77777777" w:rsidR="003B3DCA" w:rsidRPr="00DA3974" w:rsidRDefault="003B3DCA" w:rsidP="00825203">
            <w:pPr>
              <w:pStyle w:val="m-1649626204377707979msolistparagraph"/>
              <w:keepNext/>
              <w:keepLines/>
              <w:spacing w:before="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222222"/>
                <w:sz w:val="22"/>
                <w:szCs w:val="22"/>
              </w:rPr>
            </w:pPr>
            <w:r>
              <w:rPr>
                <w:rFonts w:ascii="Calibri" w:hAnsi="Calibri" w:cs="Calibri"/>
                <w:b/>
                <w:bCs/>
                <w:color w:val="222222"/>
                <w:sz w:val="22"/>
                <w:szCs w:val="22"/>
              </w:rPr>
              <w:t>100%</w:t>
            </w:r>
          </w:p>
        </w:tc>
        <w:tc>
          <w:tcPr>
            <w:tcW w:w="1630" w:type="dxa"/>
            <w:shd w:val="clear" w:color="auto" w:fill="auto"/>
          </w:tcPr>
          <w:p w14:paraId="6E5905C5" w14:textId="77777777" w:rsidR="003B3DCA" w:rsidRPr="00DA3974" w:rsidRDefault="003B3DCA" w:rsidP="00825203">
            <w:pPr>
              <w:pStyle w:val="m-1649626204377707979msolistparagraph"/>
              <w:keepNext/>
              <w:keepLines/>
              <w:spacing w:before="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222222"/>
                <w:sz w:val="22"/>
                <w:szCs w:val="22"/>
              </w:rPr>
            </w:pPr>
            <w:r>
              <w:rPr>
                <w:rFonts w:ascii="Calibri" w:hAnsi="Calibri" w:cs="Calibri"/>
                <w:b/>
                <w:bCs/>
                <w:color w:val="222222"/>
                <w:sz w:val="22"/>
                <w:szCs w:val="22"/>
              </w:rPr>
              <w:t>10.092.601,86</w:t>
            </w:r>
          </w:p>
        </w:tc>
        <w:tc>
          <w:tcPr>
            <w:tcW w:w="1630" w:type="dxa"/>
            <w:shd w:val="clear" w:color="auto" w:fill="auto"/>
          </w:tcPr>
          <w:p w14:paraId="683F59B0" w14:textId="77777777" w:rsidR="003B3DCA" w:rsidRPr="00DA3974" w:rsidRDefault="003B3DCA" w:rsidP="00825203">
            <w:pPr>
              <w:pStyle w:val="m-1649626204377707979msolistparagraph"/>
              <w:keepNext/>
              <w:keepLines/>
              <w:spacing w:before="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222222"/>
                <w:sz w:val="22"/>
                <w:szCs w:val="22"/>
              </w:rPr>
            </w:pPr>
            <w:r>
              <w:rPr>
                <w:rFonts w:ascii="Calibri" w:hAnsi="Calibri" w:cs="Calibri"/>
                <w:b/>
                <w:bCs/>
                <w:color w:val="222222"/>
                <w:sz w:val="22"/>
                <w:szCs w:val="22"/>
              </w:rPr>
              <w:t>100%</w:t>
            </w:r>
          </w:p>
        </w:tc>
        <w:tc>
          <w:tcPr>
            <w:tcW w:w="1630" w:type="dxa"/>
            <w:shd w:val="clear" w:color="auto" w:fill="auto"/>
          </w:tcPr>
          <w:p w14:paraId="6160B058" w14:textId="77777777" w:rsidR="003B3DCA" w:rsidRPr="00DA3974" w:rsidRDefault="003B3DCA" w:rsidP="00825203">
            <w:pPr>
              <w:pStyle w:val="m-1649626204377707979msolistparagraph"/>
              <w:keepNext/>
              <w:keepLines/>
              <w:spacing w:before="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222222"/>
                <w:sz w:val="22"/>
                <w:szCs w:val="22"/>
              </w:rPr>
            </w:pPr>
            <w:r>
              <w:rPr>
                <w:rFonts w:ascii="Calibri" w:hAnsi="Calibri" w:cs="Calibri"/>
                <w:b/>
                <w:bCs/>
                <w:color w:val="222222"/>
                <w:sz w:val="22"/>
                <w:szCs w:val="22"/>
              </w:rPr>
              <w:t>3.809,97</w:t>
            </w:r>
          </w:p>
        </w:tc>
      </w:tr>
    </w:tbl>
    <w:p w14:paraId="78BFE122" w14:textId="77777777" w:rsidR="003B3DCA" w:rsidRPr="009C6A4B" w:rsidRDefault="003B3DCA" w:rsidP="00AB45DF">
      <w:pPr>
        <w:pStyle w:val="Fonte"/>
      </w:pPr>
      <w:r w:rsidRPr="009C6A4B">
        <w:t>Fonte: elaborazione valutatore indipendente “Rapporto di valutazione tematica 2021” su dati monitoraggio Regione Lombardia</w:t>
      </w:r>
    </w:p>
    <w:p w14:paraId="742CD853" w14:textId="77777777" w:rsidR="003B3DCA" w:rsidRDefault="003B3DCA" w:rsidP="003B3DCA">
      <w:pPr>
        <w:pStyle w:val="m-1649626204377707979msolistparagraph"/>
        <w:shd w:val="clear" w:color="auto" w:fill="FFFFFF"/>
        <w:spacing w:before="0" w:beforeAutospacing="0" w:after="0" w:afterAutospacing="0"/>
        <w:jc w:val="both"/>
        <w:rPr>
          <w:rFonts w:ascii="Calibri" w:hAnsi="Calibri" w:cs="Calibri"/>
          <w:color w:val="222222"/>
          <w:sz w:val="20"/>
          <w:szCs w:val="20"/>
        </w:rPr>
      </w:pPr>
    </w:p>
    <w:p w14:paraId="7773D578" w14:textId="77777777" w:rsidR="003B3DCA" w:rsidRDefault="003B3DCA" w:rsidP="00AB45DF">
      <w:r w:rsidRPr="00DA3974">
        <w:t>Le doti sono state prese in carico</w:t>
      </w:r>
      <w:r>
        <w:t xml:space="preserve"> principalmente da un numero limitato di operatori accreditati per i servizi al lavoro e alla formazione, se paragonati al numero di operatori accreditati che hanno operato sulle restanti doti della DUL (110 operatori DUL Autoimprenditorialità vs 230 operatori per le restanti doti). Anche la distribuzione delle doti ha visto un accentramento su soli 10 operatori, che hanno preso in carico quasi il 61% delle doti autoimprenditorialità richieste nella Fase II (si veda</w:t>
      </w:r>
      <w:r w:rsidR="00A606B0">
        <w:t xml:space="preserve"> Tabelle su</w:t>
      </w:r>
      <w:r w:rsidR="00E20AC0">
        <w:t>ccessiva</w:t>
      </w:r>
      <w:r w:rsidRPr="005B2C0A">
        <w:rPr>
          <w:rFonts w:asciiTheme="minorHAnsi" w:hAnsiTheme="minorHAnsi" w:cstheme="minorHAnsi"/>
        </w:rPr>
        <w:t>).</w:t>
      </w:r>
      <w:r>
        <w:t xml:space="preserve"> </w:t>
      </w:r>
    </w:p>
    <w:p w14:paraId="31D15D66" w14:textId="77777777" w:rsidR="003B3DCA" w:rsidRDefault="003B3DCA" w:rsidP="00AB45DF"/>
    <w:p w14:paraId="47F8CED2" w14:textId="77777777" w:rsidR="00DB5AF9" w:rsidRPr="00DB5AF9" w:rsidRDefault="00DB5AF9" w:rsidP="00DB5AF9">
      <w:pPr>
        <w:pStyle w:val="Didascalia"/>
        <w:rPr>
          <w:bCs/>
          <w:i w:val="0"/>
          <w:iCs w:val="0"/>
          <w:sz w:val="22"/>
          <w:szCs w:val="22"/>
        </w:rPr>
      </w:pPr>
      <w:bookmarkStart w:id="121" w:name="_Toc91081458"/>
      <w:r>
        <w:t xml:space="preserve">Tabella </w:t>
      </w:r>
      <w:r w:rsidR="004E6566">
        <w:fldChar w:fldCharType="begin"/>
      </w:r>
      <w:r>
        <w:instrText xml:space="preserve"> SEQ Tabella \* ARABIC </w:instrText>
      </w:r>
      <w:r w:rsidR="004E6566">
        <w:fldChar w:fldCharType="separate"/>
      </w:r>
      <w:r w:rsidR="00E53D6C">
        <w:rPr>
          <w:noProof/>
        </w:rPr>
        <w:t>32</w:t>
      </w:r>
      <w:r w:rsidR="004E6566">
        <w:fldChar w:fldCharType="end"/>
      </w:r>
      <w:r>
        <w:t xml:space="preserve">. </w:t>
      </w:r>
      <w:r w:rsidRPr="00E34C07">
        <w:t>Distribuzione doti prese in carico e importi per operatore</w:t>
      </w:r>
      <w:bookmarkEnd w:id="121"/>
    </w:p>
    <w:tbl>
      <w:tblPr>
        <w:tblStyle w:val="Tabellagriglia4-colore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29063E" w:rsidRPr="0029063E" w14:paraId="7151E5AD" w14:textId="77777777" w:rsidTr="00A606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Borders>
              <w:top w:val="none" w:sz="0" w:space="0" w:color="auto"/>
              <w:left w:val="none" w:sz="0" w:space="0" w:color="auto"/>
              <w:bottom w:val="none" w:sz="0" w:space="0" w:color="auto"/>
              <w:right w:val="none" w:sz="0" w:space="0" w:color="auto"/>
            </w:tcBorders>
            <w:shd w:val="clear" w:color="auto" w:fill="669748" w:themeFill="accent2" w:themeFillShade="BF"/>
          </w:tcPr>
          <w:p w14:paraId="2F23340B" w14:textId="77777777" w:rsidR="003B3DCA" w:rsidRPr="0029063E" w:rsidRDefault="003B3DCA" w:rsidP="00AF58DF">
            <w:pPr>
              <w:pStyle w:val="m-1649626204377707979msolistparagraph"/>
              <w:spacing w:before="0" w:beforeAutospacing="0" w:after="0" w:afterAutospacing="0"/>
              <w:jc w:val="both"/>
              <w:rPr>
                <w:rFonts w:ascii="Calibri" w:hAnsi="Calibri" w:cs="Calibri"/>
                <w:color w:val="FFFFFF" w:themeColor="background1"/>
                <w:sz w:val="22"/>
                <w:szCs w:val="22"/>
              </w:rPr>
            </w:pPr>
            <w:r w:rsidRPr="0029063E">
              <w:rPr>
                <w:rFonts w:ascii="Calibri" w:hAnsi="Calibri" w:cs="Calibri"/>
                <w:color w:val="FFFFFF" w:themeColor="background1"/>
                <w:sz w:val="22"/>
                <w:szCs w:val="22"/>
              </w:rPr>
              <w:t>N° doti richieste</w:t>
            </w:r>
          </w:p>
        </w:tc>
        <w:tc>
          <w:tcPr>
            <w:tcW w:w="1250" w:type="pct"/>
            <w:tcBorders>
              <w:top w:val="none" w:sz="0" w:space="0" w:color="auto"/>
              <w:left w:val="none" w:sz="0" w:space="0" w:color="auto"/>
              <w:bottom w:val="none" w:sz="0" w:space="0" w:color="auto"/>
              <w:right w:val="none" w:sz="0" w:space="0" w:color="auto"/>
            </w:tcBorders>
            <w:shd w:val="clear" w:color="auto" w:fill="669748" w:themeFill="accent2" w:themeFillShade="BF"/>
          </w:tcPr>
          <w:p w14:paraId="74905718" w14:textId="77777777" w:rsidR="003B3DCA" w:rsidRPr="0029063E" w:rsidRDefault="003B3DCA" w:rsidP="00AF58DF">
            <w:pPr>
              <w:pStyle w:val="m-1649626204377707979msolistparagraph"/>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2"/>
                <w:szCs w:val="22"/>
              </w:rPr>
            </w:pPr>
            <w:r w:rsidRPr="0029063E">
              <w:rPr>
                <w:rFonts w:ascii="Calibri" w:hAnsi="Calibri" w:cs="Calibri"/>
                <w:color w:val="FFFFFF" w:themeColor="background1"/>
                <w:sz w:val="22"/>
                <w:szCs w:val="22"/>
              </w:rPr>
              <w:t>N° operatori</w:t>
            </w:r>
          </w:p>
        </w:tc>
        <w:tc>
          <w:tcPr>
            <w:tcW w:w="1250" w:type="pct"/>
            <w:tcBorders>
              <w:top w:val="none" w:sz="0" w:space="0" w:color="auto"/>
              <w:left w:val="none" w:sz="0" w:space="0" w:color="auto"/>
              <w:bottom w:val="none" w:sz="0" w:space="0" w:color="auto"/>
              <w:right w:val="none" w:sz="0" w:space="0" w:color="auto"/>
            </w:tcBorders>
            <w:shd w:val="clear" w:color="auto" w:fill="669748" w:themeFill="accent2" w:themeFillShade="BF"/>
          </w:tcPr>
          <w:p w14:paraId="606A3066" w14:textId="77777777" w:rsidR="003B3DCA" w:rsidRPr="0029063E" w:rsidRDefault="003B3DCA" w:rsidP="00AF58DF">
            <w:pPr>
              <w:pStyle w:val="m-1649626204377707979msolistparagraph"/>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2"/>
                <w:szCs w:val="22"/>
              </w:rPr>
            </w:pPr>
            <w:r w:rsidRPr="0029063E">
              <w:rPr>
                <w:rFonts w:ascii="Calibri" w:hAnsi="Calibri" w:cs="Calibri"/>
                <w:color w:val="FFFFFF" w:themeColor="background1"/>
                <w:sz w:val="22"/>
                <w:szCs w:val="22"/>
              </w:rPr>
              <w:t>Doti prese in carico</w:t>
            </w:r>
          </w:p>
        </w:tc>
        <w:tc>
          <w:tcPr>
            <w:tcW w:w="1250" w:type="pct"/>
            <w:tcBorders>
              <w:top w:val="none" w:sz="0" w:space="0" w:color="auto"/>
              <w:left w:val="none" w:sz="0" w:space="0" w:color="auto"/>
              <w:bottom w:val="none" w:sz="0" w:space="0" w:color="auto"/>
              <w:right w:val="none" w:sz="0" w:space="0" w:color="auto"/>
            </w:tcBorders>
            <w:shd w:val="clear" w:color="auto" w:fill="669748" w:themeFill="accent2" w:themeFillShade="BF"/>
          </w:tcPr>
          <w:p w14:paraId="64CF9C7C" w14:textId="77777777" w:rsidR="00A606B0" w:rsidRDefault="003B3DCA" w:rsidP="00AF58DF">
            <w:pPr>
              <w:pStyle w:val="m-1649626204377707979msolistparagraph"/>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themeColor="background1"/>
                <w:sz w:val="22"/>
                <w:szCs w:val="22"/>
              </w:rPr>
            </w:pPr>
            <w:r w:rsidRPr="0029063E">
              <w:rPr>
                <w:rFonts w:ascii="Calibri" w:hAnsi="Calibri" w:cs="Calibri"/>
                <w:color w:val="FFFFFF" w:themeColor="background1"/>
                <w:sz w:val="22"/>
                <w:szCs w:val="22"/>
              </w:rPr>
              <w:t xml:space="preserve">Importo richiesto </w:t>
            </w:r>
          </w:p>
          <w:p w14:paraId="0BB31C50" w14:textId="77777777" w:rsidR="003B3DCA" w:rsidRPr="0029063E" w:rsidRDefault="003B3DCA" w:rsidP="00AF58DF">
            <w:pPr>
              <w:pStyle w:val="m-1649626204377707979msolistparagraph"/>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2"/>
                <w:szCs w:val="22"/>
              </w:rPr>
            </w:pPr>
            <w:r w:rsidRPr="0029063E">
              <w:rPr>
                <w:rFonts w:ascii="Calibri" w:hAnsi="Calibri" w:cs="Calibri"/>
                <w:color w:val="FFFFFF" w:themeColor="background1"/>
                <w:sz w:val="22"/>
                <w:szCs w:val="22"/>
              </w:rPr>
              <w:t>(in euro)</w:t>
            </w:r>
          </w:p>
        </w:tc>
      </w:tr>
      <w:tr w:rsidR="003B3DCA" w14:paraId="42E8C53D" w14:textId="77777777" w:rsidTr="00BF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DE51C06" w14:textId="77777777" w:rsidR="003B3DCA" w:rsidRDefault="003B3DCA" w:rsidP="00AF58DF">
            <w:pPr>
              <w:pStyle w:val="m-1649626204377707979msolistparagraph"/>
              <w:spacing w:before="0" w:beforeAutospacing="0" w:after="0" w:afterAutospacing="0"/>
              <w:jc w:val="both"/>
              <w:rPr>
                <w:rFonts w:ascii="Calibri" w:hAnsi="Calibri" w:cs="Calibri"/>
                <w:color w:val="222222"/>
                <w:sz w:val="22"/>
                <w:szCs w:val="22"/>
              </w:rPr>
            </w:pPr>
            <w:r>
              <w:rPr>
                <w:rFonts w:ascii="Calibri" w:hAnsi="Calibri" w:cs="Calibri"/>
                <w:color w:val="222222"/>
                <w:sz w:val="22"/>
                <w:szCs w:val="22"/>
              </w:rPr>
              <w:t>100 ed oltre</w:t>
            </w:r>
          </w:p>
        </w:tc>
        <w:tc>
          <w:tcPr>
            <w:tcW w:w="1250" w:type="pct"/>
            <w:shd w:val="clear" w:color="auto" w:fill="auto"/>
          </w:tcPr>
          <w:p w14:paraId="09710DE4" w14:textId="77777777" w:rsidR="003B3DCA" w:rsidRDefault="003B3DCA" w:rsidP="00825203">
            <w:pPr>
              <w:pStyle w:val="m-1649626204377707979msolistparagraph"/>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5</w:t>
            </w:r>
          </w:p>
        </w:tc>
        <w:tc>
          <w:tcPr>
            <w:tcW w:w="1250" w:type="pct"/>
            <w:shd w:val="clear" w:color="auto" w:fill="auto"/>
          </w:tcPr>
          <w:p w14:paraId="512E931B" w14:textId="77777777" w:rsidR="003B3DCA" w:rsidRDefault="003B3DCA" w:rsidP="00825203">
            <w:pPr>
              <w:pStyle w:val="m-1649626204377707979msolistparagraph"/>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1.286</w:t>
            </w:r>
          </w:p>
        </w:tc>
        <w:tc>
          <w:tcPr>
            <w:tcW w:w="1250" w:type="pct"/>
            <w:shd w:val="clear" w:color="auto" w:fill="auto"/>
          </w:tcPr>
          <w:p w14:paraId="02CE6441" w14:textId="77777777" w:rsidR="003B3DCA" w:rsidRDefault="003B3DCA" w:rsidP="00825203">
            <w:pPr>
              <w:pStyle w:val="m-1649626204377707979msolistparagraph"/>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4.827.062,84</w:t>
            </w:r>
          </w:p>
        </w:tc>
      </w:tr>
      <w:tr w:rsidR="003B3DCA" w14:paraId="6E16D723" w14:textId="77777777" w:rsidTr="00BF6D01">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6E394C5" w14:textId="77777777" w:rsidR="003B3DCA" w:rsidRDefault="003B3DCA" w:rsidP="00AF58DF">
            <w:pPr>
              <w:pStyle w:val="m-1649626204377707979msolistparagraph"/>
              <w:spacing w:before="0" w:beforeAutospacing="0" w:after="0" w:afterAutospacing="0"/>
              <w:jc w:val="both"/>
              <w:rPr>
                <w:rFonts w:ascii="Calibri" w:hAnsi="Calibri" w:cs="Calibri"/>
                <w:color w:val="222222"/>
                <w:sz w:val="22"/>
                <w:szCs w:val="22"/>
              </w:rPr>
            </w:pPr>
            <w:r>
              <w:rPr>
                <w:rFonts w:ascii="Calibri" w:hAnsi="Calibri" w:cs="Calibri"/>
                <w:color w:val="222222"/>
                <w:sz w:val="22"/>
                <w:szCs w:val="22"/>
              </w:rPr>
              <w:t>50-99</w:t>
            </w:r>
          </w:p>
        </w:tc>
        <w:tc>
          <w:tcPr>
            <w:tcW w:w="1250" w:type="pct"/>
            <w:shd w:val="clear" w:color="auto" w:fill="auto"/>
          </w:tcPr>
          <w:p w14:paraId="13CF31B8" w14:textId="77777777" w:rsidR="003B3DCA" w:rsidRDefault="003B3DCA" w:rsidP="00825203">
            <w:pPr>
              <w:pStyle w:val="m-1649626204377707979msolistparagraph"/>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6</w:t>
            </w:r>
          </w:p>
        </w:tc>
        <w:tc>
          <w:tcPr>
            <w:tcW w:w="1250" w:type="pct"/>
            <w:shd w:val="clear" w:color="auto" w:fill="auto"/>
          </w:tcPr>
          <w:p w14:paraId="0EB325E8" w14:textId="77777777" w:rsidR="003B3DCA" w:rsidRDefault="003B3DCA" w:rsidP="00825203">
            <w:pPr>
              <w:pStyle w:val="m-1649626204377707979msolistparagraph"/>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371</w:t>
            </w:r>
          </w:p>
        </w:tc>
        <w:tc>
          <w:tcPr>
            <w:tcW w:w="1250" w:type="pct"/>
            <w:shd w:val="clear" w:color="auto" w:fill="auto"/>
          </w:tcPr>
          <w:p w14:paraId="09C1E264" w14:textId="77777777" w:rsidR="003B3DCA" w:rsidRDefault="003B3DCA" w:rsidP="00825203">
            <w:pPr>
              <w:pStyle w:val="m-1649626204377707979msolistparagraph"/>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1.442.523,63</w:t>
            </w:r>
          </w:p>
        </w:tc>
      </w:tr>
      <w:tr w:rsidR="003B3DCA" w14:paraId="420CFFF4" w14:textId="77777777" w:rsidTr="00BF6D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D485E7C" w14:textId="77777777" w:rsidR="003B3DCA" w:rsidRDefault="003B3DCA" w:rsidP="00AF58DF">
            <w:pPr>
              <w:pStyle w:val="m-1649626204377707979msolistparagraph"/>
              <w:spacing w:before="0" w:beforeAutospacing="0" w:after="0" w:afterAutospacing="0"/>
              <w:jc w:val="both"/>
              <w:rPr>
                <w:rFonts w:ascii="Calibri" w:hAnsi="Calibri" w:cs="Calibri"/>
                <w:color w:val="222222"/>
                <w:sz w:val="22"/>
                <w:szCs w:val="22"/>
              </w:rPr>
            </w:pPr>
            <w:r>
              <w:rPr>
                <w:rFonts w:ascii="Calibri" w:hAnsi="Calibri" w:cs="Calibri"/>
                <w:color w:val="222222"/>
                <w:sz w:val="22"/>
                <w:szCs w:val="22"/>
              </w:rPr>
              <w:t>Fino a 49</w:t>
            </w:r>
          </w:p>
        </w:tc>
        <w:tc>
          <w:tcPr>
            <w:tcW w:w="1250" w:type="pct"/>
            <w:shd w:val="clear" w:color="auto" w:fill="auto"/>
          </w:tcPr>
          <w:p w14:paraId="5C5DB627" w14:textId="77777777" w:rsidR="003B3DCA" w:rsidRDefault="003B3DCA" w:rsidP="00825203">
            <w:pPr>
              <w:pStyle w:val="m-1649626204377707979msolistparagraph"/>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99</w:t>
            </w:r>
          </w:p>
        </w:tc>
        <w:tc>
          <w:tcPr>
            <w:tcW w:w="1250" w:type="pct"/>
            <w:shd w:val="clear" w:color="auto" w:fill="auto"/>
          </w:tcPr>
          <w:p w14:paraId="1221E0CB" w14:textId="77777777" w:rsidR="003B3DCA" w:rsidRDefault="003B3DCA" w:rsidP="00825203">
            <w:pPr>
              <w:pStyle w:val="m-1649626204377707979msolistparagraph"/>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992</w:t>
            </w:r>
          </w:p>
        </w:tc>
        <w:tc>
          <w:tcPr>
            <w:tcW w:w="1250" w:type="pct"/>
            <w:shd w:val="clear" w:color="auto" w:fill="auto"/>
          </w:tcPr>
          <w:p w14:paraId="38B9916E" w14:textId="77777777" w:rsidR="003B3DCA" w:rsidRDefault="003B3DCA" w:rsidP="00825203">
            <w:pPr>
              <w:pStyle w:val="m-1649626204377707979msolistparagraph"/>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222222"/>
                <w:sz w:val="22"/>
                <w:szCs w:val="22"/>
              </w:rPr>
            </w:pPr>
            <w:r>
              <w:rPr>
                <w:rFonts w:ascii="Calibri" w:hAnsi="Calibri" w:cs="Calibri"/>
                <w:color w:val="222222"/>
                <w:sz w:val="22"/>
                <w:szCs w:val="22"/>
              </w:rPr>
              <w:t>3.823.015,39</w:t>
            </w:r>
          </w:p>
        </w:tc>
      </w:tr>
      <w:tr w:rsidR="003B3DCA" w14:paraId="469E2A58" w14:textId="77777777" w:rsidTr="00BF6D01">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7C40910" w14:textId="77777777" w:rsidR="003B3DCA" w:rsidRDefault="003B3DCA" w:rsidP="00AF58DF">
            <w:pPr>
              <w:pStyle w:val="m-1649626204377707979msolistparagraph"/>
              <w:spacing w:before="0" w:beforeAutospacing="0" w:after="0" w:afterAutospacing="0"/>
              <w:jc w:val="both"/>
              <w:rPr>
                <w:rFonts w:ascii="Calibri" w:hAnsi="Calibri" w:cs="Calibri"/>
                <w:color w:val="222222"/>
                <w:sz w:val="22"/>
                <w:szCs w:val="22"/>
              </w:rPr>
            </w:pPr>
            <w:r>
              <w:rPr>
                <w:rFonts w:ascii="Calibri" w:hAnsi="Calibri" w:cs="Calibri"/>
                <w:color w:val="222222"/>
                <w:sz w:val="22"/>
                <w:szCs w:val="22"/>
              </w:rPr>
              <w:t>Totale doti</w:t>
            </w:r>
          </w:p>
        </w:tc>
        <w:tc>
          <w:tcPr>
            <w:tcW w:w="1250" w:type="pct"/>
            <w:shd w:val="clear" w:color="auto" w:fill="auto"/>
          </w:tcPr>
          <w:p w14:paraId="069C60FD" w14:textId="77777777" w:rsidR="003B3DCA" w:rsidRPr="00A87840" w:rsidRDefault="003B3DCA" w:rsidP="00825203">
            <w:pPr>
              <w:pStyle w:val="m-1649626204377707979msolistparagraph"/>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222222"/>
                <w:sz w:val="22"/>
                <w:szCs w:val="22"/>
              </w:rPr>
            </w:pPr>
            <w:r w:rsidRPr="00A87840">
              <w:rPr>
                <w:rFonts w:ascii="Calibri" w:hAnsi="Calibri" w:cs="Calibri"/>
                <w:b/>
                <w:bCs/>
                <w:color w:val="222222"/>
                <w:sz w:val="22"/>
                <w:szCs w:val="22"/>
              </w:rPr>
              <w:t>110</w:t>
            </w:r>
          </w:p>
        </w:tc>
        <w:tc>
          <w:tcPr>
            <w:tcW w:w="1250" w:type="pct"/>
            <w:shd w:val="clear" w:color="auto" w:fill="auto"/>
          </w:tcPr>
          <w:p w14:paraId="384189E6" w14:textId="77777777" w:rsidR="003B3DCA" w:rsidRPr="00A87840" w:rsidRDefault="003B3DCA" w:rsidP="00825203">
            <w:pPr>
              <w:pStyle w:val="m-1649626204377707979msolistparagraph"/>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222222"/>
                <w:sz w:val="22"/>
                <w:szCs w:val="22"/>
              </w:rPr>
            </w:pPr>
            <w:r>
              <w:rPr>
                <w:rFonts w:ascii="Calibri" w:hAnsi="Calibri" w:cs="Calibri"/>
                <w:b/>
                <w:bCs/>
                <w:color w:val="222222"/>
                <w:sz w:val="22"/>
                <w:szCs w:val="22"/>
              </w:rPr>
              <w:t>2.649</w:t>
            </w:r>
          </w:p>
        </w:tc>
        <w:tc>
          <w:tcPr>
            <w:tcW w:w="1250" w:type="pct"/>
            <w:shd w:val="clear" w:color="auto" w:fill="auto"/>
          </w:tcPr>
          <w:p w14:paraId="45541B0A" w14:textId="77777777" w:rsidR="003B3DCA" w:rsidRPr="00A87840" w:rsidRDefault="003B3DCA" w:rsidP="00825203">
            <w:pPr>
              <w:pStyle w:val="m-1649626204377707979msolistparagraph"/>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222222"/>
                <w:sz w:val="22"/>
                <w:szCs w:val="22"/>
              </w:rPr>
            </w:pPr>
            <w:r>
              <w:rPr>
                <w:rFonts w:ascii="Calibri" w:hAnsi="Calibri" w:cs="Calibri"/>
                <w:b/>
                <w:bCs/>
                <w:color w:val="222222"/>
                <w:sz w:val="22"/>
                <w:szCs w:val="22"/>
              </w:rPr>
              <w:t>10.092.601,86</w:t>
            </w:r>
          </w:p>
        </w:tc>
      </w:tr>
    </w:tbl>
    <w:p w14:paraId="3CCB5865" w14:textId="77777777" w:rsidR="003B3DCA" w:rsidRPr="009C6A4B" w:rsidRDefault="003B3DCA" w:rsidP="0038676D">
      <w:pPr>
        <w:pStyle w:val="Fonte"/>
      </w:pPr>
      <w:r w:rsidRPr="009C6A4B">
        <w:t>Fonte: elaborazione valutatore indipendente “Rapporto di valutazione tematica 2021” su dati monitoraggio Regione Lombardia</w:t>
      </w:r>
    </w:p>
    <w:p w14:paraId="600B0025" w14:textId="77777777" w:rsidR="003B3DCA" w:rsidRDefault="003B3DCA" w:rsidP="003B3DCA">
      <w:pPr>
        <w:pStyle w:val="m-1649626204377707979msolistparagraph"/>
        <w:shd w:val="clear" w:color="auto" w:fill="FFFFFF"/>
        <w:spacing w:before="0" w:beforeAutospacing="0" w:after="0" w:afterAutospacing="0"/>
        <w:jc w:val="both"/>
        <w:rPr>
          <w:rFonts w:ascii="Calibri" w:hAnsi="Calibri" w:cs="Calibri"/>
          <w:color w:val="222222"/>
          <w:sz w:val="20"/>
          <w:szCs w:val="20"/>
        </w:rPr>
      </w:pPr>
    </w:p>
    <w:p w14:paraId="21116309" w14:textId="77777777" w:rsidR="003B3DCA" w:rsidRDefault="003B3DCA" w:rsidP="00AB45DF">
      <w:r>
        <w:t>L’importo complessivo richiesto da questi 10 operatori era pari a €6.060.955,54, ovvero il 60,1% dell’importo totale richiesto. Da ciò ne consegue che tali operatori si sono specializzati nell’erogazione di tali servizi.</w:t>
      </w:r>
    </w:p>
    <w:p w14:paraId="331110B5" w14:textId="77777777" w:rsidR="003B3DCA" w:rsidRDefault="003B3DCA" w:rsidP="00AB45DF">
      <w:r>
        <w:t xml:space="preserve"> </w:t>
      </w:r>
    </w:p>
    <w:p w14:paraId="30BAD1B0" w14:textId="77777777" w:rsidR="003B3DCA" w:rsidRDefault="003B3DCA" w:rsidP="00AB45DF"/>
    <w:p w14:paraId="0A0B0FED" w14:textId="77777777" w:rsidR="003B3DCA" w:rsidRDefault="003B3DCA" w:rsidP="00AB45DF">
      <w:pPr>
        <w:rPr>
          <w:b/>
          <w:bCs/>
          <w:i/>
          <w:iCs/>
        </w:rPr>
      </w:pPr>
      <w:r w:rsidRPr="003B3DCA">
        <w:rPr>
          <w:b/>
          <w:bCs/>
          <w:i/>
          <w:iCs/>
        </w:rPr>
        <w:t>Bando per la “Selezione di percorsi di formazione/accompagnamento per l’avvio di imprese culturali e creative da insediare in spazi pubblici”</w:t>
      </w:r>
    </w:p>
    <w:p w14:paraId="656EB968" w14:textId="77777777" w:rsidR="003B3DCA" w:rsidRPr="003B3DCA" w:rsidRDefault="003B3DCA" w:rsidP="00AB45DF">
      <w:pPr>
        <w:rPr>
          <w:b/>
          <w:bCs/>
          <w:i/>
          <w:iCs/>
        </w:rPr>
      </w:pPr>
    </w:p>
    <w:p w14:paraId="63CBC177" w14:textId="77777777" w:rsidR="003B3DCA" w:rsidRDefault="003B3DCA" w:rsidP="00AB45DF">
      <w:r>
        <w:t xml:space="preserve">Il bando oggetto dell’analisi nasce da un intervento di supporto all’autoimprenditorialità finanziato dall’Obiettivo Tematico 8 del POR FSE Lombardia, che </w:t>
      </w:r>
      <w:r>
        <w:rPr>
          <w:b/>
          <w:bCs/>
        </w:rPr>
        <w:t>persegue</w:t>
      </w:r>
      <w:r w:rsidRPr="005B53ED">
        <w:t xml:space="preserve">, tra i </w:t>
      </w:r>
      <w:r>
        <w:t>vari obiettivi,</w:t>
      </w:r>
      <w:r w:rsidRPr="005B53ED">
        <w:t xml:space="preserve"> </w:t>
      </w:r>
      <w:r>
        <w:rPr>
          <w:b/>
          <w:bCs/>
        </w:rPr>
        <w:t xml:space="preserve">quello della lotta alla disoccupazione, in particolare giovanile, attraverso azioni di promozione della cultura dell’autoimprenditorialità. </w:t>
      </w:r>
      <w:r w:rsidRPr="00FD6A0F">
        <w:t>Il bando emanato dalla Regione</w:t>
      </w:r>
      <w:r>
        <w:t xml:space="preserve"> mirava alla </w:t>
      </w:r>
      <w:r w:rsidRPr="009C6A4B">
        <w:rPr>
          <w:b/>
        </w:rPr>
        <w:t>selezione dei migliori percorsi di formazione/accompagnamento</w:t>
      </w:r>
      <w:r>
        <w:rPr>
          <w:b/>
        </w:rPr>
        <w:t xml:space="preserve"> erogati sia da soggetti</w:t>
      </w:r>
      <w:r>
        <w:rPr>
          <w:rStyle w:val="Rimandonotaapidipagina"/>
          <w:b/>
        </w:rPr>
        <w:footnoteReference w:id="23"/>
      </w:r>
      <w:r>
        <w:rPr>
          <w:b/>
        </w:rPr>
        <w:t xml:space="preserve"> pubblici che privati,</w:t>
      </w:r>
      <w:r w:rsidRPr="009C6A4B">
        <w:rPr>
          <w:b/>
        </w:rPr>
        <w:t xml:space="preserve"> rivolti a disoccupati di qualsiasi età che avessero un'idea d'impresa nel settore culturale e creativo </w:t>
      </w:r>
      <w:r>
        <w:t xml:space="preserve">e avessero l’intenzione di </w:t>
      </w:r>
      <w:r w:rsidRPr="00FD6A0F">
        <w:t xml:space="preserve">trasformarla in </w:t>
      </w:r>
      <w:r>
        <w:t xml:space="preserve">un </w:t>
      </w:r>
      <w:r w:rsidRPr="00FD6A0F">
        <w:t>concreto progetto imprenditoriale</w:t>
      </w:r>
      <w:r>
        <w:t xml:space="preserve">. </w:t>
      </w:r>
    </w:p>
    <w:p w14:paraId="1AC9E7A5" w14:textId="77777777" w:rsidR="003B3DCA" w:rsidRDefault="003B3DCA" w:rsidP="00AB45DF">
      <w:r>
        <w:t>Gli operatori accreditati alla formazione e al lavoro beneficiari del finanziamento dovevano documentare di possedere (in proprio o avvalendosi delle competenze specialistiche degli incubatori d’impresa):</w:t>
      </w:r>
    </w:p>
    <w:p w14:paraId="4EC8709E" w14:textId="77777777" w:rsidR="003B3DCA" w:rsidRPr="005C28B4" w:rsidRDefault="003B3DCA" w:rsidP="0038676D">
      <w:pPr>
        <w:pStyle w:val="Paragrafoelenco"/>
        <w:numPr>
          <w:ilvl w:val="0"/>
          <w:numId w:val="39"/>
        </w:numPr>
        <w:rPr>
          <w:lang w:eastAsia="it-IT"/>
        </w:rPr>
      </w:pPr>
      <w:r w:rsidRPr="0091616F">
        <w:rPr>
          <w:lang w:eastAsia="it-IT"/>
        </w:rPr>
        <w:t>esperienza di progetti nell’ambito del settore culturale e creativo;</w:t>
      </w:r>
    </w:p>
    <w:p w14:paraId="7A9548C4" w14:textId="77777777" w:rsidR="003B3DCA" w:rsidRPr="00AB45DF" w:rsidRDefault="003B3DCA" w:rsidP="0038676D">
      <w:pPr>
        <w:pStyle w:val="Paragrafoelenco"/>
        <w:numPr>
          <w:ilvl w:val="0"/>
          <w:numId w:val="39"/>
        </w:numPr>
        <w:rPr>
          <w:rFonts w:ascii="Arial" w:hAnsi="Arial"/>
        </w:rPr>
      </w:pPr>
      <w:r w:rsidRPr="0091616F">
        <w:t>esperienza nel sostegno al project management e all’avvio d’impresa;</w:t>
      </w:r>
      <w:r w:rsidRPr="007A2D36">
        <w:t xml:space="preserve"> </w:t>
      </w:r>
    </w:p>
    <w:p w14:paraId="4C159292" w14:textId="77777777" w:rsidR="003B3DCA" w:rsidRPr="0091616F" w:rsidRDefault="003B3DCA" w:rsidP="0038676D">
      <w:pPr>
        <w:pStyle w:val="Paragrafoelenco"/>
        <w:numPr>
          <w:ilvl w:val="0"/>
          <w:numId w:val="39"/>
        </w:numPr>
      </w:pPr>
      <w:r w:rsidRPr="0091616F">
        <w:t>conoscenza ed esperienza nel campo delle nuove tecnologie e della comunicazione;</w:t>
      </w:r>
    </w:p>
    <w:p w14:paraId="72A4BF2E" w14:textId="77777777" w:rsidR="003B3DCA" w:rsidRPr="0091616F" w:rsidRDefault="003B3DCA" w:rsidP="0038676D">
      <w:pPr>
        <w:pStyle w:val="Paragrafoelenco"/>
        <w:numPr>
          <w:ilvl w:val="0"/>
          <w:numId w:val="39"/>
        </w:numPr>
      </w:pPr>
      <w:r w:rsidRPr="0091616F">
        <w:t xml:space="preserve">esperienza nell’organizzazione di stage in altri paesi della UE; </w:t>
      </w:r>
    </w:p>
    <w:p w14:paraId="3547473D" w14:textId="77777777" w:rsidR="003B3DCA" w:rsidRPr="005C28B4" w:rsidRDefault="003B3DCA" w:rsidP="0038676D">
      <w:pPr>
        <w:pStyle w:val="Paragrafoelenco"/>
        <w:numPr>
          <w:ilvl w:val="0"/>
          <w:numId w:val="39"/>
        </w:numPr>
        <w:rPr>
          <w:lang w:eastAsia="it-IT"/>
        </w:rPr>
      </w:pPr>
      <w:r w:rsidRPr="0091616F">
        <w:rPr>
          <w:lang w:eastAsia="it-IT"/>
        </w:rPr>
        <w:t>esperienza nella promozione e gestione di bandi per la selezione e la formazione di persone disoccupate.</w:t>
      </w:r>
    </w:p>
    <w:p w14:paraId="0A84CEFF" w14:textId="77777777" w:rsidR="003B3DCA" w:rsidRDefault="003B3DCA" w:rsidP="003B3DCA">
      <w:r>
        <w:t xml:space="preserve">Il bando prevedeva che l’impresa, una volta costituita, </w:t>
      </w:r>
      <w:r w:rsidRPr="00FD6A0F">
        <w:t>po</w:t>
      </w:r>
      <w:r>
        <w:t>tesse</w:t>
      </w:r>
      <w:r w:rsidRPr="00FD6A0F">
        <w:t xml:space="preserve"> usufruire, a condizioni agevolate, di spazi inutilizzati di proprietà di Enti pubblici </w:t>
      </w:r>
      <w:r>
        <w:t>coinvolti nel</w:t>
      </w:r>
      <w:r w:rsidRPr="00FD6A0F">
        <w:t xml:space="preserve"> progetto</w:t>
      </w:r>
      <w:r>
        <w:t xml:space="preserve">. </w:t>
      </w:r>
    </w:p>
    <w:p w14:paraId="2405CC54" w14:textId="77777777" w:rsidR="003B3DCA" w:rsidRDefault="003B3DCA" w:rsidP="003B3DCA">
      <w:r>
        <w:t>Il bando</w:t>
      </w:r>
      <w:r>
        <w:rPr>
          <w:rStyle w:val="Rimandonotaapidipagina"/>
        </w:rPr>
        <w:footnoteReference w:id="24"/>
      </w:r>
      <w:r>
        <w:t xml:space="preserve"> in oggetto rappresenta una </w:t>
      </w:r>
      <w:r w:rsidRPr="00D92EB8">
        <w:rPr>
          <w:b/>
          <w:bCs/>
        </w:rPr>
        <w:t>azione di natura sperimentale</w:t>
      </w:r>
      <w:r>
        <w:t xml:space="preserve"> maturata nel biennio 2020-2021, nella quale era previsto anche il coinvolgimento di incubatori di impresa certificati presso il Ministero dello Sviluppo Economico. Il bando prevedeva </w:t>
      </w:r>
      <w:r w:rsidRPr="009C6A4B">
        <w:rPr>
          <w:b/>
        </w:rPr>
        <w:t>progetti della durata di 7 mesi</w:t>
      </w:r>
      <w:r>
        <w:t xml:space="preserve"> rivolti non a un singolo beneficiario, ma a un gruppo/team di beneficiari (almeno 2 persone) interessati a collaborare allo sviluppo di una idea imprenditoriale, così come segue:</w:t>
      </w:r>
    </w:p>
    <w:p w14:paraId="0D7C7521" w14:textId="77777777" w:rsidR="003B3DCA" w:rsidRPr="00AB45DF" w:rsidRDefault="003B3DCA" w:rsidP="0038676D">
      <w:pPr>
        <w:pStyle w:val="Paragrafoelenco"/>
        <w:numPr>
          <w:ilvl w:val="0"/>
          <w:numId w:val="40"/>
        </w:numPr>
        <w:rPr>
          <w:rFonts w:eastAsia="Times New Roman"/>
        </w:rPr>
      </w:pPr>
      <w:r w:rsidRPr="00AB45DF">
        <w:rPr>
          <w:rFonts w:eastAsia="Times New Roman"/>
          <w:b/>
        </w:rPr>
        <w:t>Modulo formativo 1</w:t>
      </w:r>
      <w:r w:rsidRPr="00AB45DF">
        <w:rPr>
          <w:rFonts w:eastAsia="Times New Roman"/>
        </w:rPr>
        <w:t>:</w:t>
      </w:r>
      <w:r w:rsidRPr="00AB45DF">
        <w:rPr>
          <w:rFonts w:eastAsia="Times New Roman"/>
          <w:b/>
          <w:bCs/>
        </w:rPr>
        <w:t xml:space="preserve"> </w:t>
      </w:r>
      <w:r w:rsidRPr="00AB45DF">
        <w:rPr>
          <w:rFonts w:eastAsia="Times New Roman"/>
        </w:rPr>
        <w:t xml:space="preserve">della durata minima di 290 ore e volto a fornire ai team selezionati </w:t>
      </w:r>
      <w:r w:rsidRPr="00AB45DF">
        <w:rPr>
          <w:rFonts w:eastAsia="Times New Roman"/>
          <w:b/>
          <w:bCs/>
        </w:rPr>
        <w:t>le competenze necessarie per creare e gestire una nuova impresa</w:t>
      </w:r>
      <w:r w:rsidRPr="00AB45DF">
        <w:rPr>
          <w:rFonts w:eastAsia="Times New Roman"/>
        </w:rPr>
        <w:t xml:space="preserve"> nel settore culturale e creativo</w:t>
      </w:r>
      <w:r w:rsidRPr="00813BA7">
        <w:rPr>
          <w:rStyle w:val="Rimandonotaapidipagina"/>
          <w:rFonts w:asciiTheme="minorHAnsi" w:eastAsia="Times New Roman" w:hAnsiTheme="minorHAnsi" w:cstheme="minorHAnsi"/>
        </w:rPr>
        <w:footnoteReference w:id="25"/>
      </w:r>
      <w:r w:rsidRPr="00AB45DF">
        <w:rPr>
          <w:rFonts w:eastAsia="Times New Roman"/>
        </w:rPr>
        <w:t>;</w:t>
      </w:r>
    </w:p>
    <w:p w14:paraId="7AA638D1" w14:textId="77777777" w:rsidR="003B3DCA" w:rsidRPr="00AB45DF" w:rsidRDefault="003B3DCA" w:rsidP="0038676D">
      <w:pPr>
        <w:pStyle w:val="Paragrafoelenco"/>
        <w:numPr>
          <w:ilvl w:val="0"/>
          <w:numId w:val="40"/>
        </w:numPr>
        <w:rPr>
          <w:rFonts w:eastAsia="Times New Roman"/>
        </w:rPr>
      </w:pPr>
      <w:r w:rsidRPr="00AB45DF">
        <w:rPr>
          <w:szCs w:val="22"/>
        </w:rPr>
        <w:t>Un’esperienza di</w:t>
      </w:r>
      <w:r w:rsidRPr="00AB45DF">
        <w:rPr>
          <w:b/>
          <w:bCs/>
          <w:szCs w:val="22"/>
        </w:rPr>
        <w:t xml:space="preserve"> mobilità transnazionale, </w:t>
      </w:r>
      <w:r w:rsidRPr="00AB45DF">
        <w:rPr>
          <w:szCs w:val="22"/>
        </w:rPr>
        <w:t>attraverso uno stage in altri paesi dell’Unione Europea della durata minima di 220 ore, presso imprese, studi professionali, incubatori o altri enti/organismi che abbiano messo in pratica progetti imprenditoriali analoghi e rappresentino casi di successo da cui trarre insegnamenti utili;</w:t>
      </w:r>
    </w:p>
    <w:p w14:paraId="55DEB537" w14:textId="77777777" w:rsidR="003B3DCA" w:rsidRPr="00AB45DF" w:rsidRDefault="003B3DCA" w:rsidP="0038676D">
      <w:pPr>
        <w:pStyle w:val="Paragrafoelenco"/>
        <w:numPr>
          <w:ilvl w:val="0"/>
          <w:numId w:val="40"/>
        </w:numPr>
        <w:rPr>
          <w:rFonts w:eastAsia="Times New Roman"/>
          <w:b/>
          <w:bCs/>
        </w:rPr>
      </w:pPr>
      <w:r w:rsidRPr="00AB45DF">
        <w:rPr>
          <w:b/>
          <w:szCs w:val="22"/>
        </w:rPr>
        <w:t>Modulo formativo/di accompagnamento 2</w:t>
      </w:r>
      <w:r w:rsidRPr="00AB45DF">
        <w:rPr>
          <w:szCs w:val="22"/>
        </w:rPr>
        <w:t>: più breve (della durata minima di 140 ore)</w:t>
      </w:r>
      <w:r w:rsidRPr="00AB45DF">
        <w:rPr>
          <w:rFonts w:eastAsia="Times New Roman"/>
        </w:rPr>
        <w:t xml:space="preserve"> </w:t>
      </w:r>
      <w:r w:rsidRPr="00AB45DF">
        <w:rPr>
          <w:szCs w:val="22"/>
        </w:rPr>
        <w:t xml:space="preserve">per sistematizzare i risultati acquisiti nell’ambito degli stage all’estero, </w:t>
      </w:r>
      <w:r w:rsidRPr="00AB45DF">
        <w:rPr>
          <w:b/>
          <w:bCs/>
          <w:szCs w:val="22"/>
        </w:rPr>
        <w:t xml:space="preserve">perfezionare i progetti imprenditoriali </w:t>
      </w:r>
      <w:r w:rsidRPr="00AB45DF">
        <w:rPr>
          <w:szCs w:val="22"/>
        </w:rPr>
        <w:t xml:space="preserve">elaborati da ciascun gruppo di beneficiari e </w:t>
      </w:r>
      <w:r w:rsidRPr="00AB45DF">
        <w:rPr>
          <w:b/>
          <w:bCs/>
          <w:szCs w:val="22"/>
        </w:rPr>
        <w:t>verificare la possibilità di procedere alla costituzione dell’impresa;</w:t>
      </w:r>
    </w:p>
    <w:p w14:paraId="5BDAF298" w14:textId="77777777" w:rsidR="003B3DCA" w:rsidRPr="00AB45DF" w:rsidRDefault="003B3DCA" w:rsidP="0038676D">
      <w:pPr>
        <w:pStyle w:val="Paragrafoelenco"/>
        <w:numPr>
          <w:ilvl w:val="0"/>
          <w:numId w:val="40"/>
        </w:numPr>
        <w:rPr>
          <w:rFonts w:eastAsia="Times New Roman"/>
        </w:rPr>
      </w:pPr>
      <w:r w:rsidRPr="00AB45DF">
        <w:rPr>
          <w:b/>
          <w:szCs w:val="22"/>
        </w:rPr>
        <w:t>Modulo formativo 3</w:t>
      </w:r>
      <w:r w:rsidRPr="00AB45DF">
        <w:rPr>
          <w:szCs w:val="22"/>
        </w:rPr>
        <w:t xml:space="preserve">: della durata minima di 70 ore, consistente in </w:t>
      </w:r>
      <w:r w:rsidRPr="00AB45DF">
        <w:rPr>
          <w:b/>
          <w:bCs/>
          <w:szCs w:val="22"/>
        </w:rPr>
        <w:t xml:space="preserve">attività di mentoring e di affiancamento sul lavoro </w:t>
      </w:r>
      <w:r w:rsidRPr="00AB45DF">
        <w:rPr>
          <w:szCs w:val="22"/>
        </w:rPr>
        <w:t xml:space="preserve">rivolte ai team di partecipanti che avranno costituito la loro impresa, per </w:t>
      </w:r>
      <w:r w:rsidRPr="00AB45DF">
        <w:rPr>
          <w:b/>
          <w:bCs/>
          <w:szCs w:val="22"/>
        </w:rPr>
        <w:t>supportarli nella fase di start-up</w:t>
      </w:r>
      <w:r w:rsidRPr="00813BA7">
        <w:rPr>
          <w:rStyle w:val="Rimandonotaapidipagina"/>
          <w:rFonts w:asciiTheme="minorHAnsi" w:hAnsiTheme="minorHAnsi" w:cstheme="minorHAnsi"/>
          <w:b/>
          <w:bCs/>
          <w:szCs w:val="22"/>
        </w:rPr>
        <w:footnoteReference w:id="26"/>
      </w:r>
      <w:r w:rsidRPr="00AB45DF">
        <w:rPr>
          <w:szCs w:val="22"/>
        </w:rPr>
        <w:t xml:space="preserve">. </w:t>
      </w:r>
    </w:p>
    <w:p w14:paraId="79999578" w14:textId="7F60570A" w:rsidR="003B3DCA" w:rsidRDefault="003B3DCA" w:rsidP="00AB45DF">
      <w:r>
        <w:t>Le risorse attivate e impegnate sono pari a €2Mln</w:t>
      </w:r>
      <w:r>
        <w:rPr>
          <w:rStyle w:val="Rimandonotaapidipagina"/>
        </w:rPr>
        <w:footnoteReference w:id="27"/>
      </w:r>
      <w:r>
        <w:t>, e potevano essere finanziati progetti con un costo complessivo fra i €200.000 e i €400.000, con un numero massimo di team coinvolti pari a 20. In risposta al  bando sono giunte 15 proposte progettuali e 6</w:t>
      </w:r>
      <w:r>
        <w:rPr>
          <w:rStyle w:val="Rimandonotaapidipagina"/>
        </w:rPr>
        <w:footnoteReference w:id="28"/>
      </w:r>
      <w:r>
        <w:t xml:space="preserve"> progetti sono stati finanziati, per un totale di 22 destinatari.</w:t>
      </w:r>
    </w:p>
    <w:p w14:paraId="2DF81F2F" w14:textId="77777777" w:rsidR="004242C0" w:rsidRDefault="004242C0" w:rsidP="00AB45DF"/>
    <w:p w14:paraId="14081E26" w14:textId="77777777" w:rsidR="003B3DCA" w:rsidRDefault="003B3DCA" w:rsidP="00AB45DF"/>
    <w:p w14:paraId="16794D88" w14:textId="77777777" w:rsidR="003B3DCA" w:rsidRDefault="003B3DCA" w:rsidP="003B3DCA">
      <w:pPr>
        <w:pStyle w:val="Titolo4"/>
        <w:rPr>
          <w:b w:val="0"/>
          <w:bCs/>
        </w:rPr>
      </w:pPr>
      <w:r>
        <w:t>Metodologia e domande di valutazione</w:t>
      </w:r>
    </w:p>
    <w:p w14:paraId="46A016F3" w14:textId="77777777" w:rsidR="003B3DCA" w:rsidRDefault="003B3DCA" w:rsidP="003B3DCA">
      <w:r>
        <w:t>Il rapporto di valutazione mirava a rispondere alle seguenti domande di valutazione:</w:t>
      </w:r>
    </w:p>
    <w:p w14:paraId="069D3921" w14:textId="77777777" w:rsidR="003B3DCA" w:rsidRPr="00D21A4C" w:rsidRDefault="003B3DCA" w:rsidP="0038676D">
      <w:pPr>
        <w:pStyle w:val="Paragrafoelenco"/>
        <w:numPr>
          <w:ilvl w:val="0"/>
          <w:numId w:val="41"/>
        </w:numPr>
      </w:pPr>
      <w:r w:rsidRPr="00D21A4C">
        <w:t xml:space="preserve">Questi interventi hanno permesso la creazione e la crescita di nuove attività imprenditoriali e/o di lavoro autonomo? </w:t>
      </w:r>
    </w:p>
    <w:p w14:paraId="58A55A17" w14:textId="77777777" w:rsidR="003B3DCA" w:rsidRPr="00D21A4C" w:rsidRDefault="003B3DCA" w:rsidP="0038676D">
      <w:pPr>
        <w:pStyle w:val="Paragrafoelenco"/>
        <w:numPr>
          <w:ilvl w:val="0"/>
          <w:numId w:val="41"/>
        </w:numPr>
      </w:pPr>
      <w:r w:rsidRPr="00D21A4C">
        <w:t xml:space="preserve">Il fatturato di queste nuove attività imprenditoriali e/o di lavoro autonomo è cresciuto nel tempo e/o si prevede che crescerà? </w:t>
      </w:r>
    </w:p>
    <w:p w14:paraId="5A7DF98C" w14:textId="77777777" w:rsidR="003B3DCA" w:rsidRPr="00D21A4C" w:rsidRDefault="003B3DCA" w:rsidP="0038676D">
      <w:pPr>
        <w:pStyle w:val="Paragrafoelenco"/>
        <w:numPr>
          <w:ilvl w:val="0"/>
          <w:numId w:val="41"/>
        </w:numPr>
      </w:pPr>
      <w:r w:rsidRPr="00D21A4C">
        <w:t xml:space="preserve">Queste nuove attività imprenditoriali e/o di lavoro autonomo hanno creato nuova occupazione? </w:t>
      </w:r>
    </w:p>
    <w:p w14:paraId="2DDB5DDB" w14:textId="77777777" w:rsidR="003B3DCA" w:rsidRPr="00D21A4C" w:rsidRDefault="003B3DCA" w:rsidP="0038676D">
      <w:pPr>
        <w:pStyle w:val="Paragrafoelenco"/>
        <w:numPr>
          <w:ilvl w:val="0"/>
          <w:numId w:val="41"/>
        </w:numPr>
      </w:pPr>
      <w:r w:rsidRPr="00D21A4C">
        <w:t xml:space="preserve">Qual è il tasso di sopravvivenza delle attività imprenditoriali e/o di lavoro autonomo avviate grazie a questi interventi? </w:t>
      </w:r>
    </w:p>
    <w:p w14:paraId="53AC66E9" w14:textId="77777777" w:rsidR="003B3DCA" w:rsidRPr="00D21A4C" w:rsidRDefault="003B3DCA" w:rsidP="0038676D">
      <w:pPr>
        <w:pStyle w:val="Paragrafoelenco"/>
        <w:numPr>
          <w:ilvl w:val="0"/>
          <w:numId w:val="41"/>
        </w:numPr>
      </w:pPr>
      <w:r w:rsidRPr="00D21A4C">
        <w:t xml:space="preserve">Come si differenziano per settore di attività e localizzazione territoriali le attività imprenditoriali e/o di lavoro autonomo nate grazie a questi interventi? </w:t>
      </w:r>
    </w:p>
    <w:p w14:paraId="17F4D602" w14:textId="77777777" w:rsidR="003B3DCA" w:rsidRPr="00D21A4C" w:rsidRDefault="003B3DCA" w:rsidP="0038676D">
      <w:pPr>
        <w:pStyle w:val="Paragrafoelenco"/>
        <w:numPr>
          <w:ilvl w:val="0"/>
          <w:numId w:val="41"/>
        </w:numPr>
      </w:pPr>
      <w:r w:rsidRPr="00D21A4C">
        <w:t xml:space="preserve">Come la crisi da pandemia da COVID-19 ha impattato su questi interventi e sulle attività imprenditoriali e/o di lavoro autonomo create grazie a questi interventi? </w:t>
      </w:r>
    </w:p>
    <w:p w14:paraId="26C2CAA4" w14:textId="77777777" w:rsidR="003B3DCA" w:rsidRPr="00D21A4C" w:rsidRDefault="003B3DCA" w:rsidP="0038676D">
      <w:pPr>
        <w:pStyle w:val="Paragrafoelenco"/>
        <w:numPr>
          <w:ilvl w:val="0"/>
          <w:numId w:val="41"/>
        </w:numPr>
      </w:pPr>
      <w:r w:rsidRPr="00D21A4C">
        <w:t xml:space="preserve">Quali sono le caratteristiche socio-anagrafiche dei destinatari di questi interventi che avviano nuove attività imprenditoriali e/o di lavoro autonomo? Emergono target di destinatari prevalenti? E altri non intercettati da questi interventi? </w:t>
      </w:r>
    </w:p>
    <w:p w14:paraId="19E4CD19" w14:textId="77777777" w:rsidR="003B3DCA" w:rsidRPr="00D21A4C" w:rsidRDefault="003B3DCA" w:rsidP="0038676D">
      <w:pPr>
        <w:pStyle w:val="Paragrafoelenco"/>
        <w:numPr>
          <w:ilvl w:val="0"/>
          <w:numId w:val="41"/>
        </w:numPr>
      </w:pPr>
      <w:r w:rsidRPr="00D21A4C">
        <w:t xml:space="preserve">Emergono caratteristiche motivazionali diverse alla base dell’avvio di queste nuove attività imprenditoriali e/o di lavoro autonomo a seconda delle caratteristiche dei destinatari raggiunti, ad esempio disoccupati/soggetti più vulnerabili versus “potenziali imprenditori”? </w:t>
      </w:r>
    </w:p>
    <w:p w14:paraId="799CF18D" w14:textId="77777777" w:rsidR="003B3DCA" w:rsidRDefault="003B3DCA" w:rsidP="00AB45DF"/>
    <w:p w14:paraId="14EB9447" w14:textId="77777777" w:rsidR="003B3DCA" w:rsidRDefault="003B3DCA" w:rsidP="003B3DCA">
      <w:r>
        <w:t xml:space="preserve">A tale fine, il valutatore ha previsto un </w:t>
      </w:r>
      <w:r w:rsidRPr="009C6A4B">
        <w:rPr>
          <w:b/>
        </w:rPr>
        <w:t>mix di metodologie qualitative e quantitative</w:t>
      </w:r>
      <w:r>
        <w:t>, come riepilogato nella</w:t>
      </w:r>
      <w:r w:rsidR="00E20AC0">
        <w:t xml:space="preserve"> Tabella seguente</w:t>
      </w:r>
      <w:r>
        <w:t>.</w:t>
      </w:r>
    </w:p>
    <w:p w14:paraId="2CA42A8E" w14:textId="77777777" w:rsidR="003B3DCA" w:rsidRDefault="003B3DCA" w:rsidP="003B3DCA"/>
    <w:p w14:paraId="31015D5B" w14:textId="77777777" w:rsidR="003B3DCA" w:rsidRPr="0080535F" w:rsidRDefault="003B3DCA" w:rsidP="00F23A31">
      <w:pPr>
        <w:pStyle w:val="Didascalia"/>
        <w:rPr>
          <w:b w:val="0"/>
        </w:rPr>
      </w:pPr>
      <w:bookmarkStart w:id="122" w:name="_Ref86054573"/>
      <w:bookmarkStart w:id="123" w:name="_Toc91081459"/>
      <w:r w:rsidRPr="0080535F">
        <w:t xml:space="preserve">Tabella </w:t>
      </w:r>
      <w:r w:rsidR="004E6566" w:rsidRPr="0080535F">
        <w:rPr>
          <w:b w:val="0"/>
        </w:rPr>
        <w:fldChar w:fldCharType="begin"/>
      </w:r>
      <w:r w:rsidRPr="0080535F">
        <w:instrText xml:space="preserve"> SEQ Tabella \* ARABIC </w:instrText>
      </w:r>
      <w:r w:rsidR="004E6566" w:rsidRPr="0080535F">
        <w:rPr>
          <w:b w:val="0"/>
        </w:rPr>
        <w:fldChar w:fldCharType="separate"/>
      </w:r>
      <w:r w:rsidR="00E53D6C">
        <w:rPr>
          <w:noProof/>
        </w:rPr>
        <w:t>33</w:t>
      </w:r>
      <w:r w:rsidR="004E6566" w:rsidRPr="0080535F">
        <w:rPr>
          <w:b w:val="0"/>
        </w:rPr>
        <w:fldChar w:fldCharType="end"/>
      </w:r>
      <w:bookmarkEnd w:id="122"/>
      <w:r w:rsidRPr="0080535F">
        <w:t>. Metodologia della valutazione</w:t>
      </w:r>
      <w:bookmarkEnd w:id="123"/>
    </w:p>
    <w:tbl>
      <w:tblPr>
        <w:tblStyle w:val="Tabellagriglia4-colore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7122"/>
      </w:tblGrid>
      <w:tr w:rsidR="0029063E" w:rsidRPr="0029063E" w14:paraId="6492F44E" w14:textId="77777777" w:rsidTr="00A606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left w:val="single" w:sz="4" w:space="0" w:color="auto"/>
              <w:bottom w:val="single" w:sz="4" w:space="0" w:color="auto"/>
              <w:right w:val="single" w:sz="4" w:space="0" w:color="auto"/>
            </w:tcBorders>
            <w:shd w:val="clear" w:color="auto" w:fill="669748" w:themeFill="accent2" w:themeFillShade="BF"/>
          </w:tcPr>
          <w:p w14:paraId="1C6748BF" w14:textId="77777777" w:rsidR="003B3DCA" w:rsidRPr="0029063E" w:rsidRDefault="003B3DCA" w:rsidP="00AF58DF">
            <w:pPr>
              <w:rPr>
                <w:color w:val="FFFFFF" w:themeColor="background1"/>
                <w:lang w:eastAsia="ja-JP"/>
              </w:rPr>
            </w:pPr>
            <w:r w:rsidRPr="0029063E">
              <w:rPr>
                <w:color w:val="FFFFFF" w:themeColor="background1"/>
                <w:lang w:eastAsia="ja-JP"/>
              </w:rPr>
              <w:t>Oggetto dell’analisi</w:t>
            </w:r>
          </w:p>
        </w:tc>
        <w:tc>
          <w:tcPr>
            <w:tcW w:w="7260" w:type="dxa"/>
            <w:tcBorders>
              <w:top w:val="single" w:sz="4" w:space="0" w:color="auto"/>
              <w:left w:val="single" w:sz="4" w:space="0" w:color="auto"/>
              <w:bottom w:val="single" w:sz="4" w:space="0" w:color="auto"/>
              <w:right w:val="single" w:sz="4" w:space="0" w:color="auto"/>
            </w:tcBorders>
            <w:shd w:val="clear" w:color="auto" w:fill="669748" w:themeFill="accent2" w:themeFillShade="BF"/>
          </w:tcPr>
          <w:p w14:paraId="415E9550" w14:textId="77777777" w:rsidR="003B3DCA" w:rsidRPr="0029063E" w:rsidRDefault="003B3DCA" w:rsidP="00AF58DF">
            <w:pPr>
              <w:cnfStyle w:val="100000000000" w:firstRow="1" w:lastRow="0" w:firstColumn="0" w:lastColumn="0" w:oddVBand="0" w:evenVBand="0" w:oddHBand="0" w:evenHBand="0" w:firstRowFirstColumn="0" w:firstRowLastColumn="0" w:lastRowFirstColumn="0" w:lastRowLastColumn="0"/>
              <w:rPr>
                <w:color w:val="FFFFFF" w:themeColor="background1"/>
                <w:lang w:eastAsia="ja-JP"/>
              </w:rPr>
            </w:pPr>
            <w:r w:rsidRPr="0029063E">
              <w:rPr>
                <w:color w:val="FFFFFF" w:themeColor="background1"/>
                <w:lang w:eastAsia="ja-JP"/>
              </w:rPr>
              <w:t>Metodologie adottate</w:t>
            </w:r>
          </w:p>
        </w:tc>
      </w:tr>
      <w:tr w:rsidR="003B3DCA" w14:paraId="36043698" w14:textId="77777777" w:rsidTr="00290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tcBorders>
            <w:shd w:val="clear" w:color="auto" w:fill="auto"/>
          </w:tcPr>
          <w:p w14:paraId="74B330CB" w14:textId="77777777" w:rsidR="003B3DCA" w:rsidRDefault="003B3DCA" w:rsidP="00AF58DF">
            <w:pPr>
              <w:rPr>
                <w:lang w:eastAsia="ja-JP"/>
              </w:rPr>
            </w:pPr>
            <w:r>
              <w:rPr>
                <w:lang w:eastAsia="ja-JP"/>
              </w:rPr>
              <w:t>DUL Autoimprenditorialità</w:t>
            </w:r>
          </w:p>
        </w:tc>
        <w:tc>
          <w:tcPr>
            <w:tcW w:w="7260" w:type="dxa"/>
            <w:tcBorders>
              <w:top w:val="single" w:sz="4" w:space="0" w:color="auto"/>
            </w:tcBorders>
            <w:shd w:val="clear" w:color="auto" w:fill="auto"/>
          </w:tcPr>
          <w:p w14:paraId="1963E17F" w14:textId="77777777" w:rsidR="003B3DCA" w:rsidRPr="00AB45DF" w:rsidRDefault="003B3DCA" w:rsidP="0038676D">
            <w:pPr>
              <w:pStyle w:val="Paragrafoelenco"/>
              <w:numPr>
                <w:ilvl w:val="0"/>
                <w:numId w:val="42"/>
              </w:numPr>
              <w:cnfStyle w:val="000000100000" w:firstRow="0" w:lastRow="0" w:firstColumn="0" w:lastColumn="0" w:oddVBand="0" w:evenVBand="0" w:oddHBand="1" w:evenHBand="0" w:firstRowFirstColumn="0" w:firstRowLastColumn="0" w:lastRowFirstColumn="0" w:lastRowLastColumn="0"/>
            </w:pPr>
            <w:r w:rsidRPr="00AB45DF">
              <w:t>Analisi desk della documentazione rilevante (documenti programmatori, bandi, avvisi, ecc.)</w:t>
            </w:r>
          </w:p>
          <w:p w14:paraId="27CE8175" w14:textId="77777777" w:rsidR="003B3DCA" w:rsidRPr="00AB45DF" w:rsidRDefault="003B3DCA" w:rsidP="0038676D">
            <w:pPr>
              <w:pStyle w:val="Paragrafoelenco"/>
              <w:numPr>
                <w:ilvl w:val="0"/>
                <w:numId w:val="42"/>
              </w:numPr>
              <w:cnfStyle w:val="000000100000" w:firstRow="0" w:lastRow="0" w:firstColumn="0" w:lastColumn="0" w:oddVBand="0" w:evenVBand="0" w:oddHBand="1" w:evenHBand="0" w:firstRowFirstColumn="0" w:firstRowLastColumn="0" w:lastRowFirstColumn="0" w:lastRowLastColumn="0"/>
            </w:pPr>
            <w:r w:rsidRPr="00AB45DF">
              <w:t>Interviste ai referenti regionali della misura</w:t>
            </w:r>
          </w:p>
          <w:p w14:paraId="38492173" w14:textId="77777777" w:rsidR="003B3DCA" w:rsidRPr="00AB45DF" w:rsidRDefault="003B3DCA" w:rsidP="0038676D">
            <w:pPr>
              <w:pStyle w:val="Paragrafoelenco"/>
              <w:numPr>
                <w:ilvl w:val="0"/>
                <w:numId w:val="42"/>
              </w:numPr>
              <w:cnfStyle w:val="000000100000" w:firstRow="0" w:lastRow="0" w:firstColumn="0" w:lastColumn="0" w:oddVBand="0" w:evenVBand="0" w:oddHBand="1" w:evenHBand="0" w:firstRowFirstColumn="0" w:firstRowLastColumn="0" w:lastRowFirstColumn="0" w:lastRowLastColumn="0"/>
            </w:pPr>
            <w:r w:rsidRPr="00AB45DF">
              <w:t xml:space="preserve">Analisi statistico-descrittiva dei dati di monitoraggio della DUL Autoimprenditorialità – Fase II </w:t>
            </w:r>
          </w:p>
          <w:p w14:paraId="6894F83D" w14:textId="77777777" w:rsidR="003B3DCA" w:rsidRPr="00AB45DF" w:rsidRDefault="003B3DCA" w:rsidP="0038676D">
            <w:pPr>
              <w:pStyle w:val="Paragrafoelenco"/>
              <w:numPr>
                <w:ilvl w:val="0"/>
                <w:numId w:val="42"/>
              </w:numPr>
              <w:cnfStyle w:val="000000100000" w:firstRow="0" w:lastRow="0" w:firstColumn="0" w:lastColumn="0" w:oddVBand="0" w:evenVBand="0" w:oddHBand="1" w:evenHBand="0" w:firstRowFirstColumn="0" w:firstRowLastColumn="0" w:lastRowFirstColumn="0" w:lastRowLastColumn="0"/>
            </w:pPr>
            <w:r w:rsidRPr="00AB45DF">
              <w:t xml:space="preserve">Indagine on-line (CAWI), mediante questionario strutturato, sui destinatari della DUL Autoimprenditorialità - Fase II </w:t>
            </w:r>
          </w:p>
        </w:tc>
      </w:tr>
      <w:tr w:rsidR="003B3DCA" w14:paraId="565BB16F" w14:textId="77777777" w:rsidTr="009E7B46">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5AAF376A" w14:textId="77777777" w:rsidR="003B3DCA" w:rsidRDefault="003B3DCA" w:rsidP="00AF58DF">
            <w:pPr>
              <w:rPr>
                <w:lang w:eastAsia="ja-JP"/>
              </w:rPr>
            </w:pPr>
            <w:r>
              <w:rPr>
                <w:lang w:eastAsia="ja-JP"/>
              </w:rPr>
              <w:t>Bando Imprese creative</w:t>
            </w:r>
          </w:p>
        </w:tc>
        <w:tc>
          <w:tcPr>
            <w:tcW w:w="7260" w:type="dxa"/>
            <w:shd w:val="clear" w:color="auto" w:fill="auto"/>
          </w:tcPr>
          <w:p w14:paraId="0EEDC151" w14:textId="77777777" w:rsidR="003B3DCA" w:rsidRPr="00AB45DF" w:rsidRDefault="003B3DCA" w:rsidP="0038676D">
            <w:pPr>
              <w:pStyle w:val="Paragrafoelenco"/>
              <w:numPr>
                <w:ilvl w:val="0"/>
                <w:numId w:val="42"/>
              </w:numPr>
              <w:cnfStyle w:val="000000000000" w:firstRow="0" w:lastRow="0" w:firstColumn="0" w:lastColumn="0" w:oddVBand="0" w:evenVBand="0" w:oddHBand="0" w:evenHBand="0" w:firstRowFirstColumn="0" w:firstRowLastColumn="0" w:lastRowFirstColumn="0" w:lastRowLastColumn="0"/>
            </w:pPr>
            <w:r w:rsidRPr="00AB45DF">
              <w:t xml:space="preserve">Analisi desk della documentazione rilevante </w:t>
            </w:r>
          </w:p>
          <w:p w14:paraId="521DF1CE" w14:textId="77777777" w:rsidR="003B3DCA" w:rsidRPr="00AB45DF" w:rsidRDefault="003B3DCA" w:rsidP="0038676D">
            <w:pPr>
              <w:pStyle w:val="Paragrafoelenco"/>
              <w:numPr>
                <w:ilvl w:val="0"/>
                <w:numId w:val="42"/>
              </w:numPr>
              <w:cnfStyle w:val="000000000000" w:firstRow="0" w:lastRow="0" w:firstColumn="0" w:lastColumn="0" w:oddVBand="0" w:evenVBand="0" w:oddHBand="0" w:evenHBand="0" w:firstRowFirstColumn="0" w:firstRowLastColumn="0" w:lastRowFirstColumn="0" w:lastRowLastColumn="0"/>
            </w:pPr>
            <w:r w:rsidRPr="00AB45DF">
              <w:t>Interviste ai referenti regionali della misura</w:t>
            </w:r>
          </w:p>
          <w:p w14:paraId="61D23A36" w14:textId="77777777" w:rsidR="003B3DCA" w:rsidRPr="00AB45DF" w:rsidRDefault="003B3DCA" w:rsidP="0038676D">
            <w:pPr>
              <w:pStyle w:val="Paragrafoelenco"/>
              <w:numPr>
                <w:ilvl w:val="0"/>
                <w:numId w:val="42"/>
              </w:numPr>
              <w:cnfStyle w:val="000000000000" w:firstRow="0" w:lastRow="0" w:firstColumn="0" w:lastColumn="0" w:oddVBand="0" w:evenVBand="0" w:oddHBand="0" w:evenHBand="0" w:firstRowFirstColumn="0" w:firstRowLastColumn="0" w:lastRowFirstColumn="0" w:lastRowLastColumn="0"/>
            </w:pPr>
            <w:r w:rsidRPr="00AB45DF">
              <w:t>Analisi statistico-descrittiva dei dati di monitoraggio FSE sui “percorsi per l’avvio di imprese culturali e creative”, con riferimento al bando nella sua interezza, numero di progetti approvati ed avviati, numero complessivo di destinatari coinvolti e loro principali caratteristiche socio-anagrafiche</w:t>
            </w:r>
          </w:p>
          <w:p w14:paraId="5910034E" w14:textId="77777777" w:rsidR="003B3DCA" w:rsidRPr="00AB45DF" w:rsidRDefault="003B3DCA" w:rsidP="0038676D">
            <w:pPr>
              <w:pStyle w:val="Paragrafoelenco"/>
              <w:numPr>
                <w:ilvl w:val="0"/>
                <w:numId w:val="42"/>
              </w:numPr>
              <w:cnfStyle w:val="000000000000" w:firstRow="0" w:lastRow="0" w:firstColumn="0" w:lastColumn="0" w:oddVBand="0" w:evenVBand="0" w:oddHBand="0" w:evenHBand="0" w:firstRowFirstColumn="0" w:firstRowLastColumn="0" w:lastRowFirstColumn="0" w:lastRowLastColumn="0"/>
              <w:rPr>
                <w:lang w:eastAsia="ja-JP"/>
              </w:rPr>
            </w:pPr>
            <w:r w:rsidRPr="00AB45DF">
              <w:t>Focus group con i beneficiari dei progetti approvati ed avviati nell’ambito del Bando “Selezione di percorsi di formazione/accompagnamento per l’avvio di imprese culturali e creative da insediare in spazi pubblici”</w:t>
            </w:r>
          </w:p>
        </w:tc>
      </w:tr>
    </w:tbl>
    <w:p w14:paraId="16B2D0F5" w14:textId="77777777" w:rsidR="003B3DCA" w:rsidRPr="009C6A4B" w:rsidRDefault="003B3DCA" w:rsidP="00E17935">
      <w:pPr>
        <w:pStyle w:val="Fonte"/>
      </w:pPr>
      <w:r w:rsidRPr="009C6A4B">
        <w:t>Fonte: “Rapporto di valutazione tematica 2021”, RTI IRS-COGEA</w:t>
      </w:r>
    </w:p>
    <w:p w14:paraId="6507147A" w14:textId="77777777" w:rsidR="003B3DCA" w:rsidRDefault="003B3DCA" w:rsidP="003B3DCA"/>
    <w:p w14:paraId="5BA9857A" w14:textId="77777777" w:rsidR="003B3DCA" w:rsidRDefault="003B3DCA" w:rsidP="003B3DCA">
      <w:r>
        <w:t xml:space="preserve">Tali attività sono state anche volte a comprendere in che modo l’avvento del </w:t>
      </w:r>
      <w:r w:rsidR="0030242F">
        <w:t>COVID</w:t>
      </w:r>
      <w:r>
        <w:t>-19 abbia influito/possa influire in futuro sugli interventi per l’autoimprenditorialità.</w:t>
      </w:r>
    </w:p>
    <w:p w14:paraId="11728E83" w14:textId="77777777" w:rsidR="003B3DCA" w:rsidRDefault="003B3DCA" w:rsidP="003B3DCA"/>
    <w:p w14:paraId="72D1EE5C" w14:textId="77777777" w:rsidR="00BF3994" w:rsidRDefault="00BF3994" w:rsidP="003B3DCA"/>
    <w:p w14:paraId="7AB23727" w14:textId="77777777" w:rsidR="00A606B0" w:rsidRDefault="00A606B0" w:rsidP="003B3DCA"/>
    <w:p w14:paraId="21FADD90" w14:textId="77777777" w:rsidR="003B3DCA" w:rsidRDefault="003B3DCA" w:rsidP="003B3DCA">
      <w:pPr>
        <w:pStyle w:val="Titolo4"/>
      </w:pPr>
      <w:r>
        <w:t>Risultati della valutazione degli interventi per l’imprenditorialità finanziati dal POR FSE Lombardia</w:t>
      </w:r>
    </w:p>
    <w:p w14:paraId="3012A3AC" w14:textId="77777777" w:rsidR="00BF3994" w:rsidRPr="00BF3994" w:rsidRDefault="00BF3994" w:rsidP="00BF3994"/>
    <w:p w14:paraId="561DC677" w14:textId="77777777" w:rsidR="003B3DCA" w:rsidRDefault="003B3DCA" w:rsidP="00E17935">
      <w:r>
        <w:t>Il presente capitolo analizzerà i risultati della valutazione degli interventi per l’imprenditorialità finanziati dal POR FSE Lombardia, evidenziando anche le possibili ripercussioni della crisi pandemica sul prosieguo degli interventi e sui risultati degli stessi. Per quanto riguarda il Bando per le Imprese culturali e creative, la sintesi riportata fornirà delle prime riflessioni di massima sull’andamento di questa azione sperimentale, per la quale non vi sono ad oggi ancora sufficienti evidenze per stabilirne l’efficacia.</w:t>
      </w:r>
    </w:p>
    <w:p w14:paraId="4F5399EC" w14:textId="77777777" w:rsidR="003B3DCA" w:rsidRDefault="003B3DCA" w:rsidP="00E17935">
      <w:pPr>
        <w:rPr>
          <w:b/>
          <w:bCs/>
          <w:i/>
          <w:iCs/>
        </w:rPr>
      </w:pPr>
    </w:p>
    <w:p w14:paraId="5544D2A4" w14:textId="77777777" w:rsidR="003B3DCA" w:rsidRPr="003B3DCA" w:rsidRDefault="003B3DCA" w:rsidP="003B3DCA">
      <w:pPr>
        <w:rPr>
          <w:b/>
          <w:bCs/>
          <w:i/>
          <w:iCs/>
        </w:rPr>
      </w:pPr>
      <w:r w:rsidRPr="003B3DCA">
        <w:rPr>
          <w:b/>
          <w:bCs/>
          <w:i/>
          <w:iCs/>
        </w:rPr>
        <w:t>DUL Autoimprenditorialità</w:t>
      </w:r>
    </w:p>
    <w:p w14:paraId="4C51CA99" w14:textId="77777777" w:rsidR="003B3DCA" w:rsidRDefault="003B3DCA" w:rsidP="003B3DCA"/>
    <w:p w14:paraId="78D6346F" w14:textId="77777777" w:rsidR="003B3DCA" w:rsidRPr="003B3DCA" w:rsidRDefault="003B3DCA" w:rsidP="003B3DCA">
      <w:pPr>
        <w:rPr>
          <w:b/>
          <w:bCs/>
          <w:u w:val="single"/>
        </w:rPr>
      </w:pPr>
      <w:r w:rsidRPr="003B3DCA">
        <w:rPr>
          <w:u w:val="single"/>
        </w:rPr>
        <w:t>I destinatari: le caratteristiche</w:t>
      </w:r>
    </w:p>
    <w:p w14:paraId="4CA672E5" w14:textId="77777777" w:rsidR="003B3DCA" w:rsidRDefault="003B3DCA" w:rsidP="003B3DCA">
      <w:r>
        <w:t>Come già anticipato, la DUL Autoimprenditorialità ha visto un numero esiguo di servizi richiesti rispetto al totale delle doti erogate nella Fase II. Dei 2.649 destinatari presi in carico, tutti disoccupati al momento della richiesta della dote – salvo un unico caso, più della metà (54,4%) sono uomini, principalmente di età compresa fra i 34 e i 54 anni (57,3%), e in larga parte con almeno un diploma di istruzione secondaria di secondo grado che permette di accedere all’Università (67%). I destinatari si concentravano principalmente nella provincia di Milano (51,6%) ed erano appartenenti alla fascia di intensità di aiuto 3.</w:t>
      </w:r>
    </w:p>
    <w:p w14:paraId="28929CAD" w14:textId="77777777" w:rsidR="003B3DCA" w:rsidRDefault="003B3DCA" w:rsidP="003B3DCA">
      <w:r>
        <w:t>Qui di seguito si riporta una tabella riassuntiva delle principali caratteristiche dei destinatari della DUL Autoimprenditorialità - Fase II.</w:t>
      </w:r>
    </w:p>
    <w:p w14:paraId="1B915864" w14:textId="77777777" w:rsidR="003B3DCA" w:rsidRPr="00E33DE8" w:rsidRDefault="003B3DCA" w:rsidP="00F23A31">
      <w:pPr>
        <w:pStyle w:val="Didascalia"/>
        <w:rPr>
          <w:b w:val="0"/>
        </w:rPr>
      </w:pPr>
      <w:bookmarkStart w:id="124" w:name="_Toc91081460"/>
      <w:r w:rsidRPr="00E33DE8">
        <w:t xml:space="preserve">Tabella </w:t>
      </w:r>
      <w:r w:rsidR="004E6566" w:rsidRPr="00E33DE8">
        <w:rPr>
          <w:b w:val="0"/>
        </w:rPr>
        <w:fldChar w:fldCharType="begin"/>
      </w:r>
      <w:r w:rsidRPr="00E33DE8">
        <w:instrText xml:space="preserve"> SEQ Tabella \* ARABIC </w:instrText>
      </w:r>
      <w:r w:rsidR="004E6566" w:rsidRPr="00E33DE8">
        <w:rPr>
          <w:b w:val="0"/>
        </w:rPr>
        <w:fldChar w:fldCharType="separate"/>
      </w:r>
      <w:r w:rsidR="00E53D6C">
        <w:rPr>
          <w:noProof/>
        </w:rPr>
        <w:t>34</w:t>
      </w:r>
      <w:r w:rsidR="004E6566" w:rsidRPr="00E33DE8">
        <w:rPr>
          <w:b w:val="0"/>
        </w:rPr>
        <w:fldChar w:fldCharType="end"/>
      </w:r>
      <w:r w:rsidRPr="00E33DE8">
        <w:t>. Caratteristiche dei destinatari DUL Autoimprenditorialità Fase II</w:t>
      </w:r>
      <w:bookmarkEnd w:id="124"/>
    </w:p>
    <w:tbl>
      <w:tblPr>
        <w:tblStyle w:val="Tabellagriglia4-colore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0"/>
        <w:gridCol w:w="1665"/>
        <w:gridCol w:w="1353"/>
      </w:tblGrid>
      <w:tr w:rsidR="0029063E" w:rsidRPr="0029063E" w14:paraId="3EB075DE" w14:textId="77777777" w:rsidTr="00A606B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tcBorders>
              <w:top w:val="single" w:sz="4" w:space="0" w:color="auto"/>
              <w:left w:val="single" w:sz="4" w:space="0" w:color="auto"/>
              <w:bottom w:val="single" w:sz="4" w:space="0" w:color="auto"/>
              <w:right w:val="single" w:sz="4" w:space="0" w:color="auto"/>
            </w:tcBorders>
            <w:shd w:val="clear" w:color="auto" w:fill="669748" w:themeFill="accent2" w:themeFillShade="BF"/>
            <w:noWrap/>
          </w:tcPr>
          <w:p w14:paraId="31F8A901" w14:textId="77777777" w:rsidR="003B3DCA" w:rsidRPr="0029063E" w:rsidRDefault="003B3DCA" w:rsidP="00AF58DF">
            <w:pPr>
              <w:keepNext/>
              <w:keepLines/>
              <w:contextualSpacing/>
              <w:jc w:val="center"/>
              <w:rPr>
                <w:rFonts w:eastAsia="Times New Roman" w:cs="Arial"/>
                <w:b w:val="0"/>
                <w:bCs w:val="0"/>
                <w:color w:val="FFFFFF" w:themeColor="background1"/>
              </w:rPr>
            </w:pPr>
            <w:r w:rsidRPr="0029063E">
              <w:rPr>
                <w:rFonts w:eastAsia="Times New Roman" w:cs="Arial"/>
                <w:color w:val="FFFFFF" w:themeColor="background1"/>
              </w:rPr>
              <w:t> </w:t>
            </w:r>
          </w:p>
        </w:tc>
        <w:tc>
          <w:tcPr>
            <w:tcW w:w="1701" w:type="dxa"/>
            <w:tcBorders>
              <w:top w:val="single" w:sz="4" w:space="0" w:color="auto"/>
              <w:left w:val="single" w:sz="4" w:space="0" w:color="auto"/>
              <w:bottom w:val="single" w:sz="4" w:space="0" w:color="auto"/>
              <w:right w:val="single" w:sz="4" w:space="0" w:color="auto"/>
            </w:tcBorders>
            <w:shd w:val="clear" w:color="auto" w:fill="669748" w:themeFill="accent2" w:themeFillShade="BF"/>
            <w:noWrap/>
          </w:tcPr>
          <w:p w14:paraId="2B785971" w14:textId="77777777" w:rsidR="003B3DCA" w:rsidRPr="0029063E" w:rsidRDefault="003B3DCA" w:rsidP="00AF58DF">
            <w:pPr>
              <w:keepNext/>
              <w:keepLines/>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themeColor="background1"/>
              </w:rPr>
            </w:pPr>
            <w:r w:rsidRPr="0029063E">
              <w:rPr>
                <w:rFonts w:eastAsia="Times New Roman" w:cs="Arial"/>
                <w:color w:val="FFFFFF" w:themeColor="background1"/>
              </w:rPr>
              <w:t>N° destinatari</w:t>
            </w:r>
          </w:p>
        </w:tc>
        <w:tc>
          <w:tcPr>
            <w:tcW w:w="1382" w:type="dxa"/>
            <w:tcBorders>
              <w:top w:val="single" w:sz="4" w:space="0" w:color="auto"/>
              <w:left w:val="single" w:sz="4" w:space="0" w:color="auto"/>
              <w:bottom w:val="single" w:sz="4" w:space="0" w:color="auto"/>
              <w:right w:val="single" w:sz="4" w:space="0" w:color="auto"/>
            </w:tcBorders>
            <w:shd w:val="clear" w:color="auto" w:fill="669748" w:themeFill="accent2" w:themeFillShade="BF"/>
            <w:noWrap/>
          </w:tcPr>
          <w:p w14:paraId="430C01DE" w14:textId="77777777" w:rsidR="003B3DCA" w:rsidRPr="0029063E" w:rsidRDefault="003B3DCA" w:rsidP="00AF58DF">
            <w:pPr>
              <w:keepNext/>
              <w:keepLines/>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themeColor="background1"/>
              </w:rPr>
            </w:pPr>
            <w:r w:rsidRPr="0029063E">
              <w:rPr>
                <w:rFonts w:eastAsia="Times New Roman" w:cs="Arial"/>
                <w:color w:val="FFFFFF" w:themeColor="background1"/>
              </w:rPr>
              <w:t>% sul totale</w:t>
            </w:r>
          </w:p>
        </w:tc>
      </w:tr>
      <w:tr w:rsidR="003B3DCA" w:rsidRPr="00116750" w14:paraId="1E32C539" w14:textId="77777777" w:rsidTr="0029063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854" w:type="dxa"/>
            <w:gridSpan w:val="3"/>
            <w:tcBorders>
              <w:top w:val="single" w:sz="4" w:space="0" w:color="auto"/>
            </w:tcBorders>
            <w:shd w:val="clear" w:color="auto" w:fill="auto"/>
            <w:noWrap/>
          </w:tcPr>
          <w:p w14:paraId="12A6A5C9" w14:textId="77777777" w:rsidR="003B3DCA" w:rsidRPr="00116750" w:rsidRDefault="003B3DCA" w:rsidP="00AF58DF">
            <w:pPr>
              <w:keepNext/>
              <w:keepLines/>
              <w:contextualSpacing/>
              <w:rPr>
                <w:rFonts w:eastAsia="Times New Roman" w:cs="Arial"/>
                <w:color w:val="FFFFFF" w:themeColor="background1"/>
              </w:rPr>
            </w:pPr>
            <w:r w:rsidRPr="00116750">
              <w:rPr>
                <w:rFonts w:eastAsia="Times New Roman" w:cs="Arial"/>
                <w:color w:val="000000"/>
              </w:rPr>
              <w:t>GENERE</w:t>
            </w:r>
          </w:p>
        </w:tc>
      </w:tr>
      <w:tr w:rsidR="003B3DCA" w:rsidRPr="00116750" w14:paraId="64415BDE"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1CC4CDD6" w14:textId="77777777" w:rsidR="003B3DCA" w:rsidRPr="00116750" w:rsidRDefault="003B3DCA" w:rsidP="00AF58DF">
            <w:pPr>
              <w:keepNext/>
              <w:keepLines/>
              <w:contextualSpacing/>
              <w:rPr>
                <w:rFonts w:cs="Arial"/>
                <w:b w:val="0"/>
                <w:bCs w:val="0"/>
              </w:rPr>
            </w:pPr>
            <w:r w:rsidRPr="00116750">
              <w:rPr>
                <w:rFonts w:eastAsia="Times New Roman" w:cs="Arial"/>
                <w:b w:val="0"/>
                <w:bCs w:val="0"/>
                <w:color w:val="000000"/>
              </w:rPr>
              <w:t>Donna</w:t>
            </w:r>
          </w:p>
        </w:tc>
        <w:tc>
          <w:tcPr>
            <w:tcW w:w="1701" w:type="dxa"/>
            <w:shd w:val="clear" w:color="auto" w:fill="auto"/>
            <w:noWrap/>
          </w:tcPr>
          <w:p w14:paraId="45195213"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116750">
              <w:rPr>
                <w:rFonts w:eastAsia="Times New Roman" w:cs="Arial"/>
                <w:color w:val="000000"/>
              </w:rPr>
              <w:t>1.209</w:t>
            </w:r>
          </w:p>
        </w:tc>
        <w:tc>
          <w:tcPr>
            <w:tcW w:w="1382" w:type="dxa"/>
            <w:shd w:val="clear" w:color="auto" w:fill="auto"/>
            <w:noWrap/>
          </w:tcPr>
          <w:p w14:paraId="776E79BE"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116750">
              <w:rPr>
                <w:rFonts w:eastAsia="Times New Roman" w:cs="Arial"/>
                <w:color w:val="000000"/>
              </w:rPr>
              <w:t>45,6%</w:t>
            </w:r>
          </w:p>
        </w:tc>
      </w:tr>
      <w:tr w:rsidR="003B3DCA" w:rsidRPr="00116750" w14:paraId="5003250D"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3A6E3894" w14:textId="77777777" w:rsidR="003B3DCA" w:rsidRPr="00116750" w:rsidRDefault="003B3DCA" w:rsidP="00AF58DF">
            <w:pPr>
              <w:keepNext/>
              <w:keepLines/>
              <w:contextualSpacing/>
              <w:rPr>
                <w:rFonts w:cs="Arial"/>
                <w:b w:val="0"/>
                <w:bCs w:val="0"/>
              </w:rPr>
            </w:pPr>
            <w:r w:rsidRPr="00116750">
              <w:rPr>
                <w:rFonts w:eastAsia="Times New Roman" w:cs="Arial"/>
                <w:b w:val="0"/>
                <w:bCs w:val="0"/>
                <w:color w:val="000000"/>
              </w:rPr>
              <w:t>Uomo</w:t>
            </w:r>
          </w:p>
        </w:tc>
        <w:tc>
          <w:tcPr>
            <w:tcW w:w="1701" w:type="dxa"/>
            <w:shd w:val="clear" w:color="auto" w:fill="auto"/>
            <w:noWrap/>
          </w:tcPr>
          <w:p w14:paraId="317D52F1"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116750">
              <w:rPr>
                <w:rFonts w:eastAsia="Times New Roman" w:cs="Arial"/>
                <w:color w:val="000000"/>
              </w:rPr>
              <w:t>1.440</w:t>
            </w:r>
          </w:p>
        </w:tc>
        <w:tc>
          <w:tcPr>
            <w:tcW w:w="1382" w:type="dxa"/>
            <w:shd w:val="clear" w:color="auto" w:fill="auto"/>
            <w:noWrap/>
          </w:tcPr>
          <w:p w14:paraId="2FE3C4D6"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116750">
              <w:rPr>
                <w:rFonts w:eastAsia="Times New Roman" w:cs="Arial"/>
                <w:color w:val="000000"/>
              </w:rPr>
              <w:t>54,4%</w:t>
            </w:r>
          </w:p>
        </w:tc>
      </w:tr>
      <w:tr w:rsidR="003B3DCA" w:rsidRPr="00116750" w14:paraId="4D937447"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23B13F5D"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color w:val="000000"/>
              </w:rPr>
              <w:t>Età</w:t>
            </w:r>
          </w:p>
        </w:tc>
        <w:tc>
          <w:tcPr>
            <w:tcW w:w="1701" w:type="dxa"/>
            <w:shd w:val="clear" w:color="auto" w:fill="auto"/>
            <w:noWrap/>
          </w:tcPr>
          <w:p w14:paraId="61D88BE1" w14:textId="77777777" w:rsidR="003B3DCA" w:rsidRPr="00116750" w:rsidRDefault="003B3DCA" w:rsidP="00AF58DF">
            <w:pPr>
              <w:keepNext/>
              <w:keepLines/>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rPr>
            </w:pPr>
          </w:p>
        </w:tc>
        <w:tc>
          <w:tcPr>
            <w:tcW w:w="1382" w:type="dxa"/>
            <w:shd w:val="clear" w:color="auto" w:fill="auto"/>
            <w:noWrap/>
          </w:tcPr>
          <w:p w14:paraId="4B7B2050" w14:textId="77777777" w:rsidR="003B3DCA" w:rsidRPr="00116750" w:rsidRDefault="003B3DCA" w:rsidP="00AF58DF">
            <w:pPr>
              <w:keepNext/>
              <w:keepLines/>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C45911"/>
              </w:rPr>
            </w:pPr>
          </w:p>
        </w:tc>
      </w:tr>
      <w:tr w:rsidR="003B3DCA" w:rsidRPr="00116750" w14:paraId="5AF1E05F"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2CE0B21E" w14:textId="77777777" w:rsidR="003B3DCA" w:rsidRPr="00116750" w:rsidRDefault="003B3DCA" w:rsidP="00AF58DF">
            <w:pPr>
              <w:keepNext/>
              <w:keepLines/>
              <w:contextualSpacing/>
              <w:rPr>
                <w:rFonts w:eastAsia="Times New Roman" w:cs="Arial"/>
                <w:b w:val="0"/>
                <w:bCs w:val="0"/>
                <w:i/>
                <w:iCs/>
                <w:color w:val="000000"/>
              </w:rPr>
            </w:pPr>
            <w:r w:rsidRPr="00116750">
              <w:rPr>
                <w:rFonts w:eastAsia="Times New Roman" w:cs="Arial"/>
                <w:b w:val="0"/>
                <w:bCs w:val="0"/>
                <w:i/>
                <w:iCs/>
                <w:color w:val="000000"/>
              </w:rPr>
              <w:t>15-24</w:t>
            </w:r>
          </w:p>
        </w:tc>
        <w:tc>
          <w:tcPr>
            <w:tcW w:w="1701" w:type="dxa"/>
            <w:shd w:val="clear" w:color="auto" w:fill="auto"/>
            <w:noWrap/>
          </w:tcPr>
          <w:p w14:paraId="431DF912"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116750">
              <w:rPr>
                <w:rFonts w:eastAsia="Times New Roman" w:cs="Arial"/>
                <w:color w:val="000000"/>
              </w:rPr>
              <w:t>242</w:t>
            </w:r>
          </w:p>
        </w:tc>
        <w:tc>
          <w:tcPr>
            <w:tcW w:w="1382" w:type="dxa"/>
            <w:shd w:val="clear" w:color="auto" w:fill="auto"/>
            <w:noWrap/>
          </w:tcPr>
          <w:p w14:paraId="6FE90F03"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116750">
              <w:rPr>
                <w:rFonts w:eastAsia="Times New Roman" w:cs="Arial"/>
                <w:color w:val="000000"/>
              </w:rPr>
              <w:t>9,1%</w:t>
            </w:r>
          </w:p>
        </w:tc>
      </w:tr>
      <w:tr w:rsidR="003B3DCA" w:rsidRPr="00116750" w14:paraId="1EB708C8"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0C398723" w14:textId="77777777" w:rsidR="003B3DCA" w:rsidRPr="00116750" w:rsidRDefault="003B3DCA" w:rsidP="00AF58DF">
            <w:pPr>
              <w:keepNext/>
              <w:keepLines/>
              <w:contextualSpacing/>
              <w:rPr>
                <w:rFonts w:eastAsia="Times New Roman" w:cs="Arial"/>
                <w:b w:val="0"/>
                <w:bCs w:val="0"/>
                <w:i/>
                <w:iCs/>
                <w:color w:val="000000"/>
              </w:rPr>
            </w:pPr>
            <w:r w:rsidRPr="00116750">
              <w:rPr>
                <w:rFonts w:eastAsia="Times New Roman" w:cs="Arial"/>
                <w:b w:val="0"/>
                <w:bCs w:val="0"/>
                <w:i/>
                <w:iCs/>
                <w:color w:val="000000"/>
              </w:rPr>
              <w:t>25-34</w:t>
            </w:r>
          </w:p>
        </w:tc>
        <w:tc>
          <w:tcPr>
            <w:tcW w:w="1701" w:type="dxa"/>
            <w:shd w:val="clear" w:color="auto" w:fill="auto"/>
            <w:noWrap/>
          </w:tcPr>
          <w:p w14:paraId="16020F67"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116750">
              <w:rPr>
                <w:rFonts w:eastAsia="Times New Roman" w:cs="Arial"/>
                <w:color w:val="000000"/>
              </w:rPr>
              <w:t>700</w:t>
            </w:r>
          </w:p>
        </w:tc>
        <w:tc>
          <w:tcPr>
            <w:tcW w:w="1382" w:type="dxa"/>
            <w:shd w:val="clear" w:color="auto" w:fill="auto"/>
            <w:noWrap/>
          </w:tcPr>
          <w:p w14:paraId="6815930B"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116750">
              <w:rPr>
                <w:rFonts w:eastAsia="Times New Roman" w:cs="Arial"/>
                <w:color w:val="000000"/>
              </w:rPr>
              <w:t>26,4%</w:t>
            </w:r>
          </w:p>
        </w:tc>
      </w:tr>
      <w:tr w:rsidR="003B3DCA" w:rsidRPr="00116750" w14:paraId="5AE9B74E"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6ED896D4" w14:textId="77777777" w:rsidR="003B3DCA" w:rsidRPr="00116750" w:rsidRDefault="003B3DCA" w:rsidP="00AF58DF">
            <w:pPr>
              <w:keepNext/>
              <w:keepLines/>
              <w:contextualSpacing/>
              <w:rPr>
                <w:rFonts w:eastAsia="Times New Roman" w:cs="Arial"/>
                <w:b w:val="0"/>
                <w:bCs w:val="0"/>
                <w:i/>
                <w:iCs/>
                <w:color w:val="000000"/>
              </w:rPr>
            </w:pPr>
            <w:r w:rsidRPr="00116750">
              <w:rPr>
                <w:rFonts w:eastAsia="Times New Roman" w:cs="Arial"/>
                <w:b w:val="0"/>
                <w:bCs w:val="0"/>
                <w:i/>
                <w:iCs/>
                <w:color w:val="000000"/>
              </w:rPr>
              <w:t>35-44</w:t>
            </w:r>
          </w:p>
        </w:tc>
        <w:tc>
          <w:tcPr>
            <w:tcW w:w="1701" w:type="dxa"/>
            <w:shd w:val="clear" w:color="auto" w:fill="auto"/>
            <w:noWrap/>
          </w:tcPr>
          <w:p w14:paraId="061F295F"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116750">
              <w:rPr>
                <w:rFonts w:eastAsia="Times New Roman" w:cs="Arial"/>
                <w:color w:val="000000"/>
              </w:rPr>
              <w:t>834</w:t>
            </w:r>
          </w:p>
        </w:tc>
        <w:tc>
          <w:tcPr>
            <w:tcW w:w="1382" w:type="dxa"/>
            <w:shd w:val="clear" w:color="auto" w:fill="auto"/>
            <w:noWrap/>
          </w:tcPr>
          <w:p w14:paraId="7482D9C8"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116750">
              <w:rPr>
                <w:rFonts w:eastAsia="Times New Roman" w:cs="Arial"/>
                <w:color w:val="000000"/>
              </w:rPr>
              <w:t>31,5%</w:t>
            </w:r>
          </w:p>
        </w:tc>
      </w:tr>
      <w:tr w:rsidR="003B3DCA" w:rsidRPr="00116750" w14:paraId="700449A4"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532A09AB" w14:textId="77777777" w:rsidR="003B3DCA" w:rsidRPr="00116750" w:rsidRDefault="003B3DCA" w:rsidP="00AF58DF">
            <w:pPr>
              <w:keepNext/>
              <w:keepLines/>
              <w:contextualSpacing/>
              <w:rPr>
                <w:rFonts w:eastAsia="Times New Roman" w:cs="Arial"/>
                <w:b w:val="0"/>
                <w:bCs w:val="0"/>
                <w:i/>
                <w:iCs/>
                <w:color w:val="000000"/>
              </w:rPr>
            </w:pPr>
            <w:r w:rsidRPr="00116750">
              <w:rPr>
                <w:rFonts w:eastAsia="Times New Roman" w:cs="Arial"/>
                <w:b w:val="0"/>
                <w:bCs w:val="0"/>
                <w:i/>
                <w:iCs/>
                <w:color w:val="000000"/>
              </w:rPr>
              <w:t>45-54</w:t>
            </w:r>
          </w:p>
        </w:tc>
        <w:tc>
          <w:tcPr>
            <w:tcW w:w="1701" w:type="dxa"/>
            <w:shd w:val="clear" w:color="auto" w:fill="auto"/>
            <w:noWrap/>
          </w:tcPr>
          <w:p w14:paraId="0EC1D943"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116750">
              <w:rPr>
                <w:rFonts w:eastAsia="Times New Roman" w:cs="Arial"/>
                <w:color w:val="000000"/>
              </w:rPr>
              <w:t>684</w:t>
            </w:r>
          </w:p>
        </w:tc>
        <w:tc>
          <w:tcPr>
            <w:tcW w:w="1382" w:type="dxa"/>
            <w:shd w:val="clear" w:color="auto" w:fill="auto"/>
            <w:noWrap/>
          </w:tcPr>
          <w:p w14:paraId="3DB8A7A5"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116750">
              <w:rPr>
                <w:rFonts w:eastAsia="Times New Roman" w:cs="Arial"/>
                <w:color w:val="000000"/>
              </w:rPr>
              <w:t>25,8%</w:t>
            </w:r>
          </w:p>
        </w:tc>
      </w:tr>
      <w:tr w:rsidR="003B3DCA" w:rsidRPr="00116750" w14:paraId="75714E3E"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6F8A1D93" w14:textId="77777777" w:rsidR="003B3DCA" w:rsidRPr="00116750" w:rsidRDefault="003B3DCA" w:rsidP="00AF58DF">
            <w:pPr>
              <w:keepNext/>
              <w:keepLines/>
              <w:contextualSpacing/>
              <w:rPr>
                <w:rFonts w:eastAsia="Times New Roman" w:cs="Arial"/>
                <w:b w:val="0"/>
                <w:bCs w:val="0"/>
                <w:i/>
                <w:iCs/>
                <w:color w:val="000000"/>
              </w:rPr>
            </w:pPr>
            <w:r w:rsidRPr="00116750">
              <w:rPr>
                <w:rFonts w:eastAsia="Times New Roman" w:cs="Arial"/>
                <w:b w:val="0"/>
                <w:bCs w:val="0"/>
                <w:i/>
                <w:iCs/>
                <w:color w:val="000000"/>
              </w:rPr>
              <w:t>&gt; 54</w:t>
            </w:r>
          </w:p>
        </w:tc>
        <w:tc>
          <w:tcPr>
            <w:tcW w:w="1701" w:type="dxa"/>
            <w:shd w:val="clear" w:color="auto" w:fill="auto"/>
            <w:noWrap/>
          </w:tcPr>
          <w:p w14:paraId="209D7A21"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116750">
              <w:rPr>
                <w:rFonts w:eastAsia="Times New Roman" w:cs="Arial"/>
                <w:color w:val="000000"/>
              </w:rPr>
              <w:t>189</w:t>
            </w:r>
          </w:p>
        </w:tc>
        <w:tc>
          <w:tcPr>
            <w:tcW w:w="1382" w:type="dxa"/>
            <w:shd w:val="clear" w:color="auto" w:fill="auto"/>
            <w:noWrap/>
          </w:tcPr>
          <w:p w14:paraId="546302DA"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116750">
              <w:rPr>
                <w:rFonts w:eastAsia="Times New Roman" w:cs="Arial"/>
                <w:color w:val="000000"/>
              </w:rPr>
              <w:t>7,1%</w:t>
            </w:r>
          </w:p>
        </w:tc>
      </w:tr>
      <w:tr w:rsidR="003B3DCA" w:rsidRPr="00116750" w14:paraId="4DD5A7D2"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9854" w:type="dxa"/>
            <w:gridSpan w:val="3"/>
            <w:shd w:val="clear" w:color="auto" w:fill="auto"/>
            <w:noWrap/>
          </w:tcPr>
          <w:p w14:paraId="16D393B1" w14:textId="77777777" w:rsidR="003B3DCA" w:rsidRPr="00116750" w:rsidRDefault="003B3DCA" w:rsidP="00AF58DF">
            <w:pPr>
              <w:keepNext/>
              <w:keepLines/>
              <w:contextualSpacing/>
              <w:rPr>
                <w:rFonts w:eastAsia="Times New Roman" w:cs="Arial"/>
                <w:color w:val="C45911"/>
              </w:rPr>
            </w:pPr>
            <w:r w:rsidRPr="00116750">
              <w:rPr>
                <w:rFonts w:eastAsia="Times New Roman" w:cs="Arial"/>
                <w:color w:val="000000"/>
              </w:rPr>
              <w:t>LIVELLO DI ISTRUZIONE</w:t>
            </w:r>
          </w:p>
        </w:tc>
      </w:tr>
      <w:tr w:rsidR="003B3DCA" w:rsidRPr="00116750" w14:paraId="32DBB700"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1893F7D0"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Fino alla licenza media inferiore</w:t>
            </w:r>
          </w:p>
        </w:tc>
        <w:tc>
          <w:tcPr>
            <w:tcW w:w="1701" w:type="dxa"/>
            <w:shd w:val="clear" w:color="auto" w:fill="auto"/>
            <w:noWrap/>
          </w:tcPr>
          <w:p w14:paraId="7F9695D7"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116750">
              <w:rPr>
                <w:rFonts w:eastAsia="Times New Roman" w:cs="Arial"/>
                <w:color w:val="000000"/>
              </w:rPr>
              <w:t>624</w:t>
            </w:r>
          </w:p>
        </w:tc>
        <w:tc>
          <w:tcPr>
            <w:tcW w:w="1382" w:type="dxa"/>
            <w:shd w:val="clear" w:color="auto" w:fill="auto"/>
            <w:noWrap/>
          </w:tcPr>
          <w:p w14:paraId="4EFF4A8C"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116750">
              <w:rPr>
                <w:rFonts w:eastAsia="Times New Roman" w:cs="Arial"/>
                <w:color w:val="000000"/>
              </w:rPr>
              <w:t>23,6%</w:t>
            </w:r>
          </w:p>
        </w:tc>
      </w:tr>
      <w:tr w:rsidR="003B3DCA" w:rsidRPr="00116750" w14:paraId="1E99D951"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3208422F"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Qualifica professionale</w:t>
            </w:r>
          </w:p>
        </w:tc>
        <w:tc>
          <w:tcPr>
            <w:tcW w:w="1701" w:type="dxa"/>
            <w:shd w:val="clear" w:color="auto" w:fill="auto"/>
            <w:noWrap/>
          </w:tcPr>
          <w:p w14:paraId="01DFCDFC"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116750">
              <w:rPr>
                <w:rFonts w:eastAsia="Times New Roman" w:cs="Arial"/>
                <w:color w:val="000000"/>
              </w:rPr>
              <w:t>243</w:t>
            </w:r>
          </w:p>
        </w:tc>
        <w:tc>
          <w:tcPr>
            <w:tcW w:w="1382" w:type="dxa"/>
            <w:shd w:val="clear" w:color="auto" w:fill="auto"/>
            <w:noWrap/>
          </w:tcPr>
          <w:p w14:paraId="01EDE5E9"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116750">
              <w:rPr>
                <w:rFonts w:eastAsia="Times New Roman" w:cs="Arial"/>
                <w:color w:val="000000"/>
              </w:rPr>
              <w:t>9,2%</w:t>
            </w:r>
          </w:p>
        </w:tc>
      </w:tr>
      <w:tr w:rsidR="003B3DCA" w:rsidRPr="00116750" w14:paraId="56B07F92"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0F32AF59"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Licenza secondaria superiore</w:t>
            </w:r>
          </w:p>
        </w:tc>
        <w:tc>
          <w:tcPr>
            <w:tcW w:w="1701" w:type="dxa"/>
            <w:shd w:val="clear" w:color="auto" w:fill="auto"/>
            <w:noWrap/>
          </w:tcPr>
          <w:p w14:paraId="267D9AA3"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116750">
              <w:rPr>
                <w:rFonts w:eastAsia="Times New Roman" w:cs="Arial"/>
                <w:color w:val="000000"/>
              </w:rPr>
              <w:t>986</w:t>
            </w:r>
          </w:p>
        </w:tc>
        <w:tc>
          <w:tcPr>
            <w:tcW w:w="1382" w:type="dxa"/>
            <w:shd w:val="clear" w:color="auto" w:fill="auto"/>
            <w:noWrap/>
          </w:tcPr>
          <w:p w14:paraId="3BA2269F"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116750">
              <w:rPr>
                <w:rFonts w:eastAsia="Times New Roman" w:cs="Arial"/>
                <w:color w:val="000000"/>
              </w:rPr>
              <w:t>37,2%</w:t>
            </w:r>
          </w:p>
        </w:tc>
      </w:tr>
      <w:tr w:rsidR="003B3DCA" w:rsidRPr="00116750" w14:paraId="77B0C3FA"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4C1AEDC3"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Post secondaria</w:t>
            </w:r>
          </w:p>
        </w:tc>
        <w:tc>
          <w:tcPr>
            <w:tcW w:w="1701" w:type="dxa"/>
            <w:shd w:val="clear" w:color="auto" w:fill="auto"/>
            <w:noWrap/>
          </w:tcPr>
          <w:p w14:paraId="402036FE"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116750">
              <w:rPr>
                <w:rFonts w:eastAsia="Times New Roman" w:cs="Arial"/>
                <w:color w:val="000000"/>
              </w:rPr>
              <w:t>34</w:t>
            </w:r>
          </w:p>
        </w:tc>
        <w:tc>
          <w:tcPr>
            <w:tcW w:w="1382" w:type="dxa"/>
            <w:shd w:val="clear" w:color="auto" w:fill="auto"/>
            <w:noWrap/>
          </w:tcPr>
          <w:p w14:paraId="2EEA905B"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116750">
              <w:rPr>
                <w:rFonts w:eastAsia="Times New Roman" w:cs="Arial"/>
                <w:color w:val="000000"/>
              </w:rPr>
              <w:t>1,3%</w:t>
            </w:r>
          </w:p>
        </w:tc>
      </w:tr>
      <w:tr w:rsidR="003B3DCA" w:rsidRPr="00116750" w14:paraId="735E6D99"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535B549E"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Laurea/post-laurea</w:t>
            </w:r>
          </w:p>
        </w:tc>
        <w:tc>
          <w:tcPr>
            <w:tcW w:w="1701" w:type="dxa"/>
            <w:shd w:val="clear" w:color="auto" w:fill="auto"/>
            <w:noWrap/>
          </w:tcPr>
          <w:p w14:paraId="71CA028B"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116750">
              <w:rPr>
                <w:rFonts w:eastAsia="Times New Roman" w:cs="Arial"/>
                <w:color w:val="000000"/>
              </w:rPr>
              <w:t>756</w:t>
            </w:r>
          </w:p>
        </w:tc>
        <w:tc>
          <w:tcPr>
            <w:tcW w:w="1382" w:type="dxa"/>
            <w:shd w:val="clear" w:color="auto" w:fill="auto"/>
            <w:noWrap/>
          </w:tcPr>
          <w:p w14:paraId="6DD083D5"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116750">
              <w:rPr>
                <w:rFonts w:eastAsia="Times New Roman" w:cs="Arial"/>
                <w:color w:val="000000"/>
              </w:rPr>
              <w:t>28,5%</w:t>
            </w:r>
          </w:p>
        </w:tc>
      </w:tr>
      <w:tr w:rsidR="003B3DCA" w:rsidRPr="00116750" w14:paraId="1DCE081F"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089F8417"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Non specificato</w:t>
            </w:r>
          </w:p>
        </w:tc>
        <w:tc>
          <w:tcPr>
            <w:tcW w:w="1701" w:type="dxa"/>
            <w:shd w:val="clear" w:color="auto" w:fill="auto"/>
            <w:noWrap/>
          </w:tcPr>
          <w:p w14:paraId="6A9B236B"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116750">
              <w:rPr>
                <w:rFonts w:eastAsia="Times New Roman" w:cs="Arial"/>
                <w:color w:val="000000"/>
              </w:rPr>
              <w:t>6</w:t>
            </w:r>
          </w:p>
        </w:tc>
        <w:tc>
          <w:tcPr>
            <w:tcW w:w="1382" w:type="dxa"/>
            <w:shd w:val="clear" w:color="auto" w:fill="auto"/>
            <w:noWrap/>
          </w:tcPr>
          <w:p w14:paraId="5CAAC17F"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116750">
              <w:rPr>
                <w:rFonts w:eastAsia="Times New Roman" w:cs="Arial"/>
                <w:color w:val="000000"/>
              </w:rPr>
              <w:t>0,2%</w:t>
            </w:r>
          </w:p>
        </w:tc>
      </w:tr>
      <w:tr w:rsidR="003B3DCA" w:rsidRPr="00116750" w14:paraId="7DE4C7D2"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854" w:type="dxa"/>
            <w:gridSpan w:val="3"/>
            <w:shd w:val="clear" w:color="auto" w:fill="auto"/>
            <w:noWrap/>
          </w:tcPr>
          <w:p w14:paraId="041A3EB8" w14:textId="77777777" w:rsidR="003B3DCA" w:rsidRPr="00116750" w:rsidRDefault="003B3DCA" w:rsidP="00AF58DF">
            <w:pPr>
              <w:keepNext/>
              <w:keepLines/>
              <w:contextualSpacing/>
              <w:rPr>
                <w:rFonts w:eastAsia="Times New Roman" w:cs="Arial"/>
                <w:b w:val="0"/>
                <w:bCs w:val="0"/>
                <w:i/>
                <w:iCs/>
                <w:color w:val="000000"/>
              </w:rPr>
            </w:pPr>
            <w:r w:rsidRPr="00116750">
              <w:rPr>
                <w:rFonts w:eastAsia="Times New Roman" w:cs="Arial"/>
                <w:color w:val="000000"/>
              </w:rPr>
              <w:t xml:space="preserve">PROVINCIA </w:t>
            </w:r>
          </w:p>
        </w:tc>
      </w:tr>
      <w:tr w:rsidR="003B3DCA" w:rsidRPr="00116750" w14:paraId="286E7549"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4CD2BF38"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Bergamo</w:t>
            </w:r>
          </w:p>
        </w:tc>
        <w:tc>
          <w:tcPr>
            <w:tcW w:w="1701" w:type="dxa"/>
            <w:shd w:val="clear" w:color="auto" w:fill="auto"/>
            <w:noWrap/>
          </w:tcPr>
          <w:p w14:paraId="4BFEB1F7"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cs="Arial"/>
              </w:rPr>
            </w:pPr>
            <w:r w:rsidRPr="00116750">
              <w:rPr>
                <w:rFonts w:eastAsia="Times New Roman" w:cs="Arial"/>
                <w:color w:val="000000"/>
              </w:rPr>
              <w:t>186</w:t>
            </w:r>
          </w:p>
        </w:tc>
        <w:tc>
          <w:tcPr>
            <w:tcW w:w="1382" w:type="dxa"/>
            <w:shd w:val="clear" w:color="auto" w:fill="auto"/>
            <w:noWrap/>
          </w:tcPr>
          <w:p w14:paraId="04FE3CC8"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cs="Arial"/>
              </w:rPr>
            </w:pPr>
            <w:r w:rsidRPr="00116750">
              <w:rPr>
                <w:rFonts w:eastAsia="Times New Roman" w:cs="Arial"/>
                <w:color w:val="000000"/>
              </w:rPr>
              <w:t>7,0%</w:t>
            </w:r>
          </w:p>
        </w:tc>
      </w:tr>
      <w:tr w:rsidR="003B3DCA" w:rsidRPr="00116750" w14:paraId="5E3A186F"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309646F0"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Brescia</w:t>
            </w:r>
          </w:p>
        </w:tc>
        <w:tc>
          <w:tcPr>
            <w:tcW w:w="1701" w:type="dxa"/>
            <w:shd w:val="clear" w:color="auto" w:fill="auto"/>
            <w:noWrap/>
          </w:tcPr>
          <w:p w14:paraId="102C41BA"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cs="Arial"/>
              </w:rPr>
            </w:pPr>
            <w:r w:rsidRPr="00116750">
              <w:rPr>
                <w:rFonts w:eastAsia="Times New Roman" w:cs="Arial"/>
                <w:color w:val="000000"/>
              </w:rPr>
              <w:t>211</w:t>
            </w:r>
          </w:p>
        </w:tc>
        <w:tc>
          <w:tcPr>
            <w:tcW w:w="1382" w:type="dxa"/>
            <w:shd w:val="clear" w:color="auto" w:fill="auto"/>
            <w:noWrap/>
          </w:tcPr>
          <w:p w14:paraId="0CE23C90"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cs="Arial"/>
              </w:rPr>
            </w:pPr>
            <w:r w:rsidRPr="00116750">
              <w:rPr>
                <w:rFonts w:eastAsia="Times New Roman" w:cs="Arial"/>
                <w:color w:val="000000"/>
              </w:rPr>
              <w:t>8,0%</w:t>
            </w:r>
          </w:p>
        </w:tc>
      </w:tr>
      <w:tr w:rsidR="003B3DCA" w:rsidRPr="00116750" w14:paraId="54EBC55C"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75C83609"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Como</w:t>
            </w:r>
          </w:p>
        </w:tc>
        <w:tc>
          <w:tcPr>
            <w:tcW w:w="1701" w:type="dxa"/>
            <w:shd w:val="clear" w:color="auto" w:fill="auto"/>
            <w:noWrap/>
          </w:tcPr>
          <w:p w14:paraId="1CCDDDB3"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cs="Arial"/>
              </w:rPr>
            </w:pPr>
            <w:r w:rsidRPr="00116750">
              <w:rPr>
                <w:rFonts w:eastAsia="Times New Roman" w:cs="Arial"/>
                <w:color w:val="000000"/>
              </w:rPr>
              <w:t>85</w:t>
            </w:r>
          </w:p>
        </w:tc>
        <w:tc>
          <w:tcPr>
            <w:tcW w:w="1382" w:type="dxa"/>
            <w:shd w:val="clear" w:color="auto" w:fill="auto"/>
            <w:noWrap/>
          </w:tcPr>
          <w:p w14:paraId="20BEDB32"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cs="Arial"/>
              </w:rPr>
            </w:pPr>
            <w:r w:rsidRPr="00116750">
              <w:rPr>
                <w:rFonts w:eastAsia="Times New Roman" w:cs="Arial"/>
                <w:color w:val="000000"/>
              </w:rPr>
              <w:t>3,21%</w:t>
            </w:r>
          </w:p>
        </w:tc>
      </w:tr>
      <w:tr w:rsidR="003B3DCA" w:rsidRPr="00116750" w14:paraId="376390D6"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73FF3D19"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Cremona</w:t>
            </w:r>
          </w:p>
        </w:tc>
        <w:tc>
          <w:tcPr>
            <w:tcW w:w="1701" w:type="dxa"/>
            <w:shd w:val="clear" w:color="auto" w:fill="auto"/>
            <w:noWrap/>
          </w:tcPr>
          <w:p w14:paraId="21D7F0C1"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cs="Arial"/>
              </w:rPr>
            </w:pPr>
            <w:r w:rsidRPr="00116750">
              <w:rPr>
                <w:rFonts w:eastAsia="Times New Roman" w:cs="Arial"/>
                <w:color w:val="000000"/>
              </w:rPr>
              <w:t>90</w:t>
            </w:r>
          </w:p>
        </w:tc>
        <w:tc>
          <w:tcPr>
            <w:tcW w:w="1382" w:type="dxa"/>
            <w:shd w:val="clear" w:color="auto" w:fill="auto"/>
            <w:noWrap/>
          </w:tcPr>
          <w:p w14:paraId="743BDB93"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cs="Arial"/>
              </w:rPr>
            </w:pPr>
            <w:r w:rsidRPr="00116750">
              <w:rPr>
                <w:rFonts w:eastAsia="Times New Roman" w:cs="Arial"/>
                <w:color w:val="000000"/>
              </w:rPr>
              <w:t>3,40%</w:t>
            </w:r>
          </w:p>
        </w:tc>
      </w:tr>
      <w:tr w:rsidR="003B3DCA" w:rsidRPr="00116750" w14:paraId="1B52903D"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01B83418"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Lecco</w:t>
            </w:r>
          </w:p>
        </w:tc>
        <w:tc>
          <w:tcPr>
            <w:tcW w:w="1701" w:type="dxa"/>
            <w:shd w:val="clear" w:color="auto" w:fill="auto"/>
            <w:noWrap/>
          </w:tcPr>
          <w:p w14:paraId="12B321BD"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cs="Arial"/>
              </w:rPr>
            </w:pPr>
            <w:r w:rsidRPr="00116750">
              <w:rPr>
                <w:rFonts w:eastAsia="Times New Roman" w:cs="Arial"/>
                <w:color w:val="000000"/>
              </w:rPr>
              <w:t>49</w:t>
            </w:r>
          </w:p>
        </w:tc>
        <w:tc>
          <w:tcPr>
            <w:tcW w:w="1382" w:type="dxa"/>
            <w:shd w:val="clear" w:color="auto" w:fill="auto"/>
            <w:noWrap/>
          </w:tcPr>
          <w:p w14:paraId="7D21F8CB"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cs="Arial"/>
              </w:rPr>
            </w:pPr>
            <w:r w:rsidRPr="00116750">
              <w:rPr>
                <w:rFonts w:eastAsia="Times New Roman" w:cs="Arial"/>
                <w:color w:val="000000"/>
              </w:rPr>
              <w:t>1,85%</w:t>
            </w:r>
          </w:p>
        </w:tc>
      </w:tr>
      <w:tr w:rsidR="003B3DCA" w:rsidRPr="00116750" w14:paraId="23FF15CE"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49743DD0"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Lodi</w:t>
            </w:r>
          </w:p>
        </w:tc>
        <w:tc>
          <w:tcPr>
            <w:tcW w:w="1701" w:type="dxa"/>
            <w:shd w:val="clear" w:color="auto" w:fill="auto"/>
            <w:noWrap/>
          </w:tcPr>
          <w:p w14:paraId="0B74439C"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cs="Arial"/>
              </w:rPr>
            </w:pPr>
            <w:r w:rsidRPr="00116750">
              <w:rPr>
                <w:rFonts w:eastAsia="Times New Roman" w:cs="Arial"/>
                <w:color w:val="000000"/>
              </w:rPr>
              <w:t>36</w:t>
            </w:r>
          </w:p>
        </w:tc>
        <w:tc>
          <w:tcPr>
            <w:tcW w:w="1382" w:type="dxa"/>
            <w:shd w:val="clear" w:color="auto" w:fill="auto"/>
            <w:noWrap/>
          </w:tcPr>
          <w:p w14:paraId="0652727F"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cs="Arial"/>
              </w:rPr>
            </w:pPr>
            <w:r w:rsidRPr="00116750">
              <w:rPr>
                <w:rFonts w:eastAsia="Times New Roman" w:cs="Arial"/>
                <w:color w:val="000000"/>
              </w:rPr>
              <w:t>1,36%</w:t>
            </w:r>
          </w:p>
        </w:tc>
      </w:tr>
      <w:tr w:rsidR="003B3DCA" w:rsidRPr="00116750" w14:paraId="6F52AC03"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0BF44500"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Mantova</w:t>
            </w:r>
          </w:p>
        </w:tc>
        <w:tc>
          <w:tcPr>
            <w:tcW w:w="1701" w:type="dxa"/>
            <w:shd w:val="clear" w:color="auto" w:fill="auto"/>
            <w:noWrap/>
          </w:tcPr>
          <w:p w14:paraId="3507B737"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cs="Arial"/>
              </w:rPr>
            </w:pPr>
            <w:r w:rsidRPr="00116750">
              <w:rPr>
                <w:rFonts w:eastAsia="Times New Roman" w:cs="Arial"/>
                <w:color w:val="000000"/>
              </w:rPr>
              <w:t>47</w:t>
            </w:r>
          </w:p>
        </w:tc>
        <w:tc>
          <w:tcPr>
            <w:tcW w:w="1382" w:type="dxa"/>
            <w:shd w:val="clear" w:color="auto" w:fill="auto"/>
            <w:noWrap/>
          </w:tcPr>
          <w:p w14:paraId="040C84E3"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cs="Arial"/>
              </w:rPr>
            </w:pPr>
            <w:r w:rsidRPr="00116750">
              <w:rPr>
                <w:rFonts w:eastAsia="Times New Roman" w:cs="Arial"/>
                <w:color w:val="000000"/>
              </w:rPr>
              <w:t>1,77%</w:t>
            </w:r>
          </w:p>
        </w:tc>
      </w:tr>
      <w:tr w:rsidR="003B3DCA" w:rsidRPr="00116750" w14:paraId="4987E6B6"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519DEE18"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Milano</w:t>
            </w:r>
          </w:p>
        </w:tc>
        <w:tc>
          <w:tcPr>
            <w:tcW w:w="1701" w:type="dxa"/>
            <w:shd w:val="clear" w:color="auto" w:fill="auto"/>
            <w:noWrap/>
          </w:tcPr>
          <w:p w14:paraId="32C3E410"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cs="Arial"/>
              </w:rPr>
            </w:pPr>
            <w:r w:rsidRPr="00116750">
              <w:rPr>
                <w:rFonts w:eastAsia="Times New Roman" w:cs="Arial"/>
                <w:color w:val="000000"/>
              </w:rPr>
              <w:t>1366</w:t>
            </w:r>
          </w:p>
        </w:tc>
        <w:tc>
          <w:tcPr>
            <w:tcW w:w="1382" w:type="dxa"/>
            <w:shd w:val="clear" w:color="auto" w:fill="auto"/>
            <w:noWrap/>
          </w:tcPr>
          <w:p w14:paraId="20110F62"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cs="Arial"/>
              </w:rPr>
            </w:pPr>
            <w:r w:rsidRPr="00116750">
              <w:rPr>
                <w:rFonts w:eastAsia="Times New Roman" w:cs="Arial"/>
                <w:color w:val="000000"/>
              </w:rPr>
              <w:t>51,57%</w:t>
            </w:r>
          </w:p>
        </w:tc>
      </w:tr>
      <w:tr w:rsidR="003B3DCA" w:rsidRPr="00116750" w14:paraId="3B59C4D0"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7DAAB239"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Monza e della Brianza</w:t>
            </w:r>
          </w:p>
        </w:tc>
        <w:tc>
          <w:tcPr>
            <w:tcW w:w="1701" w:type="dxa"/>
            <w:shd w:val="clear" w:color="auto" w:fill="auto"/>
            <w:noWrap/>
          </w:tcPr>
          <w:p w14:paraId="18843A4F"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cs="Arial"/>
              </w:rPr>
            </w:pPr>
            <w:r w:rsidRPr="00116750">
              <w:rPr>
                <w:rFonts w:eastAsia="Times New Roman" w:cs="Arial"/>
                <w:color w:val="000000"/>
              </w:rPr>
              <w:t>238</w:t>
            </w:r>
          </w:p>
        </w:tc>
        <w:tc>
          <w:tcPr>
            <w:tcW w:w="1382" w:type="dxa"/>
            <w:shd w:val="clear" w:color="auto" w:fill="auto"/>
            <w:noWrap/>
          </w:tcPr>
          <w:p w14:paraId="23BD9715"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cs="Arial"/>
              </w:rPr>
            </w:pPr>
            <w:r w:rsidRPr="00116750">
              <w:rPr>
                <w:rFonts w:eastAsia="Times New Roman" w:cs="Arial"/>
                <w:color w:val="000000"/>
              </w:rPr>
              <w:t>9,0%</w:t>
            </w:r>
          </w:p>
        </w:tc>
      </w:tr>
      <w:tr w:rsidR="003B3DCA" w:rsidRPr="00116750" w14:paraId="0B02D108"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7DE044A3"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Pavia</w:t>
            </w:r>
          </w:p>
        </w:tc>
        <w:tc>
          <w:tcPr>
            <w:tcW w:w="1701" w:type="dxa"/>
            <w:shd w:val="clear" w:color="auto" w:fill="auto"/>
            <w:noWrap/>
          </w:tcPr>
          <w:p w14:paraId="1FB622B1"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cs="Arial"/>
              </w:rPr>
            </w:pPr>
            <w:r w:rsidRPr="00116750">
              <w:rPr>
                <w:rFonts w:eastAsia="Times New Roman" w:cs="Arial"/>
                <w:color w:val="000000"/>
              </w:rPr>
              <w:t>155</w:t>
            </w:r>
          </w:p>
        </w:tc>
        <w:tc>
          <w:tcPr>
            <w:tcW w:w="1382" w:type="dxa"/>
            <w:shd w:val="clear" w:color="auto" w:fill="auto"/>
            <w:noWrap/>
          </w:tcPr>
          <w:p w14:paraId="295DB559"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cs="Arial"/>
              </w:rPr>
            </w:pPr>
            <w:r w:rsidRPr="00116750">
              <w:rPr>
                <w:rFonts w:eastAsia="Times New Roman" w:cs="Arial"/>
                <w:color w:val="000000"/>
              </w:rPr>
              <w:t>5,9%</w:t>
            </w:r>
          </w:p>
        </w:tc>
      </w:tr>
      <w:tr w:rsidR="003B3DCA" w:rsidRPr="00116750" w14:paraId="0CBAFE53"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0619CE24"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Sondrio</w:t>
            </w:r>
          </w:p>
        </w:tc>
        <w:tc>
          <w:tcPr>
            <w:tcW w:w="1701" w:type="dxa"/>
            <w:shd w:val="clear" w:color="auto" w:fill="auto"/>
            <w:noWrap/>
          </w:tcPr>
          <w:p w14:paraId="2705F154"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cs="Arial"/>
              </w:rPr>
            </w:pPr>
            <w:r w:rsidRPr="00116750">
              <w:rPr>
                <w:rFonts w:eastAsia="Times New Roman" w:cs="Arial"/>
                <w:color w:val="000000"/>
              </w:rPr>
              <w:t>2</w:t>
            </w:r>
          </w:p>
        </w:tc>
        <w:tc>
          <w:tcPr>
            <w:tcW w:w="1382" w:type="dxa"/>
            <w:shd w:val="clear" w:color="auto" w:fill="auto"/>
            <w:noWrap/>
          </w:tcPr>
          <w:p w14:paraId="2A07EA79"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cs="Arial"/>
              </w:rPr>
            </w:pPr>
            <w:r w:rsidRPr="00116750">
              <w:rPr>
                <w:rFonts w:eastAsia="Times New Roman" w:cs="Arial"/>
                <w:color w:val="000000"/>
              </w:rPr>
              <w:t>0,08%</w:t>
            </w:r>
          </w:p>
        </w:tc>
      </w:tr>
      <w:tr w:rsidR="003B3DCA" w:rsidRPr="00116750" w14:paraId="2F0079D4"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7CBB6BDF"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Varese</w:t>
            </w:r>
          </w:p>
        </w:tc>
        <w:tc>
          <w:tcPr>
            <w:tcW w:w="1701" w:type="dxa"/>
            <w:shd w:val="clear" w:color="auto" w:fill="auto"/>
            <w:noWrap/>
          </w:tcPr>
          <w:p w14:paraId="3D265348"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cs="Arial"/>
              </w:rPr>
            </w:pPr>
            <w:r w:rsidRPr="00116750">
              <w:rPr>
                <w:rFonts w:eastAsia="Times New Roman" w:cs="Arial"/>
                <w:color w:val="000000"/>
              </w:rPr>
              <w:t>179</w:t>
            </w:r>
          </w:p>
        </w:tc>
        <w:tc>
          <w:tcPr>
            <w:tcW w:w="1382" w:type="dxa"/>
            <w:shd w:val="clear" w:color="auto" w:fill="auto"/>
            <w:noWrap/>
          </w:tcPr>
          <w:p w14:paraId="0255C202"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cs="Arial"/>
              </w:rPr>
            </w:pPr>
            <w:r w:rsidRPr="00116750">
              <w:rPr>
                <w:rFonts w:eastAsia="Times New Roman" w:cs="Arial"/>
                <w:color w:val="000000"/>
              </w:rPr>
              <w:t>6,8%</w:t>
            </w:r>
          </w:p>
        </w:tc>
      </w:tr>
      <w:tr w:rsidR="003B3DCA" w:rsidRPr="00116750" w14:paraId="0EAFC6BE"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404E8F36"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Altre province italiane</w:t>
            </w:r>
          </w:p>
        </w:tc>
        <w:tc>
          <w:tcPr>
            <w:tcW w:w="1701" w:type="dxa"/>
            <w:shd w:val="clear" w:color="auto" w:fill="auto"/>
            <w:noWrap/>
          </w:tcPr>
          <w:p w14:paraId="20D8E941"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cs="Arial"/>
              </w:rPr>
            </w:pPr>
            <w:r w:rsidRPr="00116750">
              <w:rPr>
                <w:rFonts w:eastAsia="Times New Roman" w:cs="Arial"/>
                <w:color w:val="000000"/>
              </w:rPr>
              <w:t>2</w:t>
            </w:r>
          </w:p>
        </w:tc>
        <w:tc>
          <w:tcPr>
            <w:tcW w:w="1382" w:type="dxa"/>
            <w:shd w:val="clear" w:color="auto" w:fill="auto"/>
            <w:noWrap/>
          </w:tcPr>
          <w:p w14:paraId="3C7925E6"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cs="Arial"/>
              </w:rPr>
            </w:pPr>
            <w:r w:rsidRPr="00116750">
              <w:rPr>
                <w:rFonts w:eastAsia="Times New Roman" w:cs="Arial"/>
                <w:color w:val="000000"/>
              </w:rPr>
              <w:t>0,08%</w:t>
            </w:r>
          </w:p>
        </w:tc>
      </w:tr>
      <w:tr w:rsidR="003B3DCA" w:rsidRPr="00116750" w14:paraId="4C99718E"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086826DE" w14:textId="77777777" w:rsidR="003B3DCA" w:rsidRPr="00116750" w:rsidRDefault="003B3DCA" w:rsidP="00AF58DF">
            <w:pPr>
              <w:keepNext/>
              <w:keepLines/>
              <w:contextualSpacing/>
              <w:rPr>
                <w:rFonts w:eastAsia="Times New Roman" w:cs="Arial"/>
                <w:b w:val="0"/>
                <w:bCs w:val="0"/>
                <w:color w:val="000000"/>
              </w:rPr>
            </w:pPr>
            <w:r w:rsidRPr="00116750">
              <w:rPr>
                <w:rFonts w:eastAsia="Times New Roman" w:cs="Arial"/>
                <w:b w:val="0"/>
                <w:bCs w:val="0"/>
                <w:color w:val="000000"/>
              </w:rPr>
              <w:t>Non specificato</w:t>
            </w:r>
          </w:p>
        </w:tc>
        <w:tc>
          <w:tcPr>
            <w:tcW w:w="1701" w:type="dxa"/>
            <w:shd w:val="clear" w:color="auto" w:fill="auto"/>
            <w:noWrap/>
          </w:tcPr>
          <w:p w14:paraId="1EA7BCD6"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cs="Arial"/>
              </w:rPr>
            </w:pPr>
            <w:r w:rsidRPr="00116750">
              <w:rPr>
                <w:rFonts w:eastAsia="Times New Roman" w:cs="Arial"/>
                <w:color w:val="000000"/>
              </w:rPr>
              <w:t>3</w:t>
            </w:r>
          </w:p>
        </w:tc>
        <w:tc>
          <w:tcPr>
            <w:tcW w:w="1382" w:type="dxa"/>
            <w:shd w:val="clear" w:color="auto" w:fill="auto"/>
            <w:noWrap/>
          </w:tcPr>
          <w:p w14:paraId="24041B56" w14:textId="77777777" w:rsidR="003B3DCA" w:rsidRPr="00116750" w:rsidRDefault="003B3DCA" w:rsidP="00AF58DF">
            <w:pPr>
              <w:keepNext/>
              <w:keepLines/>
              <w:contextualSpacing/>
              <w:jc w:val="right"/>
              <w:cnfStyle w:val="000000100000" w:firstRow="0" w:lastRow="0" w:firstColumn="0" w:lastColumn="0" w:oddVBand="0" w:evenVBand="0" w:oddHBand="1" w:evenHBand="0" w:firstRowFirstColumn="0" w:firstRowLastColumn="0" w:lastRowFirstColumn="0" w:lastRowLastColumn="0"/>
              <w:rPr>
                <w:rFonts w:cs="Arial"/>
              </w:rPr>
            </w:pPr>
            <w:r w:rsidRPr="00116750">
              <w:rPr>
                <w:rFonts w:eastAsia="Times New Roman" w:cs="Arial"/>
                <w:color w:val="000000"/>
              </w:rPr>
              <w:t>0,11%</w:t>
            </w:r>
          </w:p>
        </w:tc>
      </w:tr>
      <w:tr w:rsidR="003B3DCA" w:rsidRPr="00116750" w14:paraId="4BC24E38"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35A64115" w14:textId="77777777" w:rsidR="003B3DCA" w:rsidRPr="00116750" w:rsidRDefault="003B3DCA" w:rsidP="00AF58DF">
            <w:pPr>
              <w:keepNext/>
              <w:keepLines/>
              <w:contextualSpacing/>
              <w:rPr>
                <w:rFonts w:eastAsia="Times New Roman" w:cs="Arial"/>
                <w:color w:val="000000"/>
              </w:rPr>
            </w:pPr>
            <w:r w:rsidRPr="00116750">
              <w:rPr>
                <w:rFonts w:eastAsia="Times New Roman" w:cs="Arial"/>
                <w:color w:val="000000"/>
              </w:rPr>
              <w:t>Totale doti prese in carico</w:t>
            </w:r>
          </w:p>
        </w:tc>
        <w:tc>
          <w:tcPr>
            <w:tcW w:w="1701" w:type="dxa"/>
            <w:shd w:val="clear" w:color="auto" w:fill="auto"/>
            <w:noWrap/>
          </w:tcPr>
          <w:p w14:paraId="461B9D11"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rPr>
            </w:pPr>
            <w:r w:rsidRPr="00116750">
              <w:rPr>
                <w:rFonts w:eastAsia="Times New Roman" w:cs="Arial"/>
                <w:b/>
                <w:bCs/>
                <w:color w:val="000000"/>
              </w:rPr>
              <w:t>2.649</w:t>
            </w:r>
          </w:p>
        </w:tc>
        <w:tc>
          <w:tcPr>
            <w:tcW w:w="1382" w:type="dxa"/>
            <w:shd w:val="clear" w:color="auto" w:fill="auto"/>
            <w:noWrap/>
          </w:tcPr>
          <w:p w14:paraId="2C65783C" w14:textId="77777777" w:rsidR="003B3DCA" w:rsidRPr="00116750" w:rsidRDefault="003B3DCA" w:rsidP="00AF58DF">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rPr>
            </w:pPr>
            <w:r w:rsidRPr="00116750">
              <w:rPr>
                <w:rFonts w:eastAsia="Times New Roman" w:cs="Arial"/>
                <w:b/>
                <w:bCs/>
                <w:color w:val="000000"/>
              </w:rPr>
              <w:t>100,0%</w:t>
            </w:r>
          </w:p>
        </w:tc>
      </w:tr>
    </w:tbl>
    <w:p w14:paraId="783F8B90" w14:textId="77777777" w:rsidR="003B3DCA" w:rsidRPr="00DC6591" w:rsidRDefault="003B3DCA" w:rsidP="00E17935">
      <w:pPr>
        <w:pStyle w:val="Fonte"/>
      </w:pPr>
      <w:r w:rsidRPr="00DC6591">
        <w:t>Fonte: “Rapporto di valutazione tematica 2021”</w:t>
      </w:r>
      <w:r>
        <w:t xml:space="preserve">, </w:t>
      </w:r>
      <w:r w:rsidRPr="009C6A4B">
        <w:rPr>
          <w:rFonts w:cs="Calibri"/>
          <w:color w:val="222222"/>
        </w:rPr>
        <w:t>RTI IRS-COGEA</w:t>
      </w:r>
    </w:p>
    <w:p w14:paraId="38DA0F9F" w14:textId="77777777" w:rsidR="00940B03" w:rsidRDefault="00940B03" w:rsidP="00E17935"/>
    <w:p w14:paraId="2096076D" w14:textId="77777777" w:rsidR="003B3DCA" w:rsidRDefault="003B3DCA" w:rsidP="00E17935">
      <w:r w:rsidRPr="00E33DE8">
        <w:t xml:space="preserve">Come si evince dalla tabella, quindi, </w:t>
      </w:r>
      <w:r>
        <w:t>i destinatari delle DUL, sono principalmente uomini, anche se la partecipazione femminile è rilevante, in prevalenza over 35 e con un livello di studio medio-alto, nonché disoccupati.</w:t>
      </w:r>
    </w:p>
    <w:p w14:paraId="36A7B112" w14:textId="77777777" w:rsidR="003B3DCA" w:rsidRDefault="003B3DCA" w:rsidP="003B3DCA">
      <w:pPr>
        <w:keepNext/>
        <w:keepLines/>
      </w:pPr>
    </w:p>
    <w:p w14:paraId="5A40DC86" w14:textId="77777777" w:rsidR="003B3DCA" w:rsidRPr="003B3DCA" w:rsidRDefault="003B3DCA" w:rsidP="003B3DCA">
      <w:pPr>
        <w:rPr>
          <w:b/>
          <w:bCs/>
          <w:u w:val="single"/>
        </w:rPr>
      </w:pPr>
      <w:r w:rsidRPr="003B3DCA">
        <w:rPr>
          <w:u w:val="single"/>
        </w:rPr>
        <w:t>L’indagine ai destinatari: sintesi delle evidenze</w:t>
      </w:r>
    </w:p>
    <w:p w14:paraId="0558EA7B" w14:textId="77777777" w:rsidR="003B3DCA" w:rsidRDefault="003B3DCA" w:rsidP="003B3DCA">
      <w:r>
        <w:t>Questo paragrafo riporta una sintesi delle principali evidenze emerse dall’indagine CAWI</w:t>
      </w:r>
      <w:r>
        <w:rPr>
          <w:rStyle w:val="Rimandonotaapidipagina"/>
        </w:rPr>
        <w:footnoteReference w:id="29"/>
      </w:r>
      <w:r>
        <w:t xml:space="preserve"> effettuata sui destinatari della DUL.</w:t>
      </w:r>
    </w:p>
    <w:p w14:paraId="3F283671" w14:textId="77777777" w:rsidR="003B3DCA" w:rsidRDefault="003B3DCA" w:rsidP="003B3DCA">
      <w:r>
        <w:t xml:space="preserve">Gli invii effettuati sono stati 2.570, di cui 235 (9,1%) sono stati immediatamente respinti per mancato recapito dell’invito. In totale hanno risposto all’indagine 581 destinatari, ovvero il 21,9% dei partecipanti; di questi, 138 (23,8%) hanno dichiarato di non aver partecipato alla DUL, confermando le difficoltà a ricordare di aver beneficiato del servizio e/o a riconoscere l’iniziativa in quanto tale. Altri 67 (11,5%) non hanno fornito il consenso al trattamento dei dati e sono stati esclusi dall’indagine. </w:t>
      </w:r>
      <w:r w:rsidRPr="00E47A4D">
        <w:t xml:space="preserve">Il </w:t>
      </w:r>
      <w:r w:rsidRPr="00A820C3">
        <w:rPr>
          <w:b/>
        </w:rPr>
        <w:t>numero totale di risposte</w:t>
      </w:r>
      <w:r>
        <w:t xml:space="preserve"> sulle quali si è basata l’analisi e </w:t>
      </w:r>
      <w:r w:rsidRPr="00E47A4D">
        <w:t xml:space="preserve">le elaborazioni </w:t>
      </w:r>
      <w:r>
        <w:t>è</w:t>
      </w:r>
      <w:r w:rsidRPr="00E47A4D">
        <w:t xml:space="preserve"> </w:t>
      </w:r>
      <w:r>
        <w:t xml:space="preserve">quindi </w:t>
      </w:r>
      <w:r w:rsidRPr="00E47A4D">
        <w:t xml:space="preserve">pari a </w:t>
      </w:r>
      <w:r w:rsidRPr="00A820C3">
        <w:rPr>
          <w:b/>
        </w:rPr>
        <w:t>376</w:t>
      </w:r>
      <w:r w:rsidRPr="00E47A4D">
        <w:t xml:space="preserve">, con un </w:t>
      </w:r>
      <w:r w:rsidRPr="00A820C3">
        <w:rPr>
          <w:b/>
        </w:rPr>
        <w:t>tasso di copertura sul totale dei partecipanti pari al 14,2%</w:t>
      </w:r>
      <w:r w:rsidRPr="00E47A4D">
        <w:t xml:space="preserve"> .</w:t>
      </w:r>
    </w:p>
    <w:p w14:paraId="04BD6B04" w14:textId="77777777" w:rsidR="003B3DCA" w:rsidRDefault="003B3DCA" w:rsidP="003B3DCA">
      <w:r>
        <w:t>Qui di seguito si riporterà una sintesi delle evidenze più rilevanti del questionario somministrato ai beneficiari della DUL, andando ad analizzare i seguenti aspetti:</w:t>
      </w:r>
    </w:p>
    <w:p w14:paraId="71BF2362" w14:textId="77777777" w:rsidR="003B3DCA" w:rsidRPr="00DB2D17" w:rsidRDefault="003B3DCA" w:rsidP="0038676D">
      <w:pPr>
        <w:pStyle w:val="Paragrafoelenco"/>
        <w:numPr>
          <w:ilvl w:val="0"/>
          <w:numId w:val="43"/>
        </w:numPr>
      </w:pPr>
      <w:r>
        <w:t>c</w:t>
      </w:r>
      <w:r w:rsidRPr="00DB2D17">
        <w:t>anali di conoscenza</w:t>
      </w:r>
      <w:r>
        <w:t xml:space="preserve"> e motivazioni per la partecipazione;</w:t>
      </w:r>
    </w:p>
    <w:p w14:paraId="4CBD69E0" w14:textId="77777777" w:rsidR="003B3DCA" w:rsidRDefault="003B3DCA" w:rsidP="0038676D">
      <w:pPr>
        <w:pStyle w:val="Paragrafoelenco"/>
        <w:numPr>
          <w:ilvl w:val="0"/>
          <w:numId w:val="43"/>
        </w:numPr>
      </w:pPr>
      <w:r w:rsidRPr="00782AD6">
        <w:t>il tasso di conclusione del percorso</w:t>
      </w:r>
      <w:r>
        <w:t>;</w:t>
      </w:r>
    </w:p>
    <w:p w14:paraId="19939935" w14:textId="77777777" w:rsidR="003B3DCA" w:rsidRDefault="003B3DCA" w:rsidP="0038676D">
      <w:pPr>
        <w:pStyle w:val="Paragrafoelenco"/>
        <w:numPr>
          <w:ilvl w:val="0"/>
          <w:numId w:val="43"/>
        </w:numPr>
      </w:pPr>
      <w:r>
        <w:t>il raggiungimento degli obiettivi previsti del business plan;</w:t>
      </w:r>
    </w:p>
    <w:p w14:paraId="4E695022" w14:textId="77777777" w:rsidR="003B3DCA" w:rsidRDefault="003B3DCA" w:rsidP="0038676D">
      <w:pPr>
        <w:pStyle w:val="Paragrafoelenco"/>
        <w:numPr>
          <w:ilvl w:val="0"/>
          <w:numId w:val="43"/>
        </w:numPr>
      </w:pPr>
      <w:r>
        <w:t xml:space="preserve">la condizione professionale dei destinatari della DUL; </w:t>
      </w:r>
    </w:p>
    <w:p w14:paraId="393405F0" w14:textId="77777777" w:rsidR="003B3DCA" w:rsidRDefault="003B3DCA" w:rsidP="0038676D">
      <w:pPr>
        <w:pStyle w:val="Paragrafoelenco"/>
        <w:numPr>
          <w:ilvl w:val="0"/>
          <w:numId w:val="43"/>
        </w:numPr>
      </w:pPr>
      <w:r>
        <w:t>le attività di impresa o lavoro autonomo avviate grazie alla DUL.</w:t>
      </w:r>
    </w:p>
    <w:p w14:paraId="1BD49D02" w14:textId="77777777" w:rsidR="003B3DCA" w:rsidRDefault="003B3DCA" w:rsidP="00E17935">
      <w:r>
        <w:t xml:space="preserve">Per quanto concerne il primo aspetto, circa il 25% dei rispondenti non ha indicato il canale tramite il quale è venuto a conoscenza della DUL o dichiara di non ricordarlo. I </w:t>
      </w:r>
      <w:r w:rsidRPr="008A4F33">
        <w:rPr>
          <w:b/>
          <w:bCs/>
        </w:rPr>
        <w:t>principali canali</w:t>
      </w:r>
      <w:r>
        <w:t xml:space="preserve"> tramite i quali sono venuti a conoscenza coloro che hanno dato una risposta (281) sono stati: operatori accreditati (43,4% ), comunicazione informale (15,3%) e il sito della Regione Lombardia (12,5%). Altri soggetti, quali i sindacati, le associazioni datoriali e le università, hanno rappresentato un ulteriore veicolo informativo, ma in misura più contenuta.</w:t>
      </w:r>
    </w:p>
    <w:p w14:paraId="469820E1" w14:textId="77777777" w:rsidR="003B3DCA" w:rsidRDefault="003B3DCA" w:rsidP="00E17935">
      <w:r>
        <w:t xml:space="preserve">Fra le principali </w:t>
      </w:r>
      <w:r w:rsidRPr="008A4F33">
        <w:rPr>
          <w:b/>
          <w:bCs/>
        </w:rPr>
        <w:t>motivazioni per la partecipazione</w:t>
      </w:r>
      <w:r>
        <w:t xml:space="preserve"> alla DUL Autoimprenditorialità</w:t>
      </w:r>
      <w:r>
        <w:rPr>
          <w:rStyle w:val="Rimandonotaapidipagina"/>
          <w:rFonts w:cstheme="minorHAnsi"/>
        </w:rPr>
        <w:footnoteReference w:id="30"/>
      </w:r>
      <w:r>
        <w:t xml:space="preserve"> vi sono l’aver sempre pensato di aprire una propria attività (nel 31,6% dei casi), e l’esperienza lavorativa pregressa affine (28,7%). Da segnalare che, nel 22% dei casi (74 rispondenti) è emerso che i destinatari non avevano altre alternative per lavorare. </w:t>
      </w:r>
    </w:p>
    <w:p w14:paraId="553238B2" w14:textId="77777777" w:rsidR="003B3DCA" w:rsidRDefault="003B3DCA" w:rsidP="00E17935">
      <w:r w:rsidRPr="004B3D41">
        <w:rPr>
          <w:b/>
          <w:bCs/>
        </w:rPr>
        <w:t>Il percorso della DUL, nella Fase II, è stato portato a termine dalla quasi totalità dei partecipanti</w:t>
      </w:r>
      <w:r>
        <w:t xml:space="preserve"> (90,7% del totale delle doti prese in carico), soprattutto fra gli uomini, over 45 e rientranti nella fascia 3 ad alta intensità di aiuto. La tabella qui di seguito riporta una panoramica dei tassi di conclusione della DUL per caratteristiche dei destinatari.</w:t>
      </w:r>
    </w:p>
    <w:p w14:paraId="02B5E028" w14:textId="77777777" w:rsidR="003B3DCA" w:rsidRPr="00BF3631" w:rsidRDefault="003B3DCA" w:rsidP="00F23A31">
      <w:pPr>
        <w:pStyle w:val="Didascalia"/>
        <w:rPr>
          <w:b w:val="0"/>
        </w:rPr>
      </w:pPr>
      <w:bookmarkStart w:id="125" w:name="_Toc91081461"/>
      <w:r w:rsidRPr="00F23A31">
        <w:t>Tabella</w:t>
      </w:r>
      <w:r w:rsidRPr="00BF3631">
        <w:t xml:space="preserve"> </w:t>
      </w:r>
      <w:r w:rsidR="004E6566" w:rsidRPr="00BF3631">
        <w:rPr>
          <w:b w:val="0"/>
        </w:rPr>
        <w:fldChar w:fldCharType="begin"/>
      </w:r>
      <w:r w:rsidRPr="00BF3631">
        <w:instrText xml:space="preserve"> SEQ Tabella \* ARABIC </w:instrText>
      </w:r>
      <w:r w:rsidR="004E6566" w:rsidRPr="00BF3631">
        <w:rPr>
          <w:b w:val="0"/>
        </w:rPr>
        <w:fldChar w:fldCharType="separate"/>
      </w:r>
      <w:r w:rsidR="00E53D6C">
        <w:rPr>
          <w:noProof/>
        </w:rPr>
        <w:t>35</w:t>
      </w:r>
      <w:r w:rsidR="004E6566" w:rsidRPr="00BF3631">
        <w:rPr>
          <w:b w:val="0"/>
        </w:rPr>
        <w:fldChar w:fldCharType="end"/>
      </w:r>
      <w:r w:rsidRPr="00BF3631">
        <w:t>. Tasso di conclusione del percorso DUL Autoimprenditorialità</w:t>
      </w:r>
      <w:bookmarkEnd w:id="125"/>
    </w:p>
    <w:tbl>
      <w:tblPr>
        <w:tblStyle w:val="Tabellagriglia4-colore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4812"/>
      </w:tblGrid>
      <w:tr w:rsidR="0029063E" w:rsidRPr="0029063E" w14:paraId="32715796" w14:textId="77777777" w:rsidTr="00A606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Borders>
              <w:top w:val="single" w:sz="4" w:space="0" w:color="auto"/>
              <w:left w:val="single" w:sz="4" w:space="0" w:color="auto"/>
              <w:bottom w:val="single" w:sz="4" w:space="0" w:color="auto"/>
              <w:right w:val="single" w:sz="4" w:space="0" w:color="auto"/>
            </w:tcBorders>
            <w:shd w:val="clear" w:color="auto" w:fill="669748" w:themeFill="accent2" w:themeFillShade="BF"/>
          </w:tcPr>
          <w:p w14:paraId="166509B1" w14:textId="77777777" w:rsidR="003B3DCA" w:rsidRPr="0029063E" w:rsidRDefault="003B3DCA" w:rsidP="00AF58DF">
            <w:pPr>
              <w:keepNext/>
              <w:keepLines/>
              <w:rPr>
                <w:rFonts w:cstheme="minorHAnsi"/>
                <w:color w:val="FFFFFF" w:themeColor="background1"/>
                <w:lang w:eastAsia="ja-JP"/>
              </w:rPr>
            </w:pPr>
            <w:r w:rsidRPr="0029063E">
              <w:rPr>
                <w:rFonts w:cstheme="minorHAnsi"/>
                <w:color w:val="FFFFFF" w:themeColor="background1"/>
                <w:lang w:eastAsia="ja-JP"/>
              </w:rPr>
              <w:t>Caratteristica partecipante</w:t>
            </w:r>
          </w:p>
        </w:tc>
        <w:tc>
          <w:tcPr>
            <w:tcW w:w="4889" w:type="dxa"/>
            <w:tcBorders>
              <w:top w:val="single" w:sz="4" w:space="0" w:color="auto"/>
              <w:left w:val="single" w:sz="4" w:space="0" w:color="auto"/>
              <w:bottom w:val="single" w:sz="4" w:space="0" w:color="auto"/>
              <w:right w:val="single" w:sz="4" w:space="0" w:color="auto"/>
            </w:tcBorders>
            <w:shd w:val="clear" w:color="auto" w:fill="669748" w:themeFill="accent2" w:themeFillShade="BF"/>
          </w:tcPr>
          <w:p w14:paraId="3D3196C2" w14:textId="77777777" w:rsidR="003B3DCA" w:rsidRPr="0029063E" w:rsidRDefault="003B3DCA" w:rsidP="00AF58DF">
            <w:pPr>
              <w:keepNext/>
              <w:keepLines/>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lang w:eastAsia="ja-JP"/>
              </w:rPr>
            </w:pPr>
            <w:r w:rsidRPr="0029063E">
              <w:rPr>
                <w:rFonts w:cstheme="minorHAnsi"/>
                <w:color w:val="FFFFFF" w:themeColor="background1"/>
                <w:lang w:eastAsia="ja-JP"/>
              </w:rPr>
              <w:t>Tasso di conclusione (%)</w:t>
            </w:r>
          </w:p>
        </w:tc>
      </w:tr>
      <w:tr w:rsidR="003B3DCA" w14:paraId="630A6ACE" w14:textId="77777777" w:rsidTr="00290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8" w:type="dxa"/>
            <w:gridSpan w:val="2"/>
            <w:tcBorders>
              <w:top w:val="single" w:sz="4" w:space="0" w:color="auto"/>
            </w:tcBorders>
            <w:shd w:val="clear" w:color="auto" w:fill="auto"/>
          </w:tcPr>
          <w:p w14:paraId="4139D76E" w14:textId="77777777" w:rsidR="003B3DCA" w:rsidRDefault="003B3DCA" w:rsidP="00AF58DF">
            <w:pPr>
              <w:keepNext/>
              <w:keepLines/>
              <w:rPr>
                <w:rFonts w:cstheme="minorHAnsi"/>
                <w:lang w:eastAsia="ja-JP"/>
              </w:rPr>
            </w:pPr>
            <w:r>
              <w:rPr>
                <w:rFonts w:cstheme="minorHAnsi"/>
                <w:lang w:eastAsia="ja-JP"/>
              </w:rPr>
              <w:t>Genere</w:t>
            </w:r>
          </w:p>
        </w:tc>
      </w:tr>
      <w:tr w:rsidR="003B3DCA" w14:paraId="7A9F8761" w14:textId="77777777" w:rsidTr="009E7B46">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21B0447E" w14:textId="77777777" w:rsidR="003B3DCA" w:rsidRPr="00BF3631" w:rsidRDefault="003B3DCA" w:rsidP="00AF58DF">
            <w:pPr>
              <w:keepNext/>
              <w:keepLines/>
              <w:rPr>
                <w:rFonts w:cstheme="minorHAnsi"/>
                <w:b w:val="0"/>
                <w:bCs w:val="0"/>
                <w:lang w:eastAsia="ja-JP"/>
              </w:rPr>
            </w:pPr>
            <w:r>
              <w:rPr>
                <w:rFonts w:cstheme="minorHAnsi"/>
                <w:b w:val="0"/>
                <w:bCs w:val="0"/>
                <w:lang w:eastAsia="ja-JP"/>
              </w:rPr>
              <w:t>Donna</w:t>
            </w:r>
          </w:p>
        </w:tc>
        <w:tc>
          <w:tcPr>
            <w:tcW w:w="4889" w:type="dxa"/>
            <w:shd w:val="clear" w:color="auto" w:fill="auto"/>
          </w:tcPr>
          <w:p w14:paraId="02405F95" w14:textId="77777777" w:rsidR="003B3DCA"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rFonts w:cstheme="minorHAnsi"/>
                <w:lang w:eastAsia="ja-JP"/>
              </w:rPr>
            </w:pPr>
            <w:r>
              <w:rPr>
                <w:rFonts w:cstheme="minorHAnsi"/>
                <w:lang w:eastAsia="ja-JP"/>
              </w:rPr>
              <w:t>90,2</w:t>
            </w:r>
          </w:p>
        </w:tc>
      </w:tr>
      <w:tr w:rsidR="003B3DCA" w14:paraId="56F60834"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5519938B" w14:textId="77777777" w:rsidR="003B3DCA" w:rsidRPr="00BF3631" w:rsidRDefault="003B3DCA" w:rsidP="00AF58DF">
            <w:pPr>
              <w:keepNext/>
              <w:keepLines/>
              <w:rPr>
                <w:rFonts w:cstheme="minorHAnsi"/>
                <w:b w:val="0"/>
                <w:bCs w:val="0"/>
                <w:lang w:eastAsia="ja-JP"/>
              </w:rPr>
            </w:pPr>
            <w:r w:rsidRPr="00BF3631">
              <w:rPr>
                <w:rFonts w:cstheme="minorHAnsi"/>
                <w:b w:val="0"/>
                <w:bCs w:val="0"/>
                <w:lang w:eastAsia="ja-JP"/>
              </w:rPr>
              <w:t>Uomo</w:t>
            </w:r>
          </w:p>
        </w:tc>
        <w:tc>
          <w:tcPr>
            <w:tcW w:w="4889" w:type="dxa"/>
            <w:shd w:val="clear" w:color="auto" w:fill="auto"/>
          </w:tcPr>
          <w:p w14:paraId="513E1D47" w14:textId="77777777" w:rsidR="003B3DCA"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lang w:eastAsia="ja-JP"/>
              </w:rPr>
            </w:pPr>
            <w:r>
              <w:rPr>
                <w:rFonts w:cstheme="minorHAnsi"/>
                <w:lang w:eastAsia="ja-JP"/>
              </w:rPr>
              <w:t>91,4</w:t>
            </w:r>
          </w:p>
        </w:tc>
      </w:tr>
      <w:tr w:rsidR="003B3DCA" w14:paraId="688A0BC5" w14:textId="77777777" w:rsidTr="009E7B46">
        <w:tc>
          <w:tcPr>
            <w:cnfStyle w:val="001000000000" w:firstRow="0" w:lastRow="0" w:firstColumn="1" w:lastColumn="0" w:oddVBand="0" w:evenVBand="0" w:oddHBand="0" w:evenHBand="0" w:firstRowFirstColumn="0" w:firstRowLastColumn="0" w:lastRowFirstColumn="0" w:lastRowLastColumn="0"/>
            <w:tcW w:w="9778" w:type="dxa"/>
            <w:gridSpan w:val="2"/>
            <w:shd w:val="clear" w:color="auto" w:fill="auto"/>
          </w:tcPr>
          <w:p w14:paraId="37A5A3CF" w14:textId="77777777" w:rsidR="003B3DCA" w:rsidRDefault="003B3DCA" w:rsidP="00AF58DF">
            <w:pPr>
              <w:keepNext/>
              <w:keepLines/>
              <w:rPr>
                <w:rFonts w:cstheme="minorHAnsi"/>
                <w:lang w:eastAsia="ja-JP"/>
              </w:rPr>
            </w:pPr>
            <w:r>
              <w:rPr>
                <w:rFonts w:cstheme="minorHAnsi"/>
                <w:lang w:eastAsia="ja-JP"/>
              </w:rPr>
              <w:t>Età</w:t>
            </w:r>
          </w:p>
        </w:tc>
      </w:tr>
      <w:tr w:rsidR="003B3DCA" w14:paraId="207E8E05"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12F28106" w14:textId="77777777" w:rsidR="003B3DCA" w:rsidRPr="00BF3631" w:rsidRDefault="003B3DCA" w:rsidP="00AF58DF">
            <w:pPr>
              <w:keepNext/>
              <w:keepLines/>
              <w:rPr>
                <w:rFonts w:cstheme="minorHAnsi"/>
                <w:b w:val="0"/>
                <w:bCs w:val="0"/>
                <w:lang w:eastAsia="ja-JP"/>
              </w:rPr>
            </w:pPr>
            <w:r w:rsidRPr="00BF3631">
              <w:rPr>
                <w:rFonts w:cstheme="minorHAnsi"/>
                <w:b w:val="0"/>
                <w:bCs w:val="0"/>
                <w:lang w:eastAsia="ja-JP"/>
              </w:rPr>
              <w:t>15-24</w:t>
            </w:r>
          </w:p>
        </w:tc>
        <w:tc>
          <w:tcPr>
            <w:tcW w:w="4889" w:type="dxa"/>
            <w:shd w:val="clear" w:color="auto" w:fill="auto"/>
          </w:tcPr>
          <w:p w14:paraId="7C4C91B4" w14:textId="77777777" w:rsidR="003B3DCA" w:rsidRPr="00BF3631"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lang w:eastAsia="ja-JP"/>
              </w:rPr>
            </w:pPr>
            <w:r>
              <w:rPr>
                <w:rFonts w:cstheme="minorHAnsi"/>
                <w:lang w:eastAsia="ja-JP"/>
              </w:rPr>
              <w:t>87,0</w:t>
            </w:r>
          </w:p>
        </w:tc>
      </w:tr>
      <w:tr w:rsidR="003B3DCA" w14:paraId="0E94E3F5" w14:textId="77777777" w:rsidTr="009E7B46">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321B1163" w14:textId="77777777" w:rsidR="003B3DCA" w:rsidRPr="00BF3631" w:rsidRDefault="003B3DCA" w:rsidP="00AF58DF">
            <w:pPr>
              <w:keepNext/>
              <w:keepLines/>
              <w:rPr>
                <w:rFonts w:cstheme="minorHAnsi"/>
                <w:b w:val="0"/>
                <w:bCs w:val="0"/>
                <w:lang w:eastAsia="ja-JP"/>
              </w:rPr>
            </w:pPr>
            <w:r>
              <w:rPr>
                <w:rFonts w:cstheme="minorHAnsi"/>
                <w:b w:val="0"/>
                <w:bCs w:val="0"/>
                <w:lang w:eastAsia="ja-JP"/>
              </w:rPr>
              <w:t>25-34</w:t>
            </w:r>
          </w:p>
        </w:tc>
        <w:tc>
          <w:tcPr>
            <w:tcW w:w="4889" w:type="dxa"/>
            <w:shd w:val="clear" w:color="auto" w:fill="auto"/>
          </w:tcPr>
          <w:p w14:paraId="5376C5F3" w14:textId="77777777" w:rsidR="003B3DCA" w:rsidRPr="00BF3631"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rFonts w:cstheme="minorHAnsi"/>
                <w:lang w:eastAsia="ja-JP"/>
              </w:rPr>
            </w:pPr>
            <w:r>
              <w:rPr>
                <w:rFonts w:cstheme="minorHAnsi"/>
                <w:lang w:eastAsia="ja-JP"/>
              </w:rPr>
              <w:t>88,9</w:t>
            </w:r>
          </w:p>
        </w:tc>
      </w:tr>
      <w:tr w:rsidR="003B3DCA" w14:paraId="0254DD57"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00F9D7F8" w14:textId="77777777" w:rsidR="003B3DCA" w:rsidRPr="00BF3631" w:rsidRDefault="003B3DCA" w:rsidP="00AF58DF">
            <w:pPr>
              <w:keepNext/>
              <w:keepLines/>
              <w:rPr>
                <w:rFonts w:cstheme="minorHAnsi"/>
                <w:b w:val="0"/>
                <w:bCs w:val="0"/>
                <w:lang w:eastAsia="ja-JP"/>
              </w:rPr>
            </w:pPr>
            <w:r>
              <w:rPr>
                <w:rFonts w:cstheme="minorHAnsi"/>
                <w:b w:val="0"/>
                <w:bCs w:val="0"/>
                <w:lang w:eastAsia="ja-JP"/>
              </w:rPr>
              <w:t>35-44</w:t>
            </w:r>
          </w:p>
        </w:tc>
        <w:tc>
          <w:tcPr>
            <w:tcW w:w="4889" w:type="dxa"/>
            <w:shd w:val="clear" w:color="auto" w:fill="auto"/>
          </w:tcPr>
          <w:p w14:paraId="0BDEEDC9" w14:textId="77777777" w:rsidR="003B3DCA" w:rsidRPr="00BF3631"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lang w:eastAsia="ja-JP"/>
              </w:rPr>
            </w:pPr>
            <w:r>
              <w:rPr>
                <w:rFonts w:cstheme="minorHAnsi"/>
                <w:lang w:eastAsia="ja-JP"/>
              </w:rPr>
              <w:t>89,4</w:t>
            </w:r>
          </w:p>
        </w:tc>
      </w:tr>
      <w:tr w:rsidR="003B3DCA" w14:paraId="775F6BF7" w14:textId="77777777" w:rsidTr="009E7B46">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0CBBFCC2" w14:textId="77777777" w:rsidR="003B3DCA" w:rsidRPr="00BF3631" w:rsidRDefault="003B3DCA" w:rsidP="00AF58DF">
            <w:pPr>
              <w:keepNext/>
              <w:keepLines/>
              <w:rPr>
                <w:rFonts w:cstheme="minorHAnsi"/>
                <w:b w:val="0"/>
                <w:bCs w:val="0"/>
                <w:lang w:eastAsia="ja-JP"/>
              </w:rPr>
            </w:pPr>
            <w:r>
              <w:rPr>
                <w:rFonts w:cstheme="minorHAnsi"/>
                <w:b w:val="0"/>
                <w:bCs w:val="0"/>
                <w:lang w:eastAsia="ja-JP"/>
              </w:rPr>
              <w:t>45-54</w:t>
            </w:r>
          </w:p>
        </w:tc>
        <w:tc>
          <w:tcPr>
            <w:tcW w:w="4889" w:type="dxa"/>
            <w:shd w:val="clear" w:color="auto" w:fill="auto"/>
          </w:tcPr>
          <w:p w14:paraId="22DC4568" w14:textId="77777777" w:rsidR="003B3DCA" w:rsidRPr="00BF3631"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rFonts w:cstheme="minorHAnsi"/>
                <w:lang w:eastAsia="ja-JP"/>
              </w:rPr>
            </w:pPr>
            <w:r>
              <w:rPr>
                <w:rFonts w:cstheme="minorHAnsi"/>
                <w:lang w:eastAsia="ja-JP"/>
              </w:rPr>
              <w:t>91,2</w:t>
            </w:r>
          </w:p>
        </w:tc>
      </w:tr>
      <w:tr w:rsidR="003B3DCA" w14:paraId="2F55C9ED"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22BDDD17" w14:textId="77777777" w:rsidR="003B3DCA" w:rsidRPr="00BF3631" w:rsidRDefault="003B3DCA" w:rsidP="00AF58DF">
            <w:pPr>
              <w:keepNext/>
              <w:keepLines/>
              <w:rPr>
                <w:rFonts w:cstheme="minorHAnsi"/>
                <w:b w:val="0"/>
                <w:bCs w:val="0"/>
                <w:lang w:eastAsia="ja-JP"/>
              </w:rPr>
            </w:pPr>
            <w:r>
              <w:rPr>
                <w:rFonts w:cstheme="minorHAnsi"/>
                <w:b w:val="0"/>
                <w:bCs w:val="0"/>
                <w:lang w:eastAsia="ja-JP"/>
              </w:rPr>
              <w:t>˃ 54</w:t>
            </w:r>
          </w:p>
        </w:tc>
        <w:tc>
          <w:tcPr>
            <w:tcW w:w="4889" w:type="dxa"/>
            <w:shd w:val="clear" w:color="auto" w:fill="auto"/>
          </w:tcPr>
          <w:p w14:paraId="68D786A8" w14:textId="77777777" w:rsidR="003B3DCA" w:rsidRPr="00BF3631"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lang w:eastAsia="ja-JP"/>
              </w:rPr>
            </w:pPr>
            <w:r>
              <w:rPr>
                <w:rFonts w:cstheme="minorHAnsi"/>
                <w:lang w:eastAsia="ja-JP"/>
              </w:rPr>
              <w:t>100,0</w:t>
            </w:r>
          </w:p>
        </w:tc>
      </w:tr>
      <w:tr w:rsidR="003B3DCA" w14:paraId="1F536E3E" w14:textId="77777777" w:rsidTr="009E7B46">
        <w:tc>
          <w:tcPr>
            <w:cnfStyle w:val="001000000000" w:firstRow="0" w:lastRow="0" w:firstColumn="1" w:lastColumn="0" w:oddVBand="0" w:evenVBand="0" w:oddHBand="0" w:evenHBand="0" w:firstRowFirstColumn="0" w:firstRowLastColumn="0" w:lastRowFirstColumn="0" w:lastRowLastColumn="0"/>
            <w:tcW w:w="9778" w:type="dxa"/>
            <w:gridSpan w:val="2"/>
            <w:shd w:val="clear" w:color="auto" w:fill="auto"/>
          </w:tcPr>
          <w:p w14:paraId="09305C59" w14:textId="77777777" w:rsidR="003B3DCA" w:rsidRPr="00097413" w:rsidRDefault="003B3DCA" w:rsidP="00AF58DF">
            <w:pPr>
              <w:keepNext/>
              <w:keepLines/>
              <w:rPr>
                <w:rFonts w:cstheme="minorHAnsi"/>
                <w:lang w:eastAsia="ja-JP"/>
              </w:rPr>
            </w:pPr>
            <w:r w:rsidRPr="00097413">
              <w:rPr>
                <w:rFonts w:cstheme="minorHAnsi"/>
                <w:lang w:eastAsia="ja-JP"/>
              </w:rPr>
              <w:t>Livello di istruzione</w:t>
            </w:r>
          </w:p>
        </w:tc>
      </w:tr>
      <w:tr w:rsidR="003B3DCA" w14:paraId="27599C2A"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5EB904EE" w14:textId="77777777" w:rsidR="003B3DCA" w:rsidRPr="00BF3631" w:rsidRDefault="003B3DCA" w:rsidP="00AF58DF">
            <w:pPr>
              <w:keepNext/>
              <w:keepLines/>
              <w:rPr>
                <w:rFonts w:cstheme="minorHAnsi"/>
                <w:b w:val="0"/>
                <w:bCs w:val="0"/>
                <w:lang w:eastAsia="ja-JP"/>
              </w:rPr>
            </w:pPr>
            <w:r>
              <w:rPr>
                <w:rFonts w:cstheme="minorHAnsi"/>
                <w:b w:val="0"/>
                <w:bCs w:val="0"/>
                <w:lang w:eastAsia="ja-JP"/>
              </w:rPr>
              <w:t>Fino a qualifica professionale</w:t>
            </w:r>
          </w:p>
        </w:tc>
        <w:tc>
          <w:tcPr>
            <w:tcW w:w="4889" w:type="dxa"/>
            <w:shd w:val="clear" w:color="auto" w:fill="auto"/>
          </w:tcPr>
          <w:p w14:paraId="7AFF1871" w14:textId="77777777" w:rsidR="003B3DCA" w:rsidRPr="00BF3631"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lang w:eastAsia="ja-JP"/>
              </w:rPr>
            </w:pPr>
            <w:r>
              <w:rPr>
                <w:rFonts w:cstheme="minorHAnsi"/>
                <w:lang w:eastAsia="ja-JP"/>
              </w:rPr>
              <w:t>91,1</w:t>
            </w:r>
          </w:p>
        </w:tc>
      </w:tr>
      <w:tr w:rsidR="003B3DCA" w14:paraId="125353C1" w14:textId="77777777" w:rsidTr="009E7B46">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33C8CD80" w14:textId="77777777" w:rsidR="003B3DCA" w:rsidRPr="00BF3631" w:rsidRDefault="003B3DCA" w:rsidP="00AF58DF">
            <w:pPr>
              <w:keepNext/>
              <w:keepLines/>
              <w:rPr>
                <w:rFonts w:cstheme="minorHAnsi"/>
                <w:b w:val="0"/>
                <w:bCs w:val="0"/>
                <w:lang w:eastAsia="ja-JP"/>
              </w:rPr>
            </w:pPr>
            <w:r>
              <w:rPr>
                <w:rFonts w:cstheme="minorHAnsi"/>
                <w:b w:val="0"/>
                <w:bCs w:val="0"/>
                <w:lang w:eastAsia="ja-JP"/>
              </w:rPr>
              <w:t>Diploma Scuola Media Superiore</w:t>
            </w:r>
          </w:p>
        </w:tc>
        <w:tc>
          <w:tcPr>
            <w:tcW w:w="4889" w:type="dxa"/>
            <w:shd w:val="clear" w:color="auto" w:fill="auto"/>
          </w:tcPr>
          <w:p w14:paraId="398083F6" w14:textId="77777777" w:rsidR="003B3DCA" w:rsidRPr="00BF3631"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rFonts w:cstheme="minorHAnsi"/>
                <w:lang w:eastAsia="ja-JP"/>
              </w:rPr>
            </w:pPr>
            <w:r>
              <w:rPr>
                <w:rFonts w:cstheme="minorHAnsi"/>
                <w:lang w:eastAsia="ja-JP"/>
              </w:rPr>
              <w:t>89,1</w:t>
            </w:r>
          </w:p>
        </w:tc>
      </w:tr>
      <w:tr w:rsidR="003B3DCA" w14:paraId="2CA559A4"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21C0CF5C" w14:textId="77777777" w:rsidR="003B3DCA" w:rsidRPr="00BF3631" w:rsidRDefault="003B3DCA" w:rsidP="00AF58DF">
            <w:pPr>
              <w:keepNext/>
              <w:keepLines/>
              <w:rPr>
                <w:rFonts w:cstheme="minorHAnsi"/>
                <w:b w:val="0"/>
                <w:bCs w:val="0"/>
                <w:lang w:eastAsia="ja-JP"/>
              </w:rPr>
            </w:pPr>
            <w:r>
              <w:rPr>
                <w:rFonts w:cstheme="minorHAnsi"/>
                <w:b w:val="0"/>
                <w:bCs w:val="0"/>
                <w:lang w:eastAsia="ja-JP"/>
              </w:rPr>
              <w:t>Titolo universitario</w:t>
            </w:r>
          </w:p>
        </w:tc>
        <w:tc>
          <w:tcPr>
            <w:tcW w:w="4889" w:type="dxa"/>
            <w:shd w:val="clear" w:color="auto" w:fill="auto"/>
          </w:tcPr>
          <w:p w14:paraId="7CDFB165" w14:textId="77777777" w:rsidR="003B3DCA" w:rsidRPr="00BF3631"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lang w:eastAsia="ja-JP"/>
              </w:rPr>
            </w:pPr>
            <w:r>
              <w:rPr>
                <w:rFonts w:cstheme="minorHAnsi"/>
                <w:lang w:eastAsia="ja-JP"/>
              </w:rPr>
              <w:t>91,8</w:t>
            </w:r>
          </w:p>
        </w:tc>
      </w:tr>
      <w:tr w:rsidR="003B3DCA" w14:paraId="0C855EE4" w14:textId="77777777" w:rsidTr="009E7B46">
        <w:tc>
          <w:tcPr>
            <w:cnfStyle w:val="001000000000" w:firstRow="0" w:lastRow="0" w:firstColumn="1" w:lastColumn="0" w:oddVBand="0" w:evenVBand="0" w:oddHBand="0" w:evenHBand="0" w:firstRowFirstColumn="0" w:firstRowLastColumn="0" w:lastRowFirstColumn="0" w:lastRowLastColumn="0"/>
            <w:tcW w:w="9778" w:type="dxa"/>
            <w:gridSpan w:val="2"/>
            <w:shd w:val="clear" w:color="auto" w:fill="auto"/>
          </w:tcPr>
          <w:p w14:paraId="5E6CBC6C" w14:textId="77777777" w:rsidR="003B3DCA" w:rsidRPr="00097413" w:rsidRDefault="003B3DCA" w:rsidP="00AF58DF">
            <w:pPr>
              <w:keepNext/>
              <w:keepLines/>
              <w:rPr>
                <w:rFonts w:cstheme="minorHAnsi"/>
                <w:lang w:eastAsia="ja-JP"/>
              </w:rPr>
            </w:pPr>
            <w:r w:rsidRPr="00097413">
              <w:rPr>
                <w:rFonts w:cstheme="minorHAnsi"/>
                <w:lang w:eastAsia="ja-JP"/>
              </w:rPr>
              <w:t>Fascia di aiuto</w:t>
            </w:r>
          </w:p>
        </w:tc>
      </w:tr>
      <w:tr w:rsidR="003B3DCA" w14:paraId="71F4C788"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73961AA1" w14:textId="77777777" w:rsidR="003B3DCA" w:rsidRPr="00BF3631" w:rsidRDefault="003B3DCA" w:rsidP="00AF58DF">
            <w:pPr>
              <w:keepNext/>
              <w:keepLines/>
              <w:rPr>
                <w:rFonts w:cstheme="minorHAnsi"/>
                <w:b w:val="0"/>
                <w:bCs w:val="0"/>
                <w:lang w:eastAsia="ja-JP"/>
              </w:rPr>
            </w:pPr>
            <w:r>
              <w:rPr>
                <w:rFonts w:cstheme="minorHAnsi"/>
                <w:b w:val="0"/>
                <w:bCs w:val="0"/>
                <w:lang w:eastAsia="ja-JP"/>
              </w:rPr>
              <w:t>1</w:t>
            </w:r>
          </w:p>
        </w:tc>
        <w:tc>
          <w:tcPr>
            <w:tcW w:w="4889" w:type="dxa"/>
            <w:shd w:val="clear" w:color="auto" w:fill="auto"/>
          </w:tcPr>
          <w:p w14:paraId="60888F78" w14:textId="77777777" w:rsidR="003B3DCA" w:rsidRPr="00BF3631"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lang w:eastAsia="ja-JP"/>
              </w:rPr>
            </w:pPr>
            <w:r>
              <w:rPr>
                <w:rFonts w:cstheme="minorHAnsi"/>
                <w:lang w:eastAsia="ja-JP"/>
              </w:rPr>
              <w:t>90,7</w:t>
            </w:r>
          </w:p>
        </w:tc>
      </w:tr>
      <w:tr w:rsidR="003B3DCA" w14:paraId="0C7ADB14" w14:textId="77777777" w:rsidTr="009E7B46">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56979D8C" w14:textId="77777777" w:rsidR="003B3DCA" w:rsidRPr="00BF3631" w:rsidRDefault="003B3DCA" w:rsidP="00AF58DF">
            <w:pPr>
              <w:keepNext/>
              <w:keepLines/>
              <w:rPr>
                <w:rFonts w:cstheme="minorHAnsi"/>
                <w:b w:val="0"/>
                <w:bCs w:val="0"/>
                <w:lang w:eastAsia="ja-JP"/>
              </w:rPr>
            </w:pPr>
            <w:r>
              <w:rPr>
                <w:rFonts w:cstheme="minorHAnsi"/>
                <w:b w:val="0"/>
                <w:bCs w:val="0"/>
                <w:lang w:eastAsia="ja-JP"/>
              </w:rPr>
              <w:t>2</w:t>
            </w:r>
          </w:p>
        </w:tc>
        <w:tc>
          <w:tcPr>
            <w:tcW w:w="4889" w:type="dxa"/>
            <w:shd w:val="clear" w:color="auto" w:fill="auto"/>
          </w:tcPr>
          <w:p w14:paraId="1183E87E" w14:textId="77777777" w:rsidR="003B3DCA" w:rsidRPr="00BF3631"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rFonts w:cstheme="minorHAnsi"/>
                <w:lang w:eastAsia="ja-JP"/>
              </w:rPr>
            </w:pPr>
            <w:r>
              <w:rPr>
                <w:rFonts w:cstheme="minorHAnsi"/>
                <w:lang w:eastAsia="ja-JP"/>
              </w:rPr>
              <w:t>86,3</w:t>
            </w:r>
          </w:p>
        </w:tc>
      </w:tr>
      <w:tr w:rsidR="003B3DCA" w14:paraId="0D8877F9"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603355AC" w14:textId="77777777" w:rsidR="003B3DCA" w:rsidRPr="00BF3631" w:rsidRDefault="003B3DCA" w:rsidP="00AF58DF">
            <w:pPr>
              <w:keepNext/>
              <w:keepLines/>
              <w:rPr>
                <w:rFonts w:cstheme="minorHAnsi"/>
                <w:b w:val="0"/>
                <w:bCs w:val="0"/>
                <w:lang w:eastAsia="ja-JP"/>
              </w:rPr>
            </w:pPr>
            <w:r>
              <w:rPr>
                <w:rFonts w:cstheme="minorHAnsi"/>
                <w:b w:val="0"/>
                <w:bCs w:val="0"/>
                <w:lang w:eastAsia="ja-JP"/>
              </w:rPr>
              <w:t>3</w:t>
            </w:r>
          </w:p>
        </w:tc>
        <w:tc>
          <w:tcPr>
            <w:tcW w:w="4889" w:type="dxa"/>
            <w:shd w:val="clear" w:color="auto" w:fill="auto"/>
          </w:tcPr>
          <w:p w14:paraId="2C6A854C" w14:textId="77777777" w:rsidR="003B3DCA" w:rsidRPr="00BF3631"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lang w:eastAsia="ja-JP"/>
              </w:rPr>
            </w:pPr>
            <w:r>
              <w:rPr>
                <w:rFonts w:cstheme="minorHAnsi"/>
                <w:lang w:eastAsia="ja-JP"/>
              </w:rPr>
              <w:t>94,4</w:t>
            </w:r>
          </w:p>
        </w:tc>
      </w:tr>
      <w:tr w:rsidR="003B3DCA" w14:paraId="387CDF04" w14:textId="77777777" w:rsidTr="009E7B46">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476F4A3F" w14:textId="77777777" w:rsidR="003B3DCA" w:rsidRPr="00097413" w:rsidRDefault="003B3DCA" w:rsidP="00AF58DF">
            <w:pPr>
              <w:keepNext/>
              <w:keepLines/>
              <w:rPr>
                <w:rFonts w:cstheme="minorHAnsi"/>
                <w:b w:val="0"/>
                <w:bCs w:val="0"/>
                <w:lang w:eastAsia="ja-JP"/>
              </w:rPr>
            </w:pPr>
            <w:r w:rsidRPr="00097413">
              <w:rPr>
                <w:rFonts w:cstheme="minorHAnsi"/>
                <w:b w:val="0"/>
                <w:bCs w:val="0"/>
                <w:lang w:eastAsia="ja-JP"/>
              </w:rPr>
              <w:t>3 Plus</w:t>
            </w:r>
          </w:p>
        </w:tc>
        <w:tc>
          <w:tcPr>
            <w:tcW w:w="4889" w:type="dxa"/>
            <w:shd w:val="clear" w:color="auto" w:fill="auto"/>
          </w:tcPr>
          <w:p w14:paraId="138034F9" w14:textId="77777777" w:rsidR="003B3DCA"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rFonts w:cstheme="minorHAnsi"/>
                <w:lang w:eastAsia="ja-JP"/>
              </w:rPr>
            </w:pPr>
            <w:r>
              <w:rPr>
                <w:rFonts w:cstheme="minorHAnsi"/>
                <w:lang w:eastAsia="ja-JP"/>
              </w:rPr>
              <w:t>85,7</w:t>
            </w:r>
          </w:p>
        </w:tc>
      </w:tr>
    </w:tbl>
    <w:p w14:paraId="29847CE3" w14:textId="77777777" w:rsidR="003B3DCA" w:rsidRPr="007A4843" w:rsidRDefault="003B3DCA" w:rsidP="00E17935">
      <w:pPr>
        <w:pStyle w:val="Fonte"/>
      </w:pPr>
      <w:r w:rsidRPr="007A4843">
        <w:t>Fonte: “Rapporto di valutazione tematica 2021” su dati monitoraggio Regione Lombardia</w:t>
      </w:r>
    </w:p>
    <w:p w14:paraId="5AB7E189" w14:textId="77777777" w:rsidR="00E17935" w:rsidRDefault="00E17935" w:rsidP="003B3DCA"/>
    <w:p w14:paraId="5B543323" w14:textId="77777777" w:rsidR="003B3DCA" w:rsidRDefault="003B3DCA" w:rsidP="003B3DCA">
      <w:r>
        <w:t xml:space="preserve">Il </w:t>
      </w:r>
      <w:r w:rsidRPr="00235951">
        <w:rPr>
          <w:b/>
          <w:bCs/>
        </w:rPr>
        <w:t>raggiungimento degli obiettivi previsti dal business plan</w:t>
      </w:r>
      <w:r>
        <w:t xml:space="preserve"> è un ulteriore aspetto rilevante e che evidenzia, però, un risultato non pienamente positivo della misura: </w:t>
      </w:r>
      <w:r w:rsidRPr="00E90F95">
        <w:rPr>
          <w:b/>
        </w:rPr>
        <w:t>gli obiettivi sono stati raggiunti, completamente o parzialmente, da poco più della metà dei rispondenti</w:t>
      </w:r>
      <w:r>
        <w:rPr>
          <w:rStyle w:val="Rimandonotaapidipagina"/>
        </w:rPr>
        <w:footnoteReference w:id="31"/>
      </w:r>
      <w:r>
        <w:t>, mentre un 42% che dichiara di non esservi riuscito. In alcuni casi, come evidenziato dalle risposte al questionario, questo mancato raggiungimento era attribuibile a: la mancanza di un adeguato supporto da parte degli operatori accreditati (38 casi); la mancata redazione del business plan (9 casi); la redazione di un business plan inadeguato (5 casi).</w:t>
      </w:r>
    </w:p>
    <w:p w14:paraId="483AB4E9" w14:textId="77777777" w:rsidR="003B3DCA" w:rsidRDefault="003B3DCA" w:rsidP="003B3DCA">
      <w:r>
        <w:t xml:space="preserve">Per quanto concerne la </w:t>
      </w:r>
      <w:r w:rsidRPr="001925E1">
        <w:rPr>
          <w:b/>
          <w:bCs/>
        </w:rPr>
        <w:t>condizione professionale dei destinatari</w:t>
      </w:r>
      <w:r>
        <w:t>, si possono evidenziare le seguenti evidenze principali:</w:t>
      </w:r>
    </w:p>
    <w:p w14:paraId="0F3B1767" w14:textId="77777777" w:rsidR="003B3DCA" w:rsidRDefault="003B3DCA" w:rsidP="0038676D">
      <w:pPr>
        <w:pStyle w:val="Paragrafoelenco"/>
        <w:numPr>
          <w:ilvl w:val="0"/>
          <w:numId w:val="44"/>
        </w:numPr>
      </w:pPr>
      <w:r w:rsidRPr="00253CB1">
        <w:t xml:space="preserve">circa la metà dei </w:t>
      </w:r>
      <w:r>
        <w:t xml:space="preserve">326 </w:t>
      </w:r>
      <w:r w:rsidRPr="00253CB1">
        <w:t xml:space="preserve">rispondenti </w:t>
      </w:r>
      <w:r>
        <w:t xml:space="preserve"> ha avuto prima della partecipazione alla DUL una esperienza come imprenditore/lavoratore autonomo (tale quota è più alta fra i meno giovani, per ovvi motivi);</w:t>
      </w:r>
    </w:p>
    <w:p w14:paraId="68FD8C34" w14:textId="77777777" w:rsidR="003B3DCA" w:rsidRDefault="003B3DCA" w:rsidP="0038676D">
      <w:pPr>
        <w:pStyle w:val="Paragrafoelenco"/>
        <w:numPr>
          <w:ilvl w:val="0"/>
          <w:numId w:val="44"/>
        </w:numPr>
      </w:pPr>
      <w:r>
        <w:t>a distanza di 2-3 anni dalla conclusione del percorso di autoimprenditorialità Fase II, circa il 75% dei destinatari è occupato, con una quota più elevata di occupati fra gli uomini (il 77,9% vs il 73,8% delle donne), fra coloro che hanno un titolo di studio universitario (82,1%) e coloro che rientravano nelle fasce ad intensità di aiuto più basse, 1 e 2 (rispettivamente 82,1% e 81%). Circa il 20% dei destinatari risulta ancora in cerca di occupazione (in prevalenza donne, individui fra 35 e 44 anni, e coloro in possesso di un titolo di istruzione al massimo pari alla licenza secondaria superiore);</w:t>
      </w:r>
    </w:p>
    <w:p w14:paraId="61F89329" w14:textId="77777777" w:rsidR="003B3DCA" w:rsidRDefault="003B3DCA" w:rsidP="0038676D">
      <w:pPr>
        <w:pStyle w:val="Paragrafoelenco"/>
        <w:numPr>
          <w:ilvl w:val="0"/>
          <w:numId w:val="44"/>
        </w:numPr>
      </w:pPr>
      <w:r>
        <w:t>fra coloro che risultano occupati</w:t>
      </w:r>
      <w:r>
        <w:rPr>
          <w:rStyle w:val="Rimandonotaapidipagina"/>
          <w:rFonts w:asciiTheme="minorHAnsi" w:hAnsiTheme="minorHAnsi" w:cstheme="minorHAnsi"/>
        </w:rPr>
        <w:footnoteReference w:id="32"/>
      </w:r>
      <w:r>
        <w:t>, la maggioranza è rappresentata da lavoratori autonomi (59,5%), mentre solo il 15,5% afferma di aver avviato un’attività imprenditoriale vera e propria (39 destinatari).</w:t>
      </w:r>
    </w:p>
    <w:p w14:paraId="183277CB" w14:textId="77777777" w:rsidR="003B3DCA" w:rsidRDefault="003B3DCA" w:rsidP="003B3DCA">
      <w:pPr>
        <w:rPr>
          <w:rFonts w:cstheme="minorHAnsi"/>
        </w:rPr>
      </w:pPr>
      <w:r>
        <w:rPr>
          <w:rFonts w:cstheme="minorHAnsi"/>
        </w:rPr>
        <w:t xml:space="preserve">Per quanto riguarda, infine, le </w:t>
      </w:r>
      <w:r w:rsidRPr="00EC64FC">
        <w:rPr>
          <w:rFonts w:cstheme="minorHAnsi"/>
          <w:b/>
          <w:bCs/>
        </w:rPr>
        <w:t>attività di impresa e lavoro autonomo avviate tramite la DUL</w:t>
      </w:r>
      <w:r w:rsidRPr="00EC64FC">
        <w:rPr>
          <w:rFonts w:cstheme="minorHAnsi"/>
        </w:rPr>
        <w:t>,</w:t>
      </w:r>
      <w:r>
        <w:rPr>
          <w:rFonts w:cstheme="minorHAnsi"/>
        </w:rPr>
        <w:t xml:space="preserve"> si evidenzia che circa </w:t>
      </w:r>
      <w:r w:rsidRPr="000E75A6">
        <w:rPr>
          <w:rFonts w:cstheme="minorHAnsi"/>
          <w:b/>
        </w:rPr>
        <w:t>il 91% delle attività avviate risultano attive al momento della rilevazione dei dati</w:t>
      </w:r>
      <w:r>
        <w:rPr>
          <w:rFonts w:cstheme="minorHAnsi"/>
        </w:rPr>
        <w:t xml:space="preserve"> e che si tratta delle stesse avviate tramite questa misura, con tassi più elevati fra gli uomini, gli individui adulti, coloro che hanno un grado di istruzione più elevato, e coloro che rientravano nelle fasce ad intensità di aiuto più basso. Questo, altresì, fa da riscontro al fatto che una buona quota dei destinatari, sempre con queste caratteristiche, risultava occupata a 2-3 anni dalla fine dell’intervento. Risulta inoltre evidente come sia Milano l’area geograficamente più favorevole per l’avvio di una attività imprenditoriale/di lavoro autonomo, nonché per la sua continuazione.</w:t>
      </w:r>
    </w:p>
    <w:p w14:paraId="632A6FCD" w14:textId="22D10DFD" w:rsidR="003B3DCA" w:rsidRDefault="003B3DCA" w:rsidP="003B3DCA">
      <w:pPr>
        <w:rPr>
          <w:rFonts w:cstheme="minorHAnsi"/>
        </w:rPr>
      </w:pPr>
      <w:r>
        <w:rPr>
          <w:rFonts w:cstheme="minorHAnsi"/>
        </w:rPr>
        <w:t>La tabella qui di seguito riporta una panoramica dei tassi di sopravvivenza delle attività avviate tramite la DUL, per tipologia di partecipante.</w:t>
      </w:r>
    </w:p>
    <w:p w14:paraId="49127A6D" w14:textId="77777777" w:rsidR="004242C0" w:rsidRDefault="004242C0" w:rsidP="003B3DCA">
      <w:pPr>
        <w:rPr>
          <w:rFonts w:cstheme="minorHAnsi"/>
        </w:rPr>
      </w:pPr>
    </w:p>
    <w:p w14:paraId="6E0FE921" w14:textId="77777777" w:rsidR="003B3DCA" w:rsidRPr="007F37C9" w:rsidRDefault="003B3DCA" w:rsidP="00F23A31">
      <w:pPr>
        <w:pStyle w:val="Didascalia"/>
        <w:rPr>
          <w:b w:val="0"/>
        </w:rPr>
      </w:pPr>
      <w:bookmarkStart w:id="126" w:name="_Toc91081462"/>
      <w:r w:rsidRPr="00F23A31">
        <w:t>Tabella</w:t>
      </w:r>
      <w:r w:rsidRPr="00BF3631">
        <w:t xml:space="preserve"> </w:t>
      </w:r>
      <w:r w:rsidR="004E6566" w:rsidRPr="00BF3631">
        <w:rPr>
          <w:b w:val="0"/>
        </w:rPr>
        <w:fldChar w:fldCharType="begin"/>
      </w:r>
      <w:r w:rsidRPr="00BF3631">
        <w:instrText xml:space="preserve"> SEQ Tabella \* ARABIC </w:instrText>
      </w:r>
      <w:r w:rsidR="004E6566" w:rsidRPr="00BF3631">
        <w:rPr>
          <w:b w:val="0"/>
        </w:rPr>
        <w:fldChar w:fldCharType="separate"/>
      </w:r>
      <w:r w:rsidR="00E53D6C">
        <w:rPr>
          <w:noProof/>
        </w:rPr>
        <w:t>36</w:t>
      </w:r>
      <w:r w:rsidR="004E6566" w:rsidRPr="00BF3631">
        <w:rPr>
          <w:b w:val="0"/>
        </w:rPr>
        <w:fldChar w:fldCharType="end"/>
      </w:r>
      <w:r w:rsidRPr="00BF3631">
        <w:t xml:space="preserve">. Tasso di </w:t>
      </w:r>
      <w:r>
        <w:t>sopravvivenza delle attività finanziate dalla DUL (al 31/12/2020)</w:t>
      </w:r>
      <w:bookmarkEnd w:id="126"/>
    </w:p>
    <w:tbl>
      <w:tblPr>
        <w:tblStyle w:val="Tabellagriglia4-colore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5"/>
      </w:tblGrid>
      <w:tr w:rsidR="0029063E" w:rsidRPr="0029063E" w14:paraId="50CA1073" w14:textId="77777777" w:rsidTr="00A606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Borders>
              <w:top w:val="single" w:sz="4" w:space="0" w:color="auto"/>
              <w:left w:val="single" w:sz="4" w:space="0" w:color="auto"/>
              <w:bottom w:val="single" w:sz="4" w:space="0" w:color="auto"/>
              <w:right w:val="single" w:sz="4" w:space="0" w:color="auto"/>
            </w:tcBorders>
            <w:shd w:val="clear" w:color="auto" w:fill="669748" w:themeFill="accent2" w:themeFillShade="BF"/>
          </w:tcPr>
          <w:p w14:paraId="736F9923" w14:textId="77777777" w:rsidR="003B3DCA" w:rsidRPr="0029063E" w:rsidRDefault="003B3DCA" w:rsidP="00AF58DF">
            <w:pPr>
              <w:keepNext/>
              <w:keepLines/>
              <w:rPr>
                <w:rFonts w:cstheme="minorHAnsi"/>
                <w:color w:val="FFFFFF" w:themeColor="background1"/>
                <w:lang w:eastAsia="ja-JP"/>
              </w:rPr>
            </w:pPr>
            <w:r w:rsidRPr="0029063E">
              <w:rPr>
                <w:rFonts w:cstheme="minorHAnsi"/>
                <w:color w:val="FFFFFF" w:themeColor="background1"/>
                <w:lang w:eastAsia="ja-JP"/>
              </w:rPr>
              <w:t>Caratteristica partecipante</w:t>
            </w:r>
          </w:p>
        </w:tc>
        <w:tc>
          <w:tcPr>
            <w:tcW w:w="4889" w:type="dxa"/>
            <w:tcBorders>
              <w:top w:val="single" w:sz="4" w:space="0" w:color="auto"/>
              <w:left w:val="single" w:sz="4" w:space="0" w:color="auto"/>
              <w:bottom w:val="single" w:sz="4" w:space="0" w:color="auto"/>
              <w:right w:val="single" w:sz="4" w:space="0" w:color="auto"/>
            </w:tcBorders>
            <w:shd w:val="clear" w:color="auto" w:fill="669748" w:themeFill="accent2" w:themeFillShade="BF"/>
          </w:tcPr>
          <w:p w14:paraId="1B52C130" w14:textId="77777777" w:rsidR="003B3DCA" w:rsidRPr="0029063E" w:rsidRDefault="003B3DCA" w:rsidP="00AF58DF">
            <w:pPr>
              <w:keepNext/>
              <w:keepLines/>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lang w:eastAsia="ja-JP"/>
              </w:rPr>
            </w:pPr>
            <w:r w:rsidRPr="0029063E">
              <w:rPr>
                <w:rFonts w:cstheme="minorHAnsi"/>
                <w:color w:val="FFFFFF" w:themeColor="background1"/>
                <w:lang w:eastAsia="ja-JP"/>
              </w:rPr>
              <w:t>Tasso di sopravvivenza (%)</w:t>
            </w:r>
          </w:p>
        </w:tc>
      </w:tr>
      <w:tr w:rsidR="003B3DCA" w14:paraId="78CC0E63" w14:textId="77777777" w:rsidTr="00290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8" w:type="dxa"/>
            <w:gridSpan w:val="2"/>
            <w:tcBorders>
              <w:top w:val="single" w:sz="4" w:space="0" w:color="auto"/>
            </w:tcBorders>
            <w:shd w:val="clear" w:color="auto" w:fill="auto"/>
          </w:tcPr>
          <w:p w14:paraId="72E5E696" w14:textId="77777777" w:rsidR="003B3DCA" w:rsidRDefault="003B3DCA" w:rsidP="00AF58DF">
            <w:pPr>
              <w:keepNext/>
              <w:keepLines/>
              <w:rPr>
                <w:rFonts w:cstheme="minorHAnsi"/>
                <w:lang w:eastAsia="ja-JP"/>
              </w:rPr>
            </w:pPr>
            <w:r>
              <w:rPr>
                <w:rFonts w:cstheme="minorHAnsi"/>
                <w:lang w:eastAsia="ja-JP"/>
              </w:rPr>
              <w:t>Genere</w:t>
            </w:r>
          </w:p>
        </w:tc>
      </w:tr>
      <w:tr w:rsidR="003B3DCA" w14:paraId="049B9041" w14:textId="77777777" w:rsidTr="009E7B46">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4750DC95" w14:textId="77777777" w:rsidR="003B3DCA" w:rsidRPr="00BF3631" w:rsidRDefault="003B3DCA" w:rsidP="00AF58DF">
            <w:pPr>
              <w:keepNext/>
              <w:keepLines/>
              <w:rPr>
                <w:rFonts w:cstheme="minorHAnsi"/>
                <w:b w:val="0"/>
                <w:bCs w:val="0"/>
                <w:lang w:eastAsia="ja-JP"/>
              </w:rPr>
            </w:pPr>
            <w:r>
              <w:rPr>
                <w:rFonts w:cstheme="minorHAnsi"/>
                <w:b w:val="0"/>
                <w:bCs w:val="0"/>
                <w:lang w:eastAsia="ja-JP"/>
              </w:rPr>
              <w:t>Donna</w:t>
            </w:r>
          </w:p>
        </w:tc>
        <w:tc>
          <w:tcPr>
            <w:tcW w:w="4889" w:type="dxa"/>
            <w:shd w:val="clear" w:color="auto" w:fill="auto"/>
          </w:tcPr>
          <w:p w14:paraId="042B1A46" w14:textId="77777777" w:rsidR="003B3DCA"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rFonts w:cstheme="minorHAnsi"/>
                <w:lang w:eastAsia="ja-JP"/>
              </w:rPr>
            </w:pPr>
            <w:r>
              <w:rPr>
                <w:rFonts w:cstheme="minorHAnsi"/>
                <w:lang w:eastAsia="ja-JP"/>
              </w:rPr>
              <w:t>90,3</w:t>
            </w:r>
          </w:p>
        </w:tc>
      </w:tr>
      <w:tr w:rsidR="003B3DCA" w14:paraId="747AA7A4"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5EF9B027" w14:textId="77777777" w:rsidR="003B3DCA" w:rsidRPr="00BF3631" w:rsidRDefault="003B3DCA" w:rsidP="00AF58DF">
            <w:pPr>
              <w:keepNext/>
              <w:keepLines/>
              <w:rPr>
                <w:rFonts w:cstheme="minorHAnsi"/>
                <w:b w:val="0"/>
                <w:bCs w:val="0"/>
                <w:lang w:eastAsia="ja-JP"/>
              </w:rPr>
            </w:pPr>
            <w:r w:rsidRPr="00BF3631">
              <w:rPr>
                <w:rFonts w:cstheme="minorHAnsi"/>
                <w:b w:val="0"/>
                <w:bCs w:val="0"/>
                <w:lang w:eastAsia="ja-JP"/>
              </w:rPr>
              <w:t>Uomo</w:t>
            </w:r>
          </w:p>
        </w:tc>
        <w:tc>
          <w:tcPr>
            <w:tcW w:w="4889" w:type="dxa"/>
            <w:shd w:val="clear" w:color="auto" w:fill="auto"/>
          </w:tcPr>
          <w:p w14:paraId="2BE7BE42" w14:textId="77777777" w:rsidR="003B3DCA"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lang w:eastAsia="ja-JP"/>
              </w:rPr>
            </w:pPr>
            <w:r>
              <w:rPr>
                <w:rFonts w:cstheme="minorHAnsi"/>
                <w:lang w:eastAsia="ja-JP"/>
              </w:rPr>
              <w:t>91,4</w:t>
            </w:r>
          </w:p>
        </w:tc>
      </w:tr>
      <w:tr w:rsidR="003B3DCA" w14:paraId="234D123C" w14:textId="77777777" w:rsidTr="009E7B46">
        <w:tc>
          <w:tcPr>
            <w:cnfStyle w:val="001000000000" w:firstRow="0" w:lastRow="0" w:firstColumn="1" w:lastColumn="0" w:oddVBand="0" w:evenVBand="0" w:oddHBand="0" w:evenHBand="0" w:firstRowFirstColumn="0" w:firstRowLastColumn="0" w:lastRowFirstColumn="0" w:lastRowLastColumn="0"/>
            <w:tcW w:w="9778" w:type="dxa"/>
            <w:gridSpan w:val="2"/>
            <w:shd w:val="clear" w:color="auto" w:fill="auto"/>
          </w:tcPr>
          <w:p w14:paraId="207E2B3A" w14:textId="77777777" w:rsidR="003B3DCA" w:rsidRDefault="003B3DCA" w:rsidP="00AF58DF">
            <w:pPr>
              <w:keepNext/>
              <w:keepLines/>
              <w:rPr>
                <w:rFonts w:cstheme="minorHAnsi"/>
                <w:lang w:eastAsia="ja-JP"/>
              </w:rPr>
            </w:pPr>
            <w:r>
              <w:rPr>
                <w:rFonts w:cstheme="minorHAnsi"/>
                <w:lang w:eastAsia="ja-JP"/>
              </w:rPr>
              <w:t>Età</w:t>
            </w:r>
          </w:p>
        </w:tc>
      </w:tr>
      <w:tr w:rsidR="003B3DCA" w14:paraId="34451514"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5EC14A2F" w14:textId="77777777" w:rsidR="003B3DCA" w:rsidRPr="00BF3631" w:rsidRDefault="003B3DCA" w:rsidP="00AF58DF">
            <w:pPr>
              <w:keepNext/>
              <w:keepLines/>
              <w:rPr>
                <w:rFonts w:cstheme="minorHAnsi"/>
                <w:b w:val="0"/>
                <w:bCs w:val="0"/>
                <w:lang w:eastAsia="ja-JP"/>
              </w:rPr>
            </w:pPr>
            <w:r w:rsidRPr="00BF3631">
              <w:rPr>
                <w:rFonts w:cstheme="minorHAnsi"/>
                <w:b w:val="0"/>
                <w:bCs w:val="0"/>
                <w:lang w:eastAsia="ja-JP"/>
              </w:rPr>
              <w:t>15-24</w:t>
            </w:r>
          </w:p>
        </w:tc>
        <w:tc>
          <w:tcPr>
            <w:tcW w:w="4889" w:type="dxa"/>
            <w:shd w:val="clear" w:color="auto" w:fill="auto"/>
          </w:tcPr>
          <w:p w14:paraId="3847C45E" w14:textId="77777777" w:rsidR="003B3DCA" w:rsidRPr="00BF3631"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lang w:eastAsia="ja-JP"/>
              </w:rPr>
            </w:pPr>
            <w:r>
              <w:rPr>
                <w:rFonts w:cstheme="minorHAnsi"/>
                <w:lang w:eastAsia="ja-JP"/>
              </w:rPr>
              <w:t>87,5</w:t>
            </w:r>
          </w:p>
        </w:tc>
      </w:tr>
      <w:tr w:rsidR="003B3DCA" w14:paraId="54D93F31" w14:textId="77777777" w:rsidTr="009E7B46">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59466C51" w14:textId="77777777" w:rsidR="003B3DCA" w:rsidRPr="00BF3631" w:rsidRDefault="003B3DCA" w:rsidP="00AF58DF">
            <w:pPr>
              <w:keepNext/>
              <w:keepLines/>
              <w:rPr>
                <w:rFonts w:cstheme="minorHAnsi"/>
                <w:b w:val="0"/>
                <w:bCs w:val="0"/>
                <w:lang w:eastAsia="ja-JP"/>
              </w:rPr>
            </w:pPr>
            <w:r>
              <w:rPr>
                <w:rFonts w:cstheme="minorHAnsi"/>
                <w:b w:val="0"/>
                <w:bCs w:val="0"/>
                <w:lang w:eastAsia="ja-JP"/>
              </w:rPr>
              <w:t>25-34</w:t>
            </w:r>
          </w:p>
        </w:tc>
        <w:tc>
          <w:tcPr>
            <w:tcW w:w="4889" w:type="dxa"/>
            <w:shd w:val="clear" w:color="auto" w:fill="auto"/>
          </w:tcPr>
          <w:p w14:paraId="7DB64746" w14:textId="77777777" w:rsidR="003B3DCA" w:rsidRPr="00BF3631"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rFonts w:cstheme="minorHAnsi"/>
                <w:lang w:eastAsia="ja-JP"/>
              </w:rPr>
            </w:pPr>
            <w:r>
              <w:rPr>
                <w:rFonts w:cstheme="minorHAnsi"/>
                <w:lang w:eastAsia="ja-JP"/>
              </w:rPr>
              <w:t>85,7</w:t>
            </w:r>
          </w:p>
        </w:tc>
      </w:tr>
      <w:tr w:rsidR="003B3DCA" w14:paraId="0367271C"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2D5A10E5" w14:textId="77777777" w:rsidR="003B3DCA" w:rsidRPr="00BF3631" w:rsidRDefault="003B3DCA" w:rsidP="00AF58DF">
            <w:pPr>
              <w:keepNext/>
              <w:keepLines/>
              <w:rPr>
                <w:rFonts w:cstheme="minorHAnsi"/>
                <w:b w:val="0"/>
                <w:bCs w:val="0"/>
                <w:lang w:eastAsia="ja-JP"/>
              </w:rPr>
            </w:pPr>
            <w:r>
              <w:rPr>
                <w:rFonts w:cstheme="minorHAnsi"/>
                <w:b w:val="0"/>
                <w:bCs w:val="0"/>
                <w:lang w:eastAsia="ja-JP"/>
              </w:rPr>
              <w:t>35-44</w:t>
            </w:r>
          </w:p>
        </w:tc>
        <w:tc>
          <w:tcPr>
            <w:tcW w:w="4889" w:type="dxa"/>
            <w:shd w:val="clear" w:color="auto" w:fill="auto"/>
          </w:tcPr>
          <w:p w14:paraId="7346EFB7" w14:textId="77777777" w:rsidR="003B3DCA" w:rsidRPr="00BF3631"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lang w:eastAsia="ja-JP"/>
              </w:rPr>
            </w:pPr>
            <w:r>
              <w:rPr>
                <w:rFonts w:cstheme="minorHAnsi"/>
                <w:lang w:eastAsia="ja-JP"/>
              </w:rPr>
              <w:t>93,2</w:t>
            </w:r>
          </w:p>
        </w:tc>
      </w:tr>
      <w:tr w:rsidR="003B3DCA" w14:paraId="76AED966" w14:textId="77777777" w:rsidTr="009E7B46">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275418BE" w14:textId="77777777" w:rsidR="003B3DCA" w:rsidRPr="00BF3631" w:rsidRDefault="003B3DCA" w:rsidP="00AF58DF">
            <w:pPr>
              <w:keepNext/>
              <w:keepLines/>
              <w:rPr>
                <w:rFonts w:cstheme="minorHAnsi"/>
                <w:b w:val="0"/>
                <w:bCs w:val="0"/>
                <w:lang w:eastAsia="ja-JP"/>
              </w:rPr>
            </w:pPr>
            <w:r>
              <w:rPr>
                <w:rFonts w:cstheme="minorHAnsi"/>
                <w:b w:val="0"/>
                <w:bCs w:val="0"/>
                <w:lang w:eastAsia="ja-JP"/>
              </w:rPr>
              <w:t>45-54</w:t>
            </w:r>
          </w:p>
        </w:tc>
        <w:tc>
          <w:tcPr>
            <w:tcW w:w="4889" w:type="dxa"/>
            <w:shd w:val="clear" w:color="auto" w:fill="auto"/>
          </w:tcPr>
          <w:p w14:paraId="6045F402" w14:textId="77777777" w:rsidR="003B3DCA" w:rsidRPr="00BF3631"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rFonts w:cstheme="minorHAnsi"/>
                <w:lang w:eastAsia="ja-JP"/>
              </w:rPr>
            </w:pPr>
            <w:r>
              <w:rPr>
                <w:rFonts w:cstheme="minorHAnsi"/>
                <w:lang w:eastAsia="ja-JP"/>
              </w:rPr>
              <w:t>92,3</w:t>
            </w:r>
          </w:p>
        </w:tc>
      </w:tr>
      <w:tr w:rsidR="003B3DCA" w14:paraId="04618095"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2CD714BE" w14:textId="77777777" w:rsidR="003B3DCA" w:rsidRPr="00BF3631" w:rsidRDefault="003B3DCA" w:rsidP="00AF58DF">
            <w:pPr>
              <w:keepNext/>
              <w:keepLines/>
              <w:rPr>
                <w:rFonts w:cstheme="minorHAnsi"/>
                <w:b w:val="0"/>
                <w:bCs w:val="0"/>
                <w:lang w:eastAsia="ja-JP"/>
              </w:rPr>
            </w:pPr>
            <w:r>
              <w:rPr>
                <w:rFonts w:cstheme="minorHAnsi"/>
                <w:b w:val="0"/>
                <w:bCs w:val="0"/>
                <w:lang w:eastAsia="ja-JP"/>
              </w:rPr>
              <w:t>˃ 54</w:t>
            </w:r>
          </w:p>
        </w:tc>
        <w:tc>
          <w:tcPr>
            <w:tcW w:w="4889" w:type="dxa"/>
            <w:shd w:val="clear" w:color="auto" w:fill="auto"/>
          </w:tcPr>
          <w:p w14:paraId="52438C12" w14:textId="77777777" w:rsidR="003B3DCA" w:rsidRPr="00BF3631"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lang w:eastAsia="ja-JP"/>
              </w:rPr>
            </w:pPr>
            <w:r>
              <w:rPr>
                <w:rFonts w:cstheme="minorHAnsi"/>
                <w:lang w:eastAsia="ja-JP"/>
              </w:rPr>
              <w:t>91,7</w:t>
            </w:r>
          </w:p>
        </w:tc>
      </w:tr>
      <w:tr w:rsidR="003B3DCA" w14:paraId="1895B8B9" w14:textId="77777777" w:rsidTr="009E7B46">
        <w:tc>
          <w:tcPr>
            <w:cnfStyle w:val="001000000000" w:firstRow="0" w:lastRow="0" w:firstColumn="1" w:lastColumn="0" w:oddVBand="0" w:evenVBand="0" w:oddHBand="0" w:evenHBand="0" w:firstRowFirstColumn="0" w:firstRowLastColumn="0" w:lastRowFirstColumn="0" w:lastRowLastColumn="0"/>
            <w:tcW w:w="9778" w:type="dxa"/>
            <w:gridSpan w:val="2"/>
            <w:shd w:val="clear" w:color="auto" w:fill="auto"/>
          </w:tcPr>
          <w:p w14:paraId="2B8E9924" w14:textId="77777777" w:rsidR="003B3DCA" w:rsidRPr="00097413" w:rsidRDefault="003B3DCA" w:rsidP="00AF58DF">
            <w:pPr>
              <w:keepNext/>
              <w:keepLines/>
              <w:rPr>
                <w:rFonts w:cstheme="minorHAnsi"/>
                <w:lang w:eastAsia="ja-JP"/>
              </w:rPr>
            </w:pPr>
            <w:r w:rsidRPr="00097413">
              <w:rPr>
                <w:rFonts w:cstheme="minorHAnsi"/>
                <w:lang w:eastAsia="ja-JP"/>
              </w:rPr>
              <w:t>Livello di istruzione</w:t>
            </w:r>
          </w:p>
        </w:tc>
      </w:tr>
      <w:tr w:rsidR="003B3DCA" w14:paraId="60253D96"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42DC3EFD" w14:textId="77777777" w:rsidR="003B3DCA" w:rsidRPr="00BF3631" w:rsidRDefault="003B3DCA" w:rsidP="00AF58DF">
            <w:pPr>
              <w:keepNext/>
              <w:keepLines/>
              <w:rPr>
                <w:rFonts w:cstheme="minorHAnsi"/>
                <w:b w:val="0"/>
                <w:bCs w:val="0"/>
                <w:lang w:eastAsia="ja-JP"/>
              </w:rPr>
            </w:pPr>
            <w:r>
              <w:rPr>
                <w:rFonts w:cstheme="minorHAnsi"/>
                <w:b w:val="0"/>
                <w:bCs w:val="0"/>
                <w:lang w:eastAsia="ja-JP"/>
              </w:rPr>
              <w:t>Fino a qualifica professionale</w:t>
            </w:r>
          </w:p>
        </w:tc>
        <w:tc>
          <w:tcPr>
            <w:tcW w:w="4889" w:type="dxa"/>
            <w:shd w:val="clear" w:color="auto" w:fill="auto"/>
          </w:tcPr>
          <w:p w14:paraId="16694914" w14:textId="77777777" w:rsidR="003B3DCA" w:rsidRPr="00BF3631"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lang w:eastAsia="ja-JP"/>
              </w:rPr>
            </w:pPr>
            <w:r>
              <w:rPr>
                <w:rFonts w:cstheme="minorHAnsi"/>
                <w:lang w:eastAsia="ja-JP"/>
              </w:rPr>
              <w:t>100,0</w:t>
            </w:r>
          </w:p>
        </w:tc>
      </w:tr>
      <w:tr w:rsidR="003B3DCA" w14:paraId="254E3221" w14:textId="77777777" w:rsidTr="009E7B46">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0FB87B9C" w14:textId="77777777" w:rsidR="003B3DCA" w:rsidRPr="00BF3631" w:rsidRDefault="003B3DCA" w:rsidP="00AF58DF">
            <w:pPr>
              <w:keepNext/>
              <w:keepLines/>
              <w:rPr>
                <w:rFonts w:cstheme="minorHAnsi"/>
                <w:b w:val="0"/>
                <w:bCs w:val="0"/>
                <w:lang w:eastAsia="ja-JP"/>
              </w:rPr>
            </w:pPr>
            <w:r>
              <w:rPr>
                <w:rFonts w:cstheme="minorHAnsi"/>
                <w:b w:val="0"/>
                <w:bCs w:val="0"/>
                <w:lang w:eastAsia="ja-JP"/>
              </w:rPr>
              <w:t>Diploma Scuola Media Superiore</w:t>
            </w:r>
          </w:p>
        </w:tc>
        <w:tc>
          <w:tcPr>
            <w:tcW w:w="4889" w:type="dxa"/>
            <w:shd w:val="clear" w:color="auto" w:fill="auto"/>
          </w:tcPr>
          <w:p w14:paraId="336ADA87" w14:textId="77777777" w:rsidR="003B3DCA" w:rsidRPr="00BF3631"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rFonts w:cstheme="minorHAnsi"/>
                <w:lang w:eastAsia="ja-JP"/>
              </w:rPr>
            </w:pPr>
            <w:r>
              <w:rPr>
                <w:rFonts w:cstheme="minorHAnsi"/>
                <w:lang w:eastAsia="ja-JP"/>
              </w:rPr>
              <w:t>89,1</w:t>
            </w:r>
          </w:p>
        </w:tc>
      </w:tr>
      <w:tr w:rsidR="003B3DCA" w14:paraId="2AC865D9"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43E5E199" w14:textId="77777777" w:rsidR="003B3DCA" w:rsidRPr="00BF3631" w:rsidRDefault="003B3DCA" w:rsidP="00AF58DF">
            <w:pPr>
              <w:keepNext/>
              <w:keepLines/>
              <w:rPr>
                <w:rFonts w:cstheme="minorHAnsi"/>
                <w:b w:val="0"/>
                <w:bCs w:val="0"/>
                <w:lang w:eastAsia="ja-JP"/>
              </w:rPr>
            </w:pPr>
            <w:r>
              <w:rPr>
                <w:rFonts w:cstheme="minorHAnsi"/>
                <w:b w:val="0"/>
                <w:bCs w:val="0"/>
                <w:lang w:eastAsia="ja-JP"/>
              </w:rPr>
              <w:t>Titolo universitario</w:t>
            </w:r>
          </w:p>
        </w:tc>
        <w:tc>
          <w:tcPr>
            <w:tcW w:w="4889" w:type="dxa"/>
            <w:shd w:val="clear" w:color="auto" w:fill="auto"/>
          </w:tcPr>
          <w:p w14:paraId="650C7A9A" w14:textId="77777777" w:rsidR="003B3DCA" w:rsidRPr="00BF3631"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lang w:eastAsia="ja-JP"/>
              </w:rPr>
            </w:pPr>
            <w:r>
              <w:rPr>
                <w:rFonts w:cstheme="minorHAnsi"/>
                <w:lang w:eastAsia="ja-JP"/>
              </w:rPr>
              <w:t>89,0</w:t>
            </w:r>
          </w:p>
        </w:tc>
      </w:tr>
      <w:tr w:rsidR="003B3DCA" w14:paraId="1BD72726" w14:textId="77777777" w:rsidTr="009E7B46">
        <w:tc>
          <w:tcPr>
            <w:cnfStyle w:val="001000000000" w:firstRow="0" w:lastRow="0" w:firstColumn="1" w:lastColumn="0" w:oddVBand="0" w:evenVBand="0" w:oddHBand="0" w:evenHBand="0" w:firstRowFirstColumn="0" w:firstRowLastColumn="0" w:lastRowFirstColumn="0" w:lastRowLastColumn="0"/>
            <w:tcW w:w="9778" w:type="dxa"/>
            <w:gridSpan w:val="2"/>
            <w:shd w:val="clear" w:color="auto" w:fill="auto"/>
          </w:tcPr>
          <w:p w14:paraId="64F811FE" w14:textId="77777777" w:rsidR="003B3DCA" w:rsidRPr="00097413" w:rsidRDefault="003B3DCA" w:rsidP="00AF58DF">
            <w:pPr>
              <w:keepNext/>
              <w:keepLines/>
              <w:rPr>
                <w:rFonts w:cstheme="minorHAnsi"/>
                <w:lang w:eastAsia="ja-JP"/>
              </w:rPr>
            </w:pPr>
            <w:r w:rsidRPr="00097413">
              <w:rPr>
                <w:rFonts w:cstheme="minorHAnsi"/>
                <w:lang w:eastAsia="ja-JP"/>
              </w:rPr>
              <w:t>Fascia di aiuto</w:t>
            </w:r>
          </w:p>
        </w:tc>
      </w:tr>
      <w:tr w:rsidR="003B3DCA" w14:paraId="16216290"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2805A988" w14:textId="77777777" w:rsidR="003B3DCA" w:rsidRPr="00BF3631" w:rsidRDefault="003B3DCA" w:rsidP="00AF58DF">
            <w:pPr>
              <w:keepNext/>
              <w:keepLines/>
              <w:rPr>
                <w:rFonts w:cstheme="minorHAnsi"/>
                <w:b w:val="0"/>
                <w:bCs w:val="0"/>
                <w:lang w:eastAsia="ja-JP"/>
              </w:rPr>
            </w:pPr>
            <w:r>
              <w:rPr>
                <w:rFonts w:cstheme="minorHAnsi"/>
                <w:b w:val="0"/>
                <w:bCs w:val="0"/>
                <w:lang w:eastAsia="ja-JP"/>
              </w:rPr>
              <w:t>1</w:t>
            </w:r>
          </w:p>
        </w:tc>
        <w:tc>
          <w:tcPr>
            <w:tcW w:w="4889" w:type="dxa"/>
            <w:shd w:val="clear" w:color="auto" w:fill="auto"/>
          </w:tcPr>
          <w:p w14:paraId="7C45A03E" w14:textId="77777777" w:rsidR="003B3DCA" w:rsidRPr="00BF3631"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lang w:eastAsia="ja-JP"/>
              </w:rPr>
            </w:pPr>
            <w:r>
              <w:rPr>
                <w:rFonts w:cstheme="minorHAnsi"/>
                <w:lang w:eastAsia="ja-JP"/>
              </w:rPr>
              <w:t>95,2</w:t>
            </w:r>
          </w:p>
        </w:tc>
      </w:tr>
      <w:tr w:rsidR="003B3DCA" w14:paraId="04924EEB" w14:textId="77777777" w:rsidTr="009E7B46">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19CEE17E" w14:textId="77777777" w:rsidR="003B3DCA" w:rsidRPr="00BF3631" w:rsidRDefault="003B3DCA" w:rsidP="00AF58DF">
            <w:pPr>
              <w:keepNext/>
              <w:keepLines/>
              <w:rPr>
                <w:rFonts w:cstheme="minorHAnsi"/>
                <w:b w:val="0"/>
                <w:bCs w:val="0"/>
                <w:lang w:eastAsia="ja-JP"/>
              </w:rPr>
            </w:pPr>
            <w:r>
              <w:rPr>
                <w:rFonts w:cstheme="minorHAnsi"/>
                <w:b w:val="0"/>
                <w:bCs w:val="0"/>
                <w:lang w:eastAsia="ja-JP"/>
              </w:rPr>
              <w:t>2</w:t>
            </w:r>
          </w:p>
        </w:tc>
        <w:tc>
          <w:tcPr>
            <w:tcW w:w="4889" w:type="dxa"/>
            <w:shd w:val="clear" w:color="auto" w:fill="auto"/>
          </w:tcPr>
          <w:p w14:paraId="30AD5493" w14:textId="77777777" w:rsidR="003B3DCA" w:rsidRPr="00BF3631"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rFonts w:cstheme="minorHAnsi"/>
                <w:lang w:eastAsia="ja-JP"/>
              </w:rPr>
            </w:pPr>
            <w:r>
              <w:rPr>
                <w:rFonts w:cstheme="minorHAnsi"/>
                <w:lang w:eastAsia="ja-JP"/>
              </w:rPr>
              <w:t>87,9</w:t>
            </w:r>
          </w:p>
        </w:tc>
      </w:tr>
      <w:tr w:rsidR="003B3DCA" w14:paraId="4F664976"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7BEA33BB" w14:textId="77777777" w:rsidR="003B3DCA" w:rsidRPr="00BF3631" w:rsidRDefault="003B3DCA" w:rsidP="00AF58DF">
            <w:pPr>
              <w:keepNext/>
              <w:keepLines/>
              <w:rPr>
                <w:rFonts w:cstheme="minorHAnsi"/>
                <w:b w:val="0"/>
                <w:bCs w:val="0"/>
                <w:lang w:eastAsia="ja-JP"/>
              </w:rPr>
            </w:pPr>
            <w:r>
              <w:rPr>
                <w:rFonts w:cstheme="minorHAnsi"/>
                <w:b w:val="0"/>
                <w:bCs w:val="0"/>
                <w:lang w:eastAsia="ja-JP"/>
              </w:rPr>
              <w:t>3</w:t>
            </w:r>
          </w:p>
        </w:tc>
        <w:tc>
          <w:tcPr>
            <w:tcW w:w="4889" w:type="dxa"/>
            <w:shd w:val="clear" w:color="auto" w:fill="auto"/>
          </w:tcPr>
          <w:p w14:paraId="62CF8D22" w14:textId="77777777" w:rsidR="003B3DCA" w:rsidRPr="00BF3631"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lang w:eastAsia="ja-JP"/>
              </w:rPr>
            </w:pPr>
            <w:r>
              <w:rPr>
                <w:rFonts w:cstheme="minorHAnsi"/>
                <w:lang w:eastAsia="ja-JP"/>
              </w:rPr>
              <w:t>90,6</w:t>
            </w:r>
          </w:p>
        </w:tc>
      </w:tr>
      <w:tr w:rsidR="003B3DCA" w14:paraId="4EBBED79" w14:textId="77777777" w:rsidTr="009E7B46">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221D143A" w14:textId="77777777" w:rsidR="003B3DCA" w:rsidRPr="00097413" w:rsidRDefault="003B3DCA" w:rsidP="00AF58DF">
            <w:pPr>
              <w:keepNext/>
              <w:keepLines/>
              <w:rPr>
                <w:rFonts w:cstheme="minorHAnsi"/>
                <w:b w:val="0"/>
                <w:bCs w:val="0"/>
                <w:lang w:eastAsia="ja-JP"/>
              </w:rPr>
            </w:pPr>
            <w:r w:rsidRPr="00097413">
              <w:rPr>
                <w:rFonts w:cstheme="minorHAnsi"/>
                <w:b w:val="0"/>
                <w:bCs w:val="0"/>
                <w:lang w:eastAsia="ja-JP"/>
              </w:rPr>
              <w:t>3 Plus</w:t>
            </w:r>
          </w:p>
        </w:tc>
        <w:tc>
          <w:tcPr>
            <w:tcW w:w="4889" w:type="dxa"/>
            <w:shd w:val="clear" w:color="auto" w:fill="auto"/>
          </w:tcPr>
          <w:p w14:paraId="509DBF2C" w14:textId="77777777" w:rsidR="003B3DCA"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rFonts w:cstheme="minorHAnsi"/>
                <w:lang w:eastAsia="ja-JP"/>
              </w:rPr>
            </w:pPr>
            <w:r>
              <w:rPr>
                <w:rFonts w:cstheme="minorHAnsi"/>
                <w:lang w:eastAsia="ja-JP"/>
              </w:rPr>
              <w:t>50,0</w:t>
            </w:r>
          </w:p>
        </w:tc>
      </w:tr>
      <w:tr w:rsidR="003B3DCA" w14:paraId="74598391"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8" w:type="dxa"/>
            <w:gridSpan w:val="2"/>
            <w:shd w:val="clear" w:color="auto" w:fill="auto"/>
          </w:tcPr>
          <w:p w14:paraId="1A9229C7" w14:textId="77777777" w:rsidR="003B3DCA" w:rsidRDefault="003B3DCA" w:rsidP="00AF58DF">
            <w:pPr>
              <w:keepNext/>
              <w:keepLines/>
              <w:rPr>
                <w:rFonts w:cstheme="minorHAnsi"/>
                <w:lang w:eastAsia="ja-JP"/>
              </w:rPr>
            </w:pPr>
            <w:r>
              <w:rPr>
                <w:rFonts w:cstheme="minorHAnsi"/>
                <w:lang w:eastAsia="ja-JP"/>
              </w:rPr>
              <w:t>Domicilio</w:t>
            </w:r>
          </w:p>
        </w:tc>
      </w:tr>
      <w:tr w:rsidR="003B3DCA" w14:paraId="7763CC6E" w14:textId="77777777" w:rsidTr="009E7B46">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29194E6F" w14:textId="77777777" w:rsidR="003B3DCA" w:rsidRPr="00097413" w:rsidRDefault="003B3DCA" w:rsidP="00AF58DF">
            <w:pPr>
              <w:keepNext/>
              <w:keepLines/>
              <w:rPr>
                <w:rFonts w:cstheme="minorHAnsi"/>
                <w:b w:val="0"/>
                <w:bCs w:val="0"/>
                <w:lang w:eastAsia="ja-JP"/>
              </w:rPr>
            </w:pPr>
            <w:r>
              <w:rPr>
                <w:rFonts w:cstheme="minorHAnsi"/>
                <w:b w:val="0"/>
                <w:bCs w:val="0"/>
                <w:lang w:eastAsia="ja-JP"/>
              </w:rPr>
              <w:t>Milano</w:t>
            </w:r>
          </w:p>
        </w:tc>
        <w:tc>
          <w:tcPr>
            <w:tcW w:w="4889" w:type="dxa"/>
            <w:shd w:val="clear" w:color="auto" w:fill="auto"/>
          </w:tcPr>
          <w:p w14:paraId="4AE2BC6F" w14:textId="77777777" w:rsidR="003B3DCA"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rFonts w:cstheme="minorHAnsi"/>
                <w:lang w:eastAsia="ja-JP"/>
              </w:rPr>
            </w:pPr>
            <w:r>
              <w:rPr>
                <w:rFonts w:cstheme="minorHAnsi"/>
                <w:lang w:eastAsia="ja-JP"/>
              </w:rPr>
              <w:t>92,0</w:t>
            </w:r>
          </w:p>
        </w:tc>
      </w:tr>
      <w:tr w:rsidR="003B3DCA" w14:paraId="4E1FAFD9"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shd w:val="clear" w:color="auto" w:fill="auto"/>
          </w:tcPr>
          <w:p w14:paraId="4AA69D8F" w14:textId="77777777" w:rsidR="003B3DCA" w:rsidRPr="00097413" w:rsidRDefault="003B3DCA" w:rsidP="00AF58DF">
            <w:pPr>
              <w:keepNext/>
              <w:keepLines/>
              <w:rPr>
                <w:rFonts w:cstheme="minorHAnsi"/>
                <w:b w:val="0"/>
                <w:bCs w:val="0"/>
                <w:lang w:eastAsia="ja-JP"/>
              </w:rPr>
            </w:pPr>
            <w:r>
              <w:rPr>
                <w:rFonts w:cstheme="minorHAnsi"/>
                <w:b w:val="0"/>
                <w:bCs w:val="0"/>
                <w:lang w:eastAsia="ja-JP"/>
              </w:rPr>
              <w:t>Restanti province lombarde</w:t>
            </w:r>
          </w:p>
        </w:tc>
        <w:tc>
          <w:tcPr>
            <w:tcW w:w="4889" w:type="dxa"/>
            <w:shd w:val="clear" w:color="auto" w:fill="auto"/>
          </w:tcPr>
          <w:p w14:paraId="74F74BB1" w14:textId="77777777" w:rsidR="003B3DCA"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lang w:eastAsia="ja-JP"/>
              </w:rPr>
            </w:pPr>
            <w:r>
              <w:rPr>
                <w:rFonts w:cstheme="minorHAnsi"/>
                <w:lang w:eastAsia="ja-JP"/>
              </w:rPr>
              <w:t>88,9</w:t>
            </w:r>
          </w:p>
        </w:tc>
      </w:tr>
    </w:tbl>
    <w:p w14:paraId="30A9FD10" w14:textId="77777777" w:rsidR="003B3DCA" w:rsidRPr="007A4843" w:rsidRDefault="003B3DCA" w:rsidP="00E17935">
      <w:pPr>
        <w:pStyle w:val="Fonte"/>
      </w:pPr>
      <w:r w:rsidRPr="007A4843">
        <w:t>Fonte: “Rapporto di valutazione tematica 2021” su dati monitoraggio Regione Lombardia</w:t>
      </w:r>
    </w:p>
    <w:p w14:paraId="045E1181" w14:textId="77777777" w:rsidR="003B3DCA" w:rsidRDefault="003B3DCA" w:rsidP="003B3DCA">
      <w:pPr>
        <w:rPr>
          <w:rFonts w:cstheme="minorHAnsi"/>
        </w:rPr>
      </w:pPr>
      <w:r>
        <w:rPr>
          <w:rFonts w:cstheme="minorHAnsi"/>
        </w:rPr>
        <w:t xml:space="preserve">Andando più nello specifico della </w:t>
      </w:r>
      <w:r w:rsidRPr="006352D5">
        <w:rPr>
          <w:rFonts w:cstheme="minorHAnsi"/>
          <w:b/>
        </w:rPr>
        <w:t>tipologia e settore di attività avviata tramite la DUL</w:t>
      </w:r>
      <w:r>
        <w:rPr>
          <w:rFonts w:cstheme="minorHAnsi"/>
        </w:rPr>
        <w:t>, emerge che circa</w:t>
      </w:r>
      <w:r w:rsidRPr="00F96003">
        <w:rPr>
          <w:rFonts w:cstheme="minorHAnsi"/>
        </w:rPr>
        <w:t xml:space="preserve"> i 2/3 delle imprese e delle attività di lavoro autonomo avviate dai partecipanti alla DUL (che hanno partecipato all’indagine) si concentra su</w:t>
      </w:r>
      <w:r>
        <w:rPr>
          <w:rFonts w:cstheme="minorHAnsi"/>
        </w:rPr>
        <w:t>i seguenti</w:t>
      </w:r>
      <w:r w:rsidRPr="00F96003">
        <w:rPr>
          <w:rFonts w:cstheme="minorHAnsi"/>
        </w:rPr>
        <w:t xml:space="preserve"> 3 settori</w:t>
      </w:r>
      <w:r>
        <w:rPr>
          <w:rFonts w:cstheme="minorHAnsi"/>
        </w:rPr>
        <w:t>:</w:t>
      </w:r>
    </w:p>
    <w:p w14:paraId="27D2284E" w14:textId="77777777" w:rsidR="003B3DCA" w:rsidRPr="0091616F" w:rsidRDefault="003B3DCA" w:rsidP="0038676D">
      <w:pPr>
        <w:pStyle w:val="Paragrafoelenco"/>
        <w:numPr>
          <w:ilvl w:val="0"/>
          <w:numId w:val="45"/>
        </w:numPr>
      </w:pPr>
      <w:r w:rsidRPr="0091616F">
        <w:t xml:space="preserve">i servizi alle imprese e altre attività professionali e imprenditoriali, </w:t>
      </w:r>
    </w:p>
    <w:p w14:paraId="4460F2C8" w14:textId="77777777" w:rsidR="003B3DCA" w:rsidRPr="0091616F" w:rsidRDefault="003B3DCA" w:rsidP="0038676D">
      <w:pPr>
        <w:pStyle w:val="Paragrafoelenco"/>
        <w:numPr>
          <w:ilvl w:val="0"/>
          <w:numId w:val="45"/>
        </w:numPr>
      </w:pPr>
      <w:r w:rsidRPr="0091616F">
        <w:t>servizi pubblici, sociali e alle persone quali attività culturali e sportive</w:t>
      </w:r>
      <w:r>
        <w:t>, e servizi alla persona,</w:t>
      </w:r>
      <w:r w:rsidRPr="0091616F">
        <w:t xml:space="preserve"> </w:t>
      </w:r>
    </w:p>
    <w:p w14:paraId="564EB035" w14:textId="77777777" w:rsidR="003B3DCA" w:rsidRPr="0091616F" w:rsidRDefault="003B3DCA" w:rsidP="0038676D">
      <w:pPr>
        <w:pStyle w:val="Paragrafoelenco"/>
        <w:numPr>
          <w:ilvl w:val="0"/>
          <w:numId w:val="45"/>
        </w:numPr>
      </w:pPr>
      <w:r w:rsidRPr="0091616F">
        <w:t xml:space="preserve">commercio. </w:t>
      </w:r>
    </w:p>
    <w:p w14:paraId="23CABB05" w14:textId="77777777" w:rsidR="003B3DCA" w:rsidRDefault="003B3DCA" w:rsidP="003B3DCA">
      <w:pPr>
        <w:rPr>
          <w:rFonts w:cstheme="minorHAnsi"/>
        </w:rPr>
      </w:pPr>
      <w:r w:rsidRPr="00F96003">
        <w:rPr>
          <w:rFonts w:cstheme="minorHAnsi"/>
        </w:rPr>
        <w:t xml:space="preserve">In totale, </w:t>
      </w:r>
      <w:r w:rsidRPr="00F96003">
        <w:rPr>
          <w:rFonts w:cstheme="minorHAnsi"/>
          <w:b/>
        </w:rPr>
        <w:t>l’80% circa opera nel macrosettore dei servizi e del commercio</w:t>
      </w:r>
      <w:r w:rsidRPr="00F96003">
        <w:rPr>
          <w:rFonts w:cstheme="minorHAnsi"/>
        </w:rPr>
        <w:t>. In circa il 90% dei casi si tratta di imprese individuali e attività da libero professionista. I clienti di queste imprese ed attività di lavoro autonomo sono principalmente clienti locali/regionali (nel 65,4% dei casi) o nazionali (28,9%).</w:t>
      </w:r>
      <w:r>
        <w:rPr>
          <w:rFonts w:cstheme="minorHAnsi"/>
        </w:rPr>
        <w:t xml:space="preserve"> Da notare inoltre che quasi il 60% delle imprese ancora in essere risiedono da Milano, a riprova dell’importanza di questa area geografica per lo sviluppo di nuove attività imprenditoriali.</w:t>
      </w:r>
    </w:p>
    <w:p w14:paraId="33757985" w14:textId="77777777" w:rsidR="003B3DCA" w:rsidRDefault="003B3DCA" w:rsidP="003B3DCA">
      <w:pPr>
        <w:rPr>
          <w:rFonts w:cstheme="minorHAnsi"/>
        </w:rPr>
      </w:pPr>
      <w:r>
        <w:rPr>
          <w:rFonts w:cstheme="minorHAnsi"/>
        </w:rPr>
        <w:t>Qui di seguito si riportano due figure inerenti a, rispettivamente, la distribuzione per provincia delle attività avviate con la DUL e i settori specifici di attività.</w:t>
      </w:r>
    </w:p>
    <w:p w14:paraId="3CC3C0D4" w14:textId="77777777" w:rsidR="00BF3994" w:rsidRDefault="00BF3994" w:rsidP="003B3DCA">
      <w:pPr>
        <w:rPr>
          <w:rFonts w:cstheme="minorHAnsi"/>
        </w:rPr>
      </w:pPr>
    </w:p>
    <w:p w14:paraId="3CC952DE" w14:textId="77777777" w:rsidR="00BF3994" w:rsidRPr="0018350A" w:rsidRDefault="00BF3994" w:rsidP="00F23A31">
      <w:pPr>
        <w:pStyle w:val="Didascalia"/>
        <w:rPr>
          <w:b w:val="0"/>
        </w:rPr>
      </w:pPr>
      <w:bookmarkStart w:id="127" w:name="_Toc91081500"/>
      <w:r w:rsidRPr="00F23A31">
        <w:t>Figura</w:t>
      </w:r>
      <w:r w:rsidRPr="0018350A">
        <w:t xml:space="preserve"> </w:t>
      </w:r>
      <w:r w:rsidR="004E6566" w:rsidRPr="0018350A">
        <w:rPr>
          <w:b w:val="0"/>
        </w:rPr>
        <w:fldChar w:fldCharType="begin"/>
      </w:r>
      <w:r w:rsidRPr="0018350A">
        <w:instrText xml:space="preserve"> SEQ Figura \* ARABIC </w:instrText>
      </w:r>
      <w:r w:rsidR="004E6566" w:rsidRPr="0018350A">
        <w:rPr>
          <w:b w:val="0"/>
        </w:rPr>
        <w:fldChar w:fldCharType="separate"/>
      </w:r>
      <w:r w:rsidR="00E53D6C">
        <w:rPr>
          <w:noProof/>
        </w:rPr>
        <w:t>31</w:t>
      </w:r>
      <w:r w:rsidR="004E6566" w:rsidRPr="0018350A">
        <w:rPr>
          <w:b w:val="0"/>
        </w:rPr>
        <w:fldChar w:fldCharType="end"/>
      </w:r>
      <w:r w:rsidRPr="0018350A">
        <w:t>. Distribuzione per provincia delle attività avviate e ancora attive</w:t>
      </w:r>
      <w:bookmarkEnd w:id="127"/>
    </w:p>
    <w:p w14:paraId="127CDDED" w14:textId="77777777" w:rsidR="00BF3994" w:rsidRDefault="00BF3994" w:rsidP="00BF3994">
      <w:pPr>
        <w:keepNext/>
        <w:keepLines/>
        <w:rPr>
          <w:rFonts w:cstheme="minorHAnsi"/>
        </w:rPr>
      </w:pPr>
      <w:r>
        <w:rPr>
          <w:rFonts w:cstheme="minorHAnsi"/>
          <w:noProof/>
          <w:lang w:eastAsia="it-IT"/>
        </w:rPr>
        <w:drawing>
          <wp:inline distT="0" distB="0" distL="0" distR="0" wp14:anchorId="3B25E422" wp14:editId="37ADB57B">
            <wp:extent cx="4173388" cy="2249058"/>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srcRect/>
                    <a:stretch>
                      <a:fillRect/>
                    </a:stretch>
                  </pic:blipFill>
                  <pic:spPr bwMode="auto">
                    <a:xfrm>
                      <a:off x="0" y="0"/>
                      <a:ext cx="4180190" cy="2252724"/>
                    </a:xfrm>
                    <a:prstGeom prst="rect">
                      <a:avLst/>
                    </a:prstGeom>
                    <a:noFill/>
                  </pic:spPr>
                </pic:pic>
              </a:graphicData>
            </a:graphic>
          </wp:inline>
        </w:drawing>
      </w:r>
    </w:p>
    <w:p w14:paraId="5B5A8751" w14:textId="77777777" w:rsidR="00BF3994" w:rsidRDefault="00BF3994" w:rsidP="00BF3994">
      <w:pPr>
        <w:keepNext/>
        <w:keepLines/>
        <w:rPr>
          <w:rFonts w:cstheme="minorHAnsi"/>
          <w:i/>
          <w:sz w:val="20"/>
        </w:rPr>
      </w:pPr>
      <w:r>
        <w:rPr>
          <w:rFonts w:cstheme="minorHAnsi"/>
          <w:i/>
          <w:sz w:val="20"/>
        </w:rPr>
        <w:t>Fonte: “Rapporto di valutazione tematica 2021”, indagine ad hoc</w:t>
      </w:r>
    </w:p>
    <w:p w14:paraId="3B060D6F" w14:textId="77777777" w:rsidR="00BF3994" w:rsidRDefault="00BF3994" w:rsidP="00BF3994">
      <w:pPr>
        <w:keepNext/>
        <w:keepLines/>
        <w:rPr>
          <w:rFonts w:cstheme="minorHAnsi"/>
          <w:i/>
          <w:sz w:val="20"/>
        </w:rPr>
      </w:pPr>
      <w:r w:rsidRPr="0018350A">
        <w:rPr>
          <w:rFonts w:cstheme="minorHAnsi"/>
          <w:i/>
          <w:sz w:val="20"/>
        </w:rPr>
        <w:t>Note: 372 rispondenti su 376</w:t>
      </w:r>
    </w:p>
    <w:p w14:paraId="723E4173" w14:textId="77777777" w:rsidR="003B3DCA" w:rsidRDefault="003B3DCA" w:rsidP="003B3DCA">
      <w:pPr>
        <w:pStyle w:val="Didascalia"/>
        <w:keepLines/>
        <w:spacing w:after="120"/>
        <w:rPr>
          <w:b w:val="0"/>
          <w:bCs/>
          <w:i w:val="0"/>
          <w:iCs w:val="0"/>
          <w:sz w:val="22"/>
          <w:szCs w:val="22"/>
        </w:rPr>
      </w:pPr>
    </w:p>
    <w:p w14:paraId="5961C8B8" w14:textId="77777777" w:rsidR="003B3DCA" w:rsidRPr="0018350A" w:rsidRDefault="003B3DCA" w:rsidP="00F23A31">
      <w:pPr>
        <w:pStyle w:val="Didascalia"/>
      </w:pPr>
      <w:bookmarkStart w:id="128" w:name="_Toc91081501"/>
      <w:r w:rsidRPr="0018350A">
        <w:t xml:space="preserve">Figura </w:t>
      </w:r>
      <w:r w:rsidR="004E6566" w:rsidRPr="0018350A">
        <w:fldChar w:fldCharType="begin"/>
      </w:r>
      <w:r w:rsidRPr="0018350A">
        <w:instrText xml:space="preserve"> SEQ Figura \* ARABIC </w:instrText>
      </w:r>
      <w:r w:rsidR="004E6566" w:rsidRPr="0018350A">
        <w:fldChar w:fldCharType="separate"/>
      </w:r>
      <w:r w:rsidR="00E53D6C">
        <w:rPr>
          <w:noProof/>
        </w:rPr>
        <w:t>32</w:t>
      </w:r>
      <w:r w:rsidR="004E6566" w:rsidRPr="0018350A">
        <w:fldChar w:fldCharType="end"/>
      </w:r>
      <w:r w:rsidRPr="0018350A">
        <w:t>. Settore di attività delle imprese e attività autonome avviate e ancora attive</w:t>
      </w:r>
      <w:bookmarkEnd w:id="128"/>
    </w:p>
    <w:p w14:paraId="175E2312" w14:textId="77777777" w:rsidR="003B3DCA" w:rsidRDefault="003B3DCA" w:rsidP="003B3DCA">
      <w:pPr>
        <w:keepNext/>
        <w:keepLines/>
        <w:rPr>
          <w:rFonts w:cstheme="minorHAnsi"/>
          <w:i/>
          <w:sz w:val="20"/>
        </w:rPr>
      </w:pPr>
      <w:r>
        <w:rPr>
          <w:rFonts w:cstheme="minorHAnsi"/>
          <w:i/>
          <w:noProof/>
          <w:sz w:val="20"/>
          <w:lang w:eastAsia="it-IT"/>
        </w:rPr>
        <w:drawing>
          <wp:inline distT="0" distB="0" distL="0" distR="0" wp14:anchorId="1E181451" wp14:editId="1CD018BB">
            <wp:extent cx="4189081" cy="2688131"/>
            <wp:effectExtent l="0" t="0" r="2540" b="0"/>
            <wp:docPr id="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srcRect/>
                    <a:stretch>
                      <a:fillRect/>
                    </a:stretch>
                  </pic:blipFill>
                  <pic:spPr bwMode="auto">
                    <a:xfrm>
                      <a:off x="0" y="0"/>
                      <a:ext cx="4202396" cy="2696675"/>
                    </a:xfrm>
                    <a:prstGeom prst="rect">
                      <a:avLst/>
                    </a:prstGeom>
                    <a:noFill/>
                  </pic:spPr>
                </pic:pic>
              </a:graphicData>
            </a:graphic>
          </wp:inline>
        </w:drawing>
      </w:r>
    </w:p>
    <w:p w14:paraId="1174366B" w14:textId="77777777" w:rsidR="003B3DCA" w:rsidRDefault="003B3DCA" w:rsidP="00E17935">
      <w:pPr>
        <w:pStyle w:val="Fonte"/>
      </w:pPr>
      <w:r>
        <w:t>Fonte: “Rapporto di valutazione tematica 2021”, indagine ad hoc</w:t>
      </w:r>
    </w:p>
    <w:p w14:paraId="32586849" w14:textId="77777777" w:rsidR="003B3DCA" w:rsidRDefault="003B3DCA" w:rsidP="00E17935">
      <w:pPr>
        <w:pStyle w:val="Fonte"/>
      </w:pPr>
      <w:r w:rsidRPr="0018350A">
        <w:t>Note: 3</w:t>
      </w:r>
      <w:r>
        <w:t>69</w:t>
      </w:r>
      <w:r w:rsidRPr="0018350A">
        <w:t xml:space="preserve"> rispondenti su 376</w:t>
      </w:r>
    </w:p>
    <w:p w14:paraId="04A581F4" w14:textId="77777777" w:rsidR="003B3DCA" w:rsidRDefault="003B3DCA" w:rsidP="003B3DCA">
      <w:pPr>
        <w:keepNext/>
        <w:keepLines/>
        <w:rPr>
          <w:rFonts w:cstheme="minorHAnsi"/>
          <w:i/>
          <w:sz w:val="20"/>
        </w:rPr>
      </w:pPr>
    </w:p>
    <w:p w14:paraId="5C77216A" w14:textId="77777777" w:rsidR="003B3DCA" w:rsidRDefault="003B3DCA" w:rsidP="003B3DCA">
      <w:pPr>
        <w:keepNext/>
        <w:keepLines/>
      </w:pPr>
      <w:r w:rsidRPr="006352D5">
        <w:t xml:space="preserve">Per quanto concerne, infine, </w:t>
      </w:r>
      <w:r>
        <w:t xml:space="preserve">l’andamento delle imprese/attività di lavoro autonomo avviate in termini di </w:t>
      </w:r>
      <w:r w:rsidRPr="000046BA">
        <w:rPr>
          <w:b/>
        </w:rPr>
        <w:t>fatturato presente e previsionale</w:t>
      </w:r>
      <w:r>
        <w:t xml:space="preserve">, si evidenzia che la </w:t>
      </w:r>
      <w:r w:rsidRPr="000046BA">
        <w:rPr>
          <w:b/>
        </w:rPr>
        <w:t>maggior parte delle attività di impresa e di lavoro autonomo avviate dai rispondenti non superano i 50mila euro di fatturato</w:t>
      </w:r>
      <w:r w:rsidRPr="006352D5">
        <w:t xml:space="preserve">, compatibilmente col fatto che, </w:t>
      </w:r>
      <w:r>
        <w:t>in larga parte</w:t>
      </w:r>
      <w:r w:rsidRPr="006352D5">
        <w:t xml:space="preserve">, si  tratta di attività di lavoro autonomo. Le attività che superano tale soglia di </w:t>
      </w:r>
      <w:r>
        <w:t xml:space="preserve">fatturato sono state avviate principalmente da destinatari con le seguenti caratteristiche: </w:t>
      </w:r>
      <w:r w:rsidRPr="006352D5">
        <w:t xml:space="preserve">uomini, 45-54enni, persone con la qualifica professionale e destinatari della DUL profilati nella fascia 1 ad alta intensità di aiuto. </w:t>
      </w:r>
    </w:p>
    <w:p w14:paraId="6149CD0D" w14:textId="77777777" w:rsidR="003B3DCA" w:rsidRDefault="003B3DCA" w:rsidP="003B3DCA">
      <w:pPr>
        <w:keepNext/>
        <w:keepLines/>
      </w:pPr>
      <w:r w:rsidRPr="006352D5">
        <w:t>Il fatturato è cresciuto rispetto all’avvio delle attività per la maggior parte dei rispondenti</w:t>
      </w:r>
      <w:r>
        <w:rPr>
          <w:rStyle w:val="Rimandonotaapidipagina"/>
        </w:rPr>
        <w:footnoteReference w:id="33"/>
      </w:r>
      <w:r w:rsidRPr="006352D5">
        <w:t xml:space="preserve"> (il 62,5</w:t>
      </w:r>
      <w:r>
        <w:t xml:space="preserve">%) ed in particolare nel caso di: </w:t>
      </w:r>
      <w:r w:rsidRPr="006352D5">
        <w:t>uomini, giovani, diplomati e quanti rientravano nella fascia 1 a bassa intensità di aiuto.</w:t>
      </w:r>
      <w:r>
        <w:t xml:space="preserve"> Da sottolineare, inoltre, come il 22,5% dei rispondenti abbia evidenziato una diminuzione del fatturato, alla quale ha plausibilmente contribuito anche l’avvento pandemico, mentre un 15% abbia mantenuto inalterato il proprio fatturato.</w:t>
      </w:r>
    </w:p>
    <w:p w14:paraId="674C5AFD" w14:textId="77777777" w:rsidR="003B3DCA" w:rsidRDefault="003B3DCA" w:rsidP="003B3DCA">
      <w:pPr>
        <w:keepNext/>
        <w:keepLines/>
      </w:pPr>
      <w:r w:rsidRPr="006352D5">
        <w:t>I</w:t>
      </w:r>
      <w:r>
        <w:t xml:space="preserve">l 75% </w:t>
      </w:r>
      <w:r w:rsidRPr="006352D5">
        <w:t>dei rispondenti</w:t>
      </w:r>
      <w:r>
        <w:rPr>
          <w:rStyle w:val="Rimandonotaapidipagina"/>
        </w:rPr>
        <w:footnoteReference w:id="34"/>
      </w:r>
      <w:r w:rsidRPr="006352D5">
        <w:t xml:space="preserve"> si aspetta un aumento del fatturato </w:t>
      </w:r>
      <w:r>
        <w:t>nel prossimo biennio. Tale previsione è stata riscontrata maggiormente fra i destinatari</w:t>
      </w:r>
      <w:r w:rsidRPr="006352D5">
        <w:t xml:space="preserve"> </w:t>
      </w:r>
      <w:r>
        <w:t>con le seguenti caratteristiche:</w:t>
      </w:r>
      <w:r w:rsidRPr="006352D5">
        <w:t xml:space="preserve"> uomini, giovani, in possesso di un livello di istruzione universitaria e profilati nelle fasce 1 e 2</w:t>
      </w:r>
      <w:r>
        <w:t>,</w:t>
      </w:r>
      <w:r w:rsidRPr="006352D5">
        <w:t xml:space="preserve"> a bassa e media intensità di aiuto della DUL- Fase II</w:t>
      </w:r>
      <w:r>
        <w:t>.</w:t>
      </w:r>
    </w:p>
    <w:p w14:paraId="774B91FE" w14:textId="77777777" w:rsidR="00A606B0" w:rsidRPr="006352D5" w:rsidRDefault="00A606B0" w:rsidP="003B3DCA">
      <w:pPr>
        <w:keepNext/>
        <w:keepLines/>
      </w:pPr>
    </w:p>
    <w:p w14:paraId="292CC7AB" w14:textId="77777777" w:rsidR="003B3DCA" w:rsidRPr="0018350A" w:rsidRDefault="003B3DCA" w:rsidP="003B3DCA">
      <w:pPr>
        <w:rPr>
          <w:rFonts w:cstheme="minorHAnsi"/>
          <w:i/>
          <w:sz w:val="20"/>
        </w:rPr>
      </w:pPr>
    </w:p>
    <w:p w14:paraId="35F4B17B" w14:textId="77777777" w:rsidR="003B3DCA" w:rsidRPr="003B3DCA" w:rsidRDefault="003B3DCA" w:rsidP="003B3DCA">
      <w:pPr>
        <w:rPr>
          <w:b/>
          <w:bCs/>
          <w:u w:val="single"/>
        </w:rPr>
      </w:pPr>
      <w:r w:rsidRPr="003B3DCA">
        <w:rPr>
          <w:u w:val="single"/>
        </w:rPr>
        <w:t xml:space="preserve">Gli esiti della DUL Autoimprenditorialità e gli effetti del </w:t>
      </w:r>
      <w:r w:rsidR="0030242F">
        <w:rPr>
          <w:u w:val="single"/>
        </w:rPr>
        <w:t>COVID</w:t>
      </w:r>
      <w:r w:rsidRPr="003B3DCA">
        <w:rPr>
          <w:u w:val="single"/>
        </w:rPr>
        <w:t>-19</w:t>
      </w:r>
    </w:p>
    <w:p w14:paraId="074984AB" w14:textId="77777777" w:rsidR="003B3DCA" w:rsidRDefault="003B3DCA" w:rsidP="003B3DCA">
      <w:pPr>
        <w:spacing w:before="120"/>
      </w:pPr>
      <w:r>
        <w:t xml:space="preserve">La </w:t>
      </w:r>
      <w:r w:rsidRPr="00894AEA">
        <w:rPr>
          <w:b/>
        </w:rPr>
        <w:t>DUL Autoimprenditorialità</w:t>
      </w:r>
      <w:r>
        <w:t xml:space="preserve">, nonostante non abbia goduto di un vero e proprio “supporto promozionale” e sia stata, quindi, un servizio quasi residuale rispetto alla DUL che proponeva inserimento lavorativo/tirocinio, </w:t>
      </w:r>
      <w:r w:rsidRPr="00894AEA">
        <w:rPr>
          <w:b/>
        </w:rPr>
        <w:t>si è</w:t>
      </w:r>
      <w:r>
        <w:t xml:space="preserve"> comunque </w:t>
      </w:r>
      <w:r w:rsidRPr="00894AEA">
        <w:rPr>
          <w:b/>
        </w:rPr>
        <w:t>attestata come strumento rilevante nell’offrire delle opportunità occupazionali</w:t>
      </w:r>
      <w:r>
        <w:t>, soprattutto a coloro in cerca di lavoro. Nel caso della DUL in questione, come già accennato, l’</w:t>
      </w:r>
      <w:r w:rsidRPr="00894AEA">
        <w:rPr>
          <w:b/>
        </w:rPr>
        <w:t>esito positivo era rappresentato dall’iscrizione dell’impresa costituita alla CCIAA e/o dall’apertura di una partita iva coerente con il business plan definito durante il percorso</w:t>
      </w:r>
      <w:r>
        <w:t>.</w:t>
      </w:r>
    </w:p>
    <w:p w14:paraId="2A734474" w14:textId="77777777" w:rsidR="003B3DCA" w:rsidRDefault="003B3DCA" w:rsidP="003B3DCA">
      <w:pPr>
        <w:spacing w:before="120"/>
      </w:pPr>
      <w:r>
        <w:t xml:space="preserve">Come riportato più in dettaglio nella </w:t>
      </w:r>
      <w:r w:rsidR="00E20AC0">
        <w:t>Tabella seguente</w:t>
      </w:r>
      <w:r>
        <w:t xml:space="preserve">, </w:t>
      </w:r>
      <w:r w:rsidRPr="00894AEA">
        <w:rPr>
          <w:b/>
        </w:rPr>
        <w:t>le doti con esito positivo sono state 1.529, pari al 57,7% delle doti totali prese in carico</w:t>
      </w:r>
      <w:r>
        <w:t xml:space="preserve">, con una prevalenza fra gli uomini, i più giovani (tra i 15 e i 34 anni), i meno istruiti e le persone che si collocano nella fascia di intensità di aiuto 3 Plus. C’è tuttavia da sottolineare come la </w:t>
      </w:r>
      <w:r w:rsidRPr="00894AEA">
        <w:rPr>
          <w:b/>
        </w:rPr>
        <w:t>DUL</w:t>
      </w:r>
      <w:r>
        <w:t xml:space="preserve"> abbia </w:t>
      </w:r>
      <w:r w:rsidRPr="00894AEA">
        <w:rPr>
          <w:b/>
        </w:rPr>
        <w:t xml:space="preserve">contribuito soprattutto alla </w:t>
      </w:r>
      <w:r>
        <w:rPr>
          <w:b/>
        </w:rPr>
        <w:t>formazione</w:t>
      </w:r>
      <w:r w:rsidRPr="00894AEA">
        <w:rPr>
          <w:b/>
        </w:rPr>
        <w:t xml:space="preserve"> di liberi professionisti, ditte individuali e collaboratori, più che all’avvio di attività di impresa</w:t>
      </w:r>
      <w:r>
        <w:t>. Infatti, meno del 12% delle doti con esito positivo ha portato all’iscrizione alle CCIAA. Allo stesso tempo, risulta evidente che il tasso di esiti positivi della DUL Autoimprenditorialità è inferiore se comparato a quello della DUL per l’inserimento lavorativo, che è pari a ben il 98,7%, dimostrando dunque un’efficacia minore.</w:t>
      </w:r>
    </w:p>
    <w:p w14:paraId="2315CFB0" w14:textId="77777777" w:rsidR="003B3DCA" w:rsidRDefault="003B3DCA" w:rsidP="003B3DCA">
      <w:pPr>
        <w:spacing w:before="120"/>
      </w:pPr>
      <w:r>
        <w:t>La tabella di qui seguito riporta una sintesi degli esiti delle doti prese in carico, per caratteristica dei partecipanti.</w:t>
      </w:r>
    </w:p>
    <w:p w14:paraId="16CD5999" w14:textId="77777777" w:rsidR="003B3DCA" w:rsidRPr="0068293C" w:rsidRDefault="003B3DCA" w:rsidP="0089100A">
      <w:pPr>
        <w:pStyle w:val="Didascalia"/>
        <w:rPr>
          <w:b w:val="0"/>
        </w:rPr>
      </w:pPr>
      <w:bookmarkStart w:id="129" w:name="_Ref86140956"/>
      <w:bookmarkStart w:id="130" w:name="_Toc91081463"/>
      <w:r w:rsidRPr="0068293C">
        <w:t xml:space="preserve">Tabella </w:t>
      </w:r>
      <w:r w:rsidR="004E6566" w:rsidRPr="0068293C">
        <w:rPr>
          <w:b w:val="0"/>
        </w:rPr>
        <w:fldChar w:fldCharType="begin"/>
      </w:r>
      <w:r w:rsidRPr="0068293C">
        <w:instrText xml:space="preserve"> SEQ Tabella \* ARABIC </w:instrText>
      </w:r>
      <w:r w:rsidR="004E6566" w:rsidRPr="0068293C">
        <w:rPr>
          <w:b w:val="0"/>
        </w:rPr>
        <w:fldChar w:fldCharType="separate"/>
      </w:r>
      <w:r w:rsidR="00E53D6C">
        <w:rPr>
          <w:noProof/>
        </w:rPr>
        <w:t>37</w:t>
      </w:r>
      <w:r w:rsidR="004E6566" w:rsidRPr="0068293C">
        <w:rPr>
          <w:b w:val="0"/>
        </w:rPr>
        <w:fldChar w:fldCharType="end"/>
      </w:r>
      <w:bookmarkEnd w:id="129"/>
      <w:r w:rsidRPr="0068293C">
        <w:t>. Esiti delle doti prese in carico</w:t>
      </w:r>
      <w:bookmarkEnd w:id="130"/>
      <w:r w:rsidRPr="0068293C">
        <w:t xml:space="preserve">  </w:t>
      </w:r>
    </w:p>
    <w:tbl>
      <w:tblPr>
        <w:tblStyle w:val="Tabellagriglia4-colore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1671"/>
        <w:gridCol w:w="1468"/>
        <w:gridCol w:w="4256"/>
      </w:tblGrid>
      <w:tr w:rsidR="0029063E" w:rsidRPr="0029063E" w14:paraId="656AE542" w14:textId="77777777" w:rsidTr="004242C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tcBorders>
              <w:top w:val="none" w:sz="0" w:space="0" w:color="auto"/>
              <w:left w:val="none" w:sz="0" w:space="0" w:color="auto"/>
              <w:bottom w:val="none" w:sz="0" w:space="0" w:color="auto"/>
              <w:right w:val="none" w:sz="0" w:space="0" w:color="auto"/>
            </w:tcBorders>
            <w:shd w:val="clear" w:color="auto" w:fill="669748" w:themeFill="accent2" w:themeFillShade="BF"/>
            <w:noWrap/>
            <w:hideMark/>
          </w:tcPr>
          <w:p w14:paraId="5EF30112" w14:textId="77777777" w:rsidR="003B3DCA" w:rsidRPr="0029063E" w:rsidRDefault="003B3DCA" w:rsidP="00AF58DF">
            <w:pPr>
              <w:keepNext/>
              <w:keepLines/>
              <w:contextualSpacing/>
              <w:jc w:val="center"/>
              <w:rPr>
                <w:rFonts w:eastAsia="Times New Roman" w:cstheme="minorHAnsi"/>
                <w:b w:val="0"/>
                <w:bCs w:val="0"/>
                <w:color w:val="FFFFFF" w:themeColor="background1"/>
              </w:rPr>
            </w:pPr>
            <w:r w:rsidRPr="0029063E">
              <w:rPr>
                <w:rFonts w:eastAsia="Times New Roman" w:cstheme="minorHAnsi"/>
                <w:color w:val="FFFFFF" w:themeColor="background1"/>
              </w:rPr>
              <w:t> </w:t>
            </w:r>
          </w:p>
        </w:tc>
        <w:tc>
          <w:tcPr>
            <w:tcW w:w="868" w:type="pct"/>
            <w:tcBorders>
              <w:top w:val="none" w:sz="0" w:space="0" w:color="auto"/>
              <w:left w:val="none" w:sz="0" w:space="0" w:color="auto"/>
              <w:bottom w:val="none" w:sz="0" w:space="0" w:color="auto"/>
              <w:right w:val="none" w:sz="0" w:space="0" w:color="auto"/>
            </w:tcBorders>
            <w:shd w:val="clear" w:color="auto" w:fill="669748" w:themeFill="accent2" w:themeFillShade="BF"/>
            <w:noWrap/>
            <w:hideMark/>
          </w:tcPr>
          <w:p w14:paraId="2B7CFC1D" w14:textId="77777777" w:rsidR="003B3DCA" w:rsidRPr="0029063E" w:rsidRDefault="003B3DCA" w:rsidP="00AF58DF">
            <w:pPr>
              <w:keepNext/>
              <w:keepLines/>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themeColor="background1"/>
              </w:rPr>
            </w:pPr>
            <w:r w:rsidRPr="0029063E">
              <w:rPr>
                <w:rFonts w:eastAsia="Times New Roman" w:cstheme="minorHAnsi"/>
                <w:color w:val="FFFFFF" w:themeColor="background1"/>
              </w:rPr>
              <w:t>Doti con esito positivo</w:t>
            </w:r>
          </w:p>
        </w:tc>
        <w:tc>
          <w:tcPr>
            <w:tcW w:w="988" w:type="pct"/>
            <w:tcBorders>
              <w:top w:val="none" w:sz="0" w:space="0" w:color="auto"/>
              <w:left w:val="none" w:sz="0" w:space="0" w:color="auto"/>
              <w:bottom w:val="none" w:sz="0" w:space="0" w:color="auto"/>
              <w:right w:val="none" w:sz="0" w:space="0" w:color="auto"/>
            </w:tcBorders>
            <w:shd w:val="clear" w:color="auto" w:fill="669748" w:themeFill="accent2" w:themeFillShade="BF"/>
            <w:noWrap/>
            <w:hideMark/>
          </w:tcPr>
          <w:p w14:paraId="74E09F93" w14:textId="77777777" w:rsidR="003B3DCA" w:rsidRPr="0029063E" w:rsidRDefault="003B3DCA" w:rsidP="00AF58DF">
            <w:pPr>
              <w:keepNext/>
              <w:keepLines/>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themeColor="background1"/>
              </w:rPr>
            </w:pPr>
            <w:r w:rsidRPr="0029063E">
              <w:rPr>
                <w:rFonts w:eastAsia="Times New Roman" w:cstheme="minorHAnsi"/>
                <w:color w:val="FFFFFF" w:themeColor="background1"/>
              </w:rPr>
              <w:t>Doti prese in carico</w:t>
            </w:r>
          </w:p>
        </w:tc>
        <w:tc>
          <w:tcPr>
            <w:tcW w:w="1984" w:type="pct"/>
            <w:tcBorders>
              <w:top w:val="none" w:sz="0" w:space="0" w:color="auto"/>
              <w:left w:val="none" w:sz="0" w:space="0" w:color="auto"/>
              <w:bottom w:val="none" w:sz="0" w:space="0" w:color="auto"/>
              <w:right w:val="none" w:sz="0" w:space="0" w:color="auto"/>
            </w:tcBorders>
            <w:shd w:val="clear" w:color="auto" w:fill="669748" w:themeFill="accent2" w:themeFillShade="BF"/>
            <w:noWrap/>
            <w:hideMark/>
          </w:tcPr>
          <w:p w14:paraId="6856CFB3" w14:textId="77777777" w:rsidR="003B3DCA" w:rsidRPr="0029063E" w:rsidRDefault="003B3DCA" w:rsidP="00AF58DF">
            <w:pPr>
              <w:keepNext/>
              <w:keepLines/>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FFFF" w:themeColor="background1"/>
              </w:rPr>
            </w:pPr>
            <w:r w:rsidRPr="0029063E">
              <w:rPr>
                <w:rFonts w:eastAsia="Times New Roman" w:cstheme="minorHAnsi"/>
                <w:color w:val="FFFFFF" w:themeColor="background1"/>
              </w:rPr>
              <w:t>Tasso di esito positivo (doti esito positivo/doti prese in carico)</w:t>
            </w:r>
          </w:p>
        </w:tc>
      </w:tr>
      <w:tr w:rsidR="003B3DCA" w:rsidRPr="000503C4" w14:paraId="215B0ECB"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50EA1002"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color w:val="000000"/>
              </w:rPr>
              <w:t>Fascia di aiuto</w:t>
            </w:r>
          </w:p>
        </w:tc>
        <w:tc>
          <w:tcPr>
            <w:tcW w:w="868" w:type="pct"/>
            <w:shd w:val="clear" w:color="auto" w:fill="auto"/>
            <w:noWrap/>
            <w:hideMark/>
          </w:tcPr>
          <w:p w14:paraId="3E75004F"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988" w:type="pct"/>
            <w:shd w:val="clear" w:color="auto" w:fill="auto"/>
            <w:noWrap/>
            <w:hideMark/>
          </w:tcPr>
          <w:p w14:paraId="29999989"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1984" w:type="pct"/>
            <w:shd w:val="clear" w:color="auto" w:fill="auto"/>
            <w:noWrap/>
            <w:hideMark/>
          </w:tcPr>
          <w:p w14:paraId="04A3F783"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3B3DCA" w:rsidRPr="000503C4" w14:paraId="0C39DF7D"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3D53500C" w14:textId="77777777" w:rsidR="003B3DCA" w:rsidRPr="0068293C" w:rsidRDefault="003B3DCA" w:rsidP="00AF58DF">
            <w:pPr>
              <w:keepNext/>
              <w:keepLines/>
              <w:contextualSpacing/>
              <w:rPr>
                <w:rFonts w:eastAsia="Times New Roman" w:cstheme="minorHAnsi"/>
                <w:b w:val="0"/>
                <w:bCs w:val="0"/>
                <w:color w:val="000000"/>
              </w:rPr>
            </w:pPr>
            <w:r w:rsidRPr="0068293C">
              <w:rPr>
                <w:rFonts w:eastAsia="Times New Roman" w:cstheme="minorHAnsi"/>
                <w:b w:val="0"/>
                <w:bCs w:val="0"/>
                <w:color w:val="000000"/>
              </w:rPr>
              <w:t>1</w:t>
            </w:r>
          </w:p>
        </w:tc>
        <w:tc>
          <w:tcPr>
            <w:tcW w:w="868" w:type="pct"/>
            <w:shd w:val="clear" w:color="auto" w:fill="auto"/>
            <w:noWrap/>
            <w:hideMark/>
          </w:tcPr>
          <w:p w14:paraId="4032AF15"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476</w:t>
            </w:r>
          </w:p>
        </w:tc>
        <w:tc>
          <w:tcPr>
            <w:tcW w:w="988" w:type="pct"/>
            <w:shd w:val="clear" w:color="auto" w:fill="auto"/>
            <w:noWrap/>
            <w:hideMark/>
          </w:tcPr>
          <w:p w14:paraId="7373807B"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818</w:t>
            </w:r>
          </w:p>
        </w:tc>
        <w:tc>
          <w:tcPr>
            <w:tcW w:w="1984" w:type="pct"/>
            <w:shd w:val="clear" w:color="auto" w:fill="auto"/>
            <w:noWrap/>
            <w:hideMark/>
          </w:tcPr>
          <w:p w14:paraId="3114F64E"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58,2%</w:t>
            </w:r>
          </w:p>
        </w:tc>
      </w:tr>
      <w:tr w:rsidR="003B3DCA" w:rsidRPr="000503C4" w14:paraId="22B8A185"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233F6706" w14:textId="77777777" w:rsidR="003B3DCA" w:rsidRPr="0068293C" w:rsidRDefault="003B3DCA" w:rsidP="00AF58DF">
            <w:pPr>
              <w:keepNext/>
              <w:keepLines/>
              <w:contextualSpacing/>
              <w:rPr>
                <w:rFonts w:eastAsia="Times New Roman" w:cstheme="minorHAnsi"/>
                <w:b w:val="0"/>
                <w:bCs w:val="0"/>
                <w:color w:val="000000"/>
              </w:rPr>
            </w:pPr>
            <w:r w:rsidRPr="0068293C">
              <w:rPr>
                <w:rFonts w:eastAsia="Times New Roman" w:cstheme="minorHAnsi"/>
                <w:b w:val="0"/>
                <w:bCs w:val="0"/>
                <w:color w:val="000000"/>
              </w:rPr>
              <w:t>2</w:t>
            </w:r>
          </w:p>
        </w:tc>
        <w:tc>
          <w:tcPr>
            <w:tcW w:w="868" w:type="pct"/>
            <w:shd w:val="clear" w:color="auto" w:fill="auto"/>
            <w:noWrap/>
            <w:hideMark/>
          </w:tcPr>
          <w:p w14:paraId="526015E3"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449</w:t>
            </w:r>
          </w:p>
        </w:tc>
        <w:tc>
          <w:tcPr>
            <w:tcW w:w="988" w:type="pct"/>
            <w:shd w:val="clear" w:color="auto" w:fill="auto"/>
            <w:noWrap/>
            <w:hideMark/>
          </w:tcPr>
          <w:p w14:paraId="4B3494F5"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783</w:t>
            </w:r>
          </w:p>
        </w:tc>
        <w:tc>
          <w:tcPr>
            <w:tcW w:w="1984" w:type="pct"/>
            <w:shd w:val="clear" w:color="auto" w:fill="auto"/>
            <w:noWrap/>
            <w:hideMark/>
          </w:tcPr>
          <w:p w14:paraId="3B435FA2"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57,3%</w:t>
            </w:r>
          </w:p>
        </w:tc>
      </w:tr>
      <w:tr w:rsidR="003B3DCA" w:rsidRPr="000503C4" w14:paraId="1A39FE96"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201932BA" w14:textId="77777777" w:rsidR="003B3DCA" w:rsidRPr="0068293C" w:rsidRDefault="003B3DCA" w:rsidP="00AF58DF">
            <w:pPr>
              <w:keepNext/>
              <w:keepLines/>
              <w:contextualSpacing/>
              <w:rPr>
                <w:rFonts w:eastAsia="Times New Roman" w:cstheme="minorHAnsi"/>
                <w:b w:val="0"/>
                <w:bCs w:val="0"/>
                <w:color w:val="000000"/>
              </w:rPr>
            </w:pPr>
            <w:r w:rsidRPr="0068293C">
              <w:rPr>
                <w:rFonts w:eastAsia="Times New Roman" w:cstheme="minorHAnsi"/>
                <w:b w:val="0"/>
                <w:bCs w:val="0"/>
                <w:color w:val="000000"/>
              </w:rPr>
              <w:t>3</w:t>
            </w:r>
          </w:p>
        </w:tc>
        <w:tc>
          <w:tcPr>
            <w:tcW w:w="868" w:type="pct"/>
            <w:shd w:val="clear" w:color="auto" w:fill="auto"/>
            <w:noWrap/>
            <w:hideMark/>
          </w:tcPr>
          <w:p w14:paraId="01BBC105"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588</w:t>
            </w:r>
          </w:p>
        </w:tc>
        <w:tc>
          <w:tcPr>
            <w:tcW w:w="988" w:type="pct"/>
            <w:shd w:val="clear" w:color="auto" w:fill="auto"/>
            <w:noWrap/>
            <w:hideMark/>
          </w:tcPr>
          <w:p w14:paraId="1AE8A02E"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965</w:t>
            </w:r>
          </w:p>
        </w:tc>
        <w:tc>
          <w:tcPr>
            <w:tcW w:w="1984" w:type="pct"/>
            <w:shd w:val="clear" w:color="auto" w:fill="auto"/>
            <w:noWrap/>
            <w:hideMark/>
          </w:tcPr>
          <w:p w14:paraId="6955C380"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60,9%</w:t>
            </w:r>
          </w:p>
        </w:tc>
      </w:tr>
      <w:tr w:rsidR="003B3DCA" w:rsidRPr="000503C4" w14:paraId="77A89888"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3DE88859" w14:textId="77777777" w:rsidR="003B3DCA" w:rsidRPr="0068293C" w:rsidRDefault="003B3DCA" w:rsidP="00AF58DF">
            <w:pPr>
              <w:keepNext/>
              <w:keepLines/>
              <w:contextualSpacing/>
              <w:rPr>
                <w:rFonts w:eastAsia="Times New Roman" w:cstheme="minorHAnsi"/>
                <w:b w:val="0"/>
                <w:bCs w:val="0"/>
                <w:color w:val="000000"/>
              </w:rPr>
            </w:pPr>
            <w:r w:rsidRPr="0068293C">
              <w:rPr>
                <w:rFonts w:eastAsia="Times New Roman" w:cstheme="minorHAnsi"/>
                <w:b w:val="0"/>
                <w:bCs w:val="0"/>
                <w:color w:val="000000"/>
              </w:rPr>
              <w:t>3plus</w:t>
            </w:r>
          </w:p>
        </w:tc>
        <w:tc>
          <w:tcPr>
            <w:tcW w:w="868" w:type="pct"/>
            <w:shd w:val="clear" w:color="auto" w:fill="auto"/>
            <w:noWrap/>
            <w:hideMark/>
          </w:tcPr>
          <w:p w14:paraId="1CC39F97"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16</w:t>
            </w:r>
          </w:p>
        </w:tc>
        <w:tc>
          <w:tcPr>
            <w:tcW w:w="988" w:type="pct"/>
            <w:shd w:val="clear" w:color="auto" w:fill="auto"/>
            <w:noWrap/>
            <w:hideMark/>
          </w:tcPr>
          <w:p w14:paraId="17CE34DB"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83</w:t>
            </w:r>
          </w:p>
        </w:tc>
        <w:tc>
          <w:tcPr>
            <w:tcW w:w="1984" w:type="pct"/>
            <w:shd w:val="clear" w:color="auto" w:fill="auto"/>
            <w:noWrap/>
            <w:hideMark/>
          </w:tcPr>
          <w:p w14:paraId="5CCE7698"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19,3%</w:t>
            </w:r>
          </w:p>
        </w:tc>
      </w:tr>
      <w:tr w:rsidR="003B3DCA" w:rsidRPr="000503C4" w14:paraId="3B44167D"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19F08827"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color w:val="000000"/>
              </w:rPr>
              <w:t>Genere</w:t>
            </w:r>
          </w:p>
        </w:tc>
        <w:tc>
          <w:tcPr>
            <w:tcW w:w="868" w:type="pct"/>
            <w:shd w:val="clear" w:color="auto" w:fill="auto"/>
            <w:noWrap/>
            <w:hideMark/>
          </w:tcPr>
          <w:p w14:paraId="3BA405A1"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C45911"/>
              </w:rPr>
            </w:pPr>
          </w:p>
        </w:tc>
        <w:tc>
          <w:tcPr>
            <w:tcW w:w="988" w:type="pct"/>
            <w:shd w:val="clear" w:color="auto" w:fill="auto"/>
            <w:noWrap/>
            <w:hideMark/>
          </w:tcPr>
          <w:p w14:paraId="1E78B394"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rPr>
            </w:pPr>
          </w:p>
        </w:tc>
        <w:tc>
          <w:tcPr>
            <w:tcW w:w="1984" w:type="pct"/>
            <w:shd w:val="clear" w:color="auto" w:fill="auto"/>
            <w:noWrap/>
            <w:hideMark/>
          </w:tcPr>
          <w:p w14:paraId="178DF030"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3B3DCA" w:rsidRPr="000503C4" w14:paraId="4C2EA6AC"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3E1F83F7" w14:textId="77777777" w:rsidR="003B3DCA" w:rsidRPr="0068293C" w:rsidRDefault="003B3DCA" w:rsidP="00AF58DF">
            <w:pPr>
              <w:keepNext/>
              <w:keepLines/>
              <w:contextualSpacing/>
              <w:rPr>
                <w:rFonts w:eastAsia="Times New Roman" w:cstheme="minorHAnsi"/>
                <w:b w:val="0"/>
                <w:bCs w:val="0"/>
                <w:color w:val="000000"/>
              </w:rPr>
            </w:pPr>
            <w:r w:rsidRPr="0068293C">
              <w:rPr>
                <w:rFonts w:eastAsia="Times New Roman" w:cstheme="minorHAnsi"/>
                <w:b w:val="0"/>
                <w:bCs w:val="0"/>
                <w:color w:val="000000"/>
              </w:rPr>
              <w:t>Donna</w:t>
            </w:r>
          </w:p>
        </w:tc>
        <w:tc>
          <w:tcPr>
            <w:tcW w:w="868" w:type="pct"/>
            <w:shd w:val="clear" w:color="auto" w:fill="auto"/>
            <w:noWrap/>
            <w:hideMark/>
          </w:tcPr>
          <w:p w14:paraId="5A166A4E"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662</w:t>
            </w:r>
          </w:p>
        </w:tc>
        <w:tc>
          <w:tcPr>
            <w:tcW w:w="988" w:type="pct"/>
            <w:shd w:val="clear" w:color="auto" w:fill="auto"/>
            <w:noWrap/>
            <w:hideMark/>
          </w:tcPr>
          <w:p w14:paraId="28F9086E"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1.209</w:t>
            </w:r>
          </w:p>
        </w:tc>
        <w:tc>
          <w:tcPr>
            <w:tcW w:w="1984" w:type="pct"/>
            <w:shd w:val="clear" w:color="auto" w:fill="auto"/>
            <w:noWrap/>
            <w:hideMark/>
          </w:tcPr>
          <w:p w14:paraId="74C5327C"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54,8%</w:t>
            </w:r>
          </w:p>
        </w:tc>
      </w:tr>
      <w:tr w:rsidR="003B3DCA" w:rsidRPr="000503C4" w14:paraId="3A312150"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34BCF66B" w14:textId="77777777" w:rsidR="003B3DCA" w:rsidRPr="0068293C" w:rsidRDefault="003B3DCA" w:rsidP="00AF58DF">
            <w:pPr>
              <w:keepNext/>
              <w:keepLines/>
              <w:contextualSpacing/>
              <w:rPr>
                <w:rFonts w:eastAsia="Times New Roman" w:cstheme="minorHAnsi"/>
                <w:b w:val="0"/>
                <w:bCs w:val="0"/>
                <w:color w:val="000000"/>
              </w:rPr>
            </w:pPr>
            <w:r w:rsidRPr="0068293C">
              <w:rPr>
                <w:rFonts w:eastAsia="Times New Roman" w:cstheme="minorHAnsi"/>
                <w:b w:val="0"/>
                <w:bCs w:val="0"/>
                <w:color w:val="000000"/>
              </w:rPr>
              <w:t>Uomo</w:t>
            </w:r>
          </w:p>
        </w:tc>
        <w:tc>
          <w:tcPr>
            <w:tcW w:w="868" w:type="pct"/>
            <w:shd w:val="clear" w:color="auto" w:fill="auto"/>
            <w:noWrap/>
            <w:hideMark/>
          </w:tcPr>
          <w:p w14:paraId="504629DB"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867</w:t>
            </w:r>
          </w:p>
        </w:tc>
        <w:tc>
          <w:tcPr>
            <w:tcW w:w="988" w:type="pct"/>
            <w:shd w:val="clear" w:color="auto" w:fill="auto"/>
            <w:noWrap/>
            <w:hideMark/>
          </w:tcPr>
          <w:p w14:paraId="2EC09F3C"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1.440</w:t>
            </w:r>
          </w:p>
        </w:tc>
        <w:tc>
          <w:tcPr>
            <w:tcW w:w="1984" w:type="pct"/>
            <w:shd w:val="clear" w:color="auto" w:fill="auto"/>
            <w:noWrap/>
            <w:hideMark/>
          </w:tcPr>
          <w:p w14:paraId="2EA9911F"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60,2%</w:t>
            </w:r>
          </w:p>
        </w:tc>
      </w:tr>
      <w:tr w:rsidR="003B3DCA" w:rsidRPr="000503C4" w14:paraId="336B3E8C"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09D7C5BE"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color w:val="000000"/>
              </w:rPr>
              <w:t>Età</w:t>
            </w:r>
          </w:p>
        </w:tc>
        <w:tc>
          <w:tcPr>
            <w:tcW w:w="868" w:type="pct"/>
            <w:shd w:val="clear" w:color="auto" w:fill="auto"/>
            <w:noWrap/>
            <w:hideMark/>
          </w:tcPr>
          <w:p w14:paraId="35C9CF09"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C45911"/>
              </w:rPr>
            </w:pPr>
          </w:p>
        </w:tc>
        <w:tc>
          <w:tcPr>
            <w:tcW w:w="988" w:type="pct"/>
            <w:shd w:val="clear" w:color="auto" w:fill="auto"/>
            <w:noWrap/>
            <w:hideMark/>
          </w:tcPr>
          <w:p w14:paraId="1A184AEA"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rPr>
            </w:pPr>
          </w:p>
        </w:tc>
        <w:tc>
          <w:tcPr>
            <w:tcW w:w="1984" w:type="pct"/>
            <w:shd w:val="clear" w:color="auto" w:fill="auto"/>
            <w:noWrap/>
            <w:hideMark/>
          </w:tcPr>
          <w:p w14:paraId="30FEA0CA"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3B3DCA" w:rsidRPr="000503C4" w14:paraId="2038FE9E"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344B608B" w14:textId="77777777" w:rsidR="003B3DCA" w:rsidRPr="006E0AD9" w:rsidRDefault="003B3DCA" w:rsidP="00AF58DF">
            <w:pPr>
              <w:keepNext/>
              <w:keepLines/>
              <w:contextualSpacing/>
              <w:rPr>
                <w:rFonts w:eastAsia="Times New Roman" w:cstheme="minorHAnsi"/>
                <w:b w:val="0"/>
                <w:bCs w:val="0"/>
                <w:color w:val="000000"/>
              </w:rPr>
            </w:pPr>
            <w:r w:rsidRPr="006E0AD9">
              <w:rPr>
                <w:rFonts w:eastAsia="Times New Roman" w:cstheme="minorHAnsi"/>
                <w:b w:val="0"/>
                <w:bCs w:val="0"/>
                <w:color w:val="000000"/>
              </w:rPr>
              <w:t>15-24</w:t>
            </w:r>
          </w:p>
        </w:tc>
        <w:tc>
          <w:tcPr>
            <w:tcW w:w="868" w:type="pct"/>
            <w:shd w:val="clear" w:color="auto" w:fill="auto"/>
            <w:noWrap/>
            <w:hideMark/>
          </w:tcPr>
          <w:p w14:paraId="4AC38C9D"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162</w:t>
            </w:r>
          </w:p>
        </w:tc>
        <w:tc>
          <w:tcPr>
            <w:tcW w:w="988" w:type="pct"/>
            <w:shd w:val="clear" w:color="auto" w:fill="auto"/>
            <w:noWrap/>
            <w:hideMark/>
          </w:tcPr>
          <w:p w14:paraId="4AF62DE3"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242</w:t>
            </w:r>
          </w:p>
        </w:tc>
        <w:tc>
          <w:tcPr>
            <w:tcW w:w="1984" w:type="pct"/>
            <w:shd w:val="clear" w:color="auto" w:fill="auto"/>
            <w:noWrap/>
            <w:hideMark/>
          </w:tcPr>
          <w:p w14:paraId="614B48E9"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66,9%</w:t>
            </w:r>
          </w:p>
        </w:tc>
      </w:tr>
      <w:tr w:rsidR="003B3DCA" w:rsidRPr="000503C4" w14:paraId="28AD3329"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458CC36C" w14:textId="77777777" w:rsidR="003B3DCA" w:rsidRPr="006E0AD9" w:rsidRDefault="003B3DCA" w:rsidP="00AF58DF">
            <w:pPr>
              <w:keepNext/>
              <w:keepLines/>
              <w:contextualSpacing/>
              <w:rPr>
                <w:rFonts w:eastAsia="Times New Roman" w:cstheme="minorHAnsi"/>
                <w:b w:val="0"/>
                <w:bCs w:val="0"/>
                <w:color w:val="000000"/>
              </w:rPr>
            </w:pPr>
            <w:r w:rsidRPr="006E0AD9">
              <w:rPr>
                <w:rFonts w:eastAsia="Times New Roman" w:cstheme="minorHAnsi"/>
                <w:b w:val="0"/>
                <w:bCs w:val="0"/>
                <w:color w:val="000000"/>
              </w:rPr>
              <w:t>25-34</w:t>
            </w:r>
          </w:p>
        </w:tc>
        <w:tc>
          <w:tcPr>
            <w:tcW w:w="868" w:type="pct"/>
            <w:shd w:val="clear" w:color="auto" w:fill="auto"/>
            <w:noWrap/>
            <w:hideMark/>
          </w:tcPr>
          <w:p w14:paraId="4431DFC6"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454</w:t>
            </w:r>
          </w:p>
        </w:tc>
        <w:tc>
          <w:tcPr>
            <w:tcW w:w="988" w:type="pct"/>
            <w:shd w:val="clear" w:color="auto" w:fill="auto"/>
            <w:noWrap/>
            <w:hideMark/>
          </w:tcPr>
          <w:p w14:paraId="48628B17"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700</w:t>
            </w:r>
          </w:p>
        </w:tc>
        <w:tc>
          <w:tcPr>
            <w:tcW w:w="1984" w:type="pct"/>
            <w:shd w:val="clear" w:color="auto" w:fill="auto"/>
            <w:noWrap/>
            <w:hideMark/>
          </w:tcPr>
          <w:p w14:paraId="077EDB3C"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64,9%</w:t>
            </w:r>
          </w:p>
        </w:tc>
      </w:tr>
      <w:tr w:rsidR="003B3DCA" w:rsidRPr="000503C4" w14:paraId="38A0212F"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179085BD" w14:textId="77777777" w:rsidR="003B3DCA" w:rsidRPr="006E0AD9" w:rsidRDefault="003B3DCA" w:rsidP="00AF58DF">
            <w:pPr>
              <w:keepNext/>
              <w:keepLines/>
              <w:contextualSpacing/>
              <w:rPr>
                <w:rFonts w:eastAsia="Times New Roman" w:cstheme="minorHAnsi"/>
                <w:b w:val="0"/>
                <w:bCs w:val="0"/>
                <w:color w:val="000000"/>
              </w:rPr>
            </w:pPr>
            <w:r w:rsidRPr="006E0AD9">
              <w:rPr>
                <w:rFonts w:eastAsia="Times New Roman" w:cstheme="minorHAnsi"/>
                <w:b w:val="0"/>
                <w:bCs w:val="0"/>
                <w:color w:val="000000"/>
              </w:rPr>
              <w:t>35-44</w:t>
            </w:r>
          </w:p>
        </w:tc>
        <w:tc>
          <w:tcPr>
            <w:tcW w:w="868" w:type="pct"/>
            <w:shd w:val="clear" w:color="auto" w:fill="auto"/>
            <w:noWrap/>
            <w:hideMark/>
          </w:tcPr>
          <w:p w14:paraId="1E674EF9"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461</w:t>
            </w:r>
          </w:p>
        </w:tc>
        <w:tc>
          <w:tcPr>
            <w:tcW w:w="988" w:type="pct"/>
            <w:shd w:val="clear" w:color="auto" w:fill="auto"/>
            <w:noWrap/>
            <w:hideMark/>
          </w:tcPr>
          <w:p w14:paraId="7C4D597B"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834</w:t>
            </w:r>
          </w:p>
        </w:tc>
        <w:tc>
          <w:tcPr>
            <w:tcW w:w="1984" w:type="pct"/>
            <w:shd w:val="clear" w:color="auto" w:fill="auto"/>
            <w:noWrap/>
            <w:hideMark/>
          </w:tcPr>
          <w:p w14:paraId="3E6EB846"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55,3%</w:t>
            </w:r>
          </w:p>
        </w:tc>
      </w:tr>
      <w:tr w:rsidR="003B3DCA" w:rsidRPr="000503C4" w14:paraId="5571AB5D"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7225D40C" w14:textId="77777777" w:rsidR="003B3DCA" w:rsidRPr="006E0AD9" w:rsidRDefault="003B3DCA" w:rsidP="00AF58DF">
            <w:pPr>
              <w:keepNext/>
              <w:keepLines/>
              <w:contextualSpacing/>
              <w:rPr>
                <w:rFonts w:eastAsia="Times New Roman" w:cstheme="minorHAnsi"/>
                <w:b w:val="0"/>
                <w:bCs w:val="0"/>
                <w:color w:val="000000"/>
              </w:rPr>
            </w:pPr>
            <w:r w:rsidRPr="006E0AD9">
              <w:rPr>
                <w:rFonts w:eastAsia="Times New Roman" w:cstheme="minorHAnsi"/>
                <w:b w:val="0"/>
                <w:bCs w:val="0"/>
                <w:color w:val="000000"/>
              </w:rPr>
              <w:t>45-54</w:t>
            </w:r>
          </w:p>
        </w:tc>
        <w:tc>
          <w:tcPr>
            <w:tcW w:w="868" w:type="pct"/>
            <w:shd w:val="clear" w:color="auto" w:fill="auto"/>
            <w:noWrap/>
            <w:hideMark/>
          </w:tcPr>
          <w:p w14:paraId="3044D79B"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362</w:t>
            </w:r>
          </w:p>
        </w:tc>
        <w:tc>
          <w:tcPr>
            <w:tcW w:w="988" w:type="pct"/>
            <w:shd w:val="clear" w:color="auto" w:fill="auto"/>
            <w:noWrap/>
            <w:hideMark/>
          </w:tcPr>
          <w:p w14:paraId="5C1029E7"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684</w:t>
            </w:r>
          </w:p>
        </w:tc>
        <w:tc>
          <w:tcPr>
            <w:tcW w:w="1984" w:type="pct"/>
            <w:shd w:val="clear" w:color="auto" w:fill="auto"/>
            <w:noWrap/>
            <w:hideMark/>
          </w:tcPr>
          <w:p w14:paraId="73245F87"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52,9%</w:t>
            </w:r>
          </w:p>
        </w:tc>
      </w:tr>
      <w:tr w:rsidR="003B3DCA" w:rsidRPr="000503C4" w14:paraId="0F285447"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04C7E93A" w14:textId="77777777" w:rsidR="003B3DCA" w:rsidRPr="006E0AD9" w:rsidRDefault="003B3DCA" w:rsidP="00AF58DF">
            <w:pPr>
              <w:keepNext/>
              <w:keepLines/>
              <w:contextualSpacing/>
              <w:rPr>
                <w:rFonts w:eastAsia="Times New Roman" w:cstheme="minorHAnsi"/>
                <w:b w:val="0"/>
                <w:bCs w:val="0"/>
                <w:color w:val="000000"/>
              </w:rPr>
            </w:pPr>
            <w:r w:rsidRPr="006E0AD9">
              <w:rPr>
                <w:rFonts w:eastAsia="Times New Roman" w:cstheme="minorHAnsi"/>
                <w:b w:val="0"/>
                <w:bCs w:val="0"/>
                <w:color w:val="000000"/>
              </w:rPr>
              <w:t>&gt; 54</w:t>
            </w:r>
          </w:p>
        </w:tc>
        <w:tc>
          <w:tcPr>
            <w:tcW w:w="868" w:type="pct"/>
            <w:shd w:val="clear" w:color="auto" w:fill="auto"/>
            <w:noWrap/>
            <w:hideMark/>
          </w:tcPr>
          <w:p w14:paraId="044B12C4"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w:t>
            </w:r>
          </w:p>
        </w:tc>
        <w:tc>
          <w:tcPr>
            <w:tcW w:w="988" w:type="pct"/>
            <w:shd w:val="clear" w:color="auto" w:fill="auto"/>
            <w:noWrap/>
            <w:hideMark/>
          </w:tcPr>
          <w:p w14:paraId="4F1BA1A0"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189</w:t>
            </w:r>
          </w:p>
        </w:tc>
        <w:tc>
          <w:tcPr>
            <w:tcW w:w="1984" w:type="pct"/>
            <w:shd w:val="clear" w:color="auto" w:fill="auto"/>
            <w:noWrap/>
            <w:hideMark/>
          </w:tcPr>
          <w:p w14:paraId="72144858"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0,5%</w:t>
            </w:r>
          </w:p>
        </w:tc>
      </w:tr>
      <w:tr w:rsidR="003B3DCA" w:rsidRPr="000503C4" w14:paraId="723925F8"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1935E875"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color w:val="000000"/>
              </w:rPr>
              <w:t>Livello istruzione</w:t>
            </w:r>
          </w:p>
        </w:tc>
        <w:tc>
          <w:tcPr>
            <w:tcW w:w="868" w:type="pct"/>
            <w:shd w:val="clear" w:color="auto" w:fill="auto"/>
            <w:noWrap/>
            <w:hideMark/>
          </w:tcPr>
          <w:p w14:paraId="4423A0FA"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C45911"/>
              </w:rPr>
            </w:pPr>
          </w:p>
        </w:tc>
        <w:tc>
          <w:tcPr>
            <w:tcW w:w="988" w:type="pct"/>
            <w:shd w:val="clear" w:color="auto" w:fill="auto"/>
            <w:noWrap/>
            <w:hideMark/>
          </w:tcPr>
          <w:p w14:paraId="25E373CF"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rPr>
            </w:pPr>
          </w:p>
        </w:tc>
        <w:tc>
          <w:tcPr>
            <w:tcW w:w="1984" w:type="pct"/>
            <w:shd w:val="clear" w:color="auto" w:fill="auto"/>
            <w:noWrap/>
            <w:hideMark/>
          </w:tcPr>
          <w:p w14:paraId="21DE8FA3"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3B3DCA" w:rsidRPr="000503C4" w14:paraId="62079171"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15729F6C"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Fino alla licenza media inferiore</w:t>
            </w:r>
          </w:p>
        </w:tc>
        <w:tc>
          <w:tcPr>
            <w:tcW w:w="868" w:type="pct"/>
            <w:shd w:val="clear" w:color="auto" w:fill="auto"/>
            <w:noWrap/>
            <w:hideMark/>
          </w:tcPr>
          <w:p w14:paraId="695A9D51"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396</w:t>
            </w:r>
          </w:p>
        </w:tc>
        <w:tc>
          <w:tcPr>
            <w:tcW w:w="988" w:type="pct"/>
            <w:shd w:val="clear" w:color="auto" w:fill="auto"/>
            <w:noWrap/>
            <w:hideMark/>
          </w:tcPr>
          <w:p w14:paraId="54521746"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624</w:t>
            </w:r>
          </w:p>
        </w:tc>
        <w:tc>
          <w:tcPr>
            <w:tcW w:w="1984" w:type="pct"/>
            <w:shd w:val="clear" w:color="auto" w:fill="auto"/>
            <w:noWrap/>
            <w:hideMark/>
          </w:tcPr>
          <w:p w14:paraId="6C53B304"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63,5%</w:t>
            </w:r>
          </w:p>
        </w:tc>
      </w:tr>
      <w:tr w:rsidR="003B3DCA" w:rsidRPr="000503C4" w14:paraId="29800288"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576398F5"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Qualifica professionale</w:t>
            </w:r>
          </w:p>
        </w:tc>
        <w:tc>
          <w:tcPr>
            <w:tcW w:w="868" w:type="pct"/>
            <w:shd w:val="clear" w:color="auto" w:fill="auto"/>
            <w:noWrap/>
            <w:hideMark/>
          </w:tcPr>
          <w:p w14:paraId="22EFC0FA"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136</w:t>
            </w:r>
          </w:p>
        </w:tc>
        <w:tc>
          <w:tcPr>
            <w:tcW w:w="988" w:type="pct"/>
            <w:shd w:val="clear" w:color="auto" w:fill="auto"/>
            <w:noWrap/>
            <w:hideMark/>
          </w:tcPr>
          <w:p w14:paraId="62CB05B8"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243</w:t>
            </w:r>
          </w:p>
        </w:tc>
        <w:tc>
          <w:tcPr>
            <w:tcW w:w="1984" w:type="pct"/>
            <w:shd w:val="clear" w:color="auto" w:fill="auto"/>
            <w:noWrap/>
            <w:hideMark/>
          </w:tcPr>
          <w:p w14:paraId="21A747F3"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56,0%</w:t>
            </w:r>
          </w:p>
        </w:tc>
      </w:tr>
      <w:tr w:rsidR="003B3DCA" w:rsidRPr="000503C4" w14:paraId="354C137F"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2EEDD94C"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Licenza secondaria superiore</w:t>
            </w:r>
          </w:p>
        </w:tc>
        <w:tc>
          <w:tcPr>
            <w:tcW w:w="868" w:type="pct"/>
            <w:shd w:val="clear" w:color="auto" w:fill="auto"/>
            <w:noWrap/>
            <w:hideMark/>
          </w:tcPr>
          <w:p w14:paraId="75B613CB"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545</w:t>
            </w:r>
          </w:p>
        </w:tc>
        <w:tc>
          <w:tcPr>
            <w:tcW w:w="988" w:type="pct"/>
            <w:shd w:val="clear" w:color="auto" w:fill="auto"/>
            <w:noWrap/>
            <w:hideMark/>
          </w:tcPr>
          <w:p w14:paraId="6522551F"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986</w:t>
            </w:r>
          </w:p>
        </w:tc>
        <w:tc>
          <w:tcPr>
            <w:tcW w:w="1984" w:type="pct"/>
            <w:shd w:val="clear" w:color="auto" w:fill="auto"/>
            <w:noWrap/>
            <w:hideMark/>
          </w:tcPr>
          <w:p w14:paraId="71286232"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55,3%</w:t>
            </w:r>
          </w:p>
        </w:tc>
      </w:tr>
      <w:tr w:rsidR="003B3DCA" w:rsidRPr="000503C4" w14:paraId="2FE23DD9"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4294C860"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Post secondaria</w:t>
            </w:r>
          </w:p>
        </w:tc>
        <w:tc>
          <w:tcPr>
            <w:tcW w:w="868" w:type="pct"/>
            <w:shd w:val="clear" w:color="auto" w:fill="auto"/>
            <w:noWrap/>
            <w:hideMark/>
          </w:tcPr>
          <w:p w14:paraId="60D7F186"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12</w:t>
            </w:r>
          </w:p>
        </w:tc>
        <w:tc>
          <w:tcPr>
            <w:tcW w:w="988" w:type="pct"/>
            <w:shd w:val="clear" w:color="auto" w:fill="auto"/>
            <w:noWrap/>
            <w:hideMark/>
          </w:tcPr>
          <w:p w14:paraId="57599C09"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34</w:t>
            </w:r>
          </w:p>
        </w:tc>
        <w:tc>
          <w:tcPr>
            <w:tcW w:w="1984" w:type="pct"/>
            <w:shd w:val="clear" w:color="auto" w:fill="auto"/>
            <w:noWrap/>
            <w:hideMark/>
          </w:tcPr>
          <w:p w14:paraId="23C3F6DD"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35,3%</w:t>
            </w:r>
          </w:p>
        </w:tc>
      </w:tr>
      <w:tr w:rsidR="003B3DCA" w:rsidRPr="000503C4" w14:paraId="717882F1"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156B8534"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Laurea/post-laurea</w:t>
            </w:r>
          </w:p>
        </w:tc>
        <w:tc>
          <w:tcPr>
            <w:tcW w:w="868" w:type="pct"/>
            <w:shd w:val="clear" w:color="auto" w:fill="auto"/>
            <w:noWrap/>
            <w:hideMark/>
          </w:tcPr>
          <w:p w14:paraId="58E1C76C"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435</w:t>
            </w:r>
          </w:p>
        </w:tc>
        <w:tc>
          <w:tcPr>
            <w:tcW w:w="988" w:type="pct"/>
            <w:shd w:val="clear" w:color="auto" w:fill="auto"/>
            <w:noWrap/>
            <w:hideMark/>
          </w:tcPr>
          <w:p w14:paraId="68AC6887"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756</w:t>
            </w:r>
          </w:p>
        </w:tc>
        <w:tc>
          <w:tcPr>
            <w:tcW w:w="1984" w:type="pct"/>
            <w:shd w:val="clear" w:color="auto" w:fill="auto"/>
            <w:noWrap/>
            <w:hideMark/>
          </w:tcPr>
          <w:p w14:paraId="3932EB45"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57,5%</w:t>
            </w:r>
          </w:p>
        </w:tc>
      </w:tr>
      <w:tr w:rsidR="003B3DCA" w:rsidRPr="000503C4" w14:paraId="4188A840"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37443F54"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Non specificato</w:t>
            </w:r>
          </w:p>
        </w:tc>
        <w:tc>
          <w:tcPr>
            <w:tcW w:w="868" w:type="pct"/>
            <w:shd w:val="clear" w:color="auto" w:fill="auto"/>
            <w:noWrap/>
            <w:hideMark/>
          </w:tcPr>
          <w:p w14:paraId="503E4305"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5</w:t>
            </w:r>
          </w:p>
        </w:tc>
        <w:tc>
          <w:tcPr>
            <w:tcW w:w="988" w:type="pct"/>
            <w:shd w:val="clear" w:color="auto" w:fill="auto"/>
            <w:noWrap/>
            <w:hideMark/>
          </w:tcPr>
          <w:p w14:paraId="7F9DF7EB"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6</w:t>
            </w:r>
          </w:p>
        </w:tc>
        <w:tc>
          <w:tcPr>
            <w:tcW w:w="1984" w:type="pct"/>
            <w:shd w:val="clear" w:color="auto" w:fill="auto"/>
            <w:noWrap/>
            <w:hideMark/>
          </w:tcPr>
          <w:p w14:paraId="6A3D0228"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83,3%</w:t>
            </w:r>
          </w:p>
        </w:tc>
      </w:tr>
      <w:tr w:rsidR="003B3DCA" w:rsidRPr="000503C4" w14:paraId="047F8BA3"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32AB726C"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color w:val="000000"/>
              </w:rPr>
              <w:t>Provincia (domicilio)</w:t>
            </w:r>
          </w:p>
        </w:tc>
        <w:tc>
          <w:tcPr>
            <w:tcW w:w="868" w:type="pct"/>
            <w:shd w:val="clear" w:color="auto" w:fill="auto"/>
            <w:noWrap/>
            <w:hideMark/>
          </w:tcPr>
          <w:p w14:paraId="76516489"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color w:val="000000"/>
              </w:rPr>
            </w:pPr>
          </w:p>
        </w:tc>
        <w:tc>
          <w:tcPr>
            <w:tcW w:w="988" w:type="pct"/>
            <w:shd w:val="clear" w:color="auto" w:fill="auto"/>
            <w:noWrap/>
            <w:hideMark/>
          </w:tcPr>
          <w:p w14:paraId="2B8ACAAA"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color w:val="000000"/>
              </w:rPr>
            </w:pPr>
          </w:p>
        </w:tc>
        <w:tc>
          <w:tcPr>
            <w:tcW w:w="1984" w:type="pct"/>
            <w:shd w:val="clear" w:color="auto" w:fill="auto"/>
            <w:noWrap/>
            <w:hideMark/>
          </w:tcPr>
          <w:p w14:paraId="068DAF02"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3B3DCA" w:rsidRPr="000503C4" w14:paraId="68910698"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2C1CB0A0"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Bergamo</w:t>
            </w:r>
          </w:p>
        </w:tc>
        <w:tc>
          <w:tcPr>
            <w:tcW w:w="868" w:type="pct"/>
            <w:shd w:val="clear" w:color="auto" w:fill="auto"/>
            <w:noWrap/>
            <w:hideMark/>
          </w:tcPr>
          <w:p w14:paraId="63B0BDBE"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122</w:t>
            </w:r>
          </w:p>
        </w:tc>
        <w:tc>
          <w:tcPr>
            <w:tcW w:w="988" w:type="pct"/>
            <w:shd w:val="clear" w:color="auto" w:fill="auto"/>
            <w:noWrap/>
            <w:hideMark/>
          </w:tcPr>
          <w:p w14:paraId="0E6C1724"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186</w:t>
            </w:r>
          </w:p>
        </w:tc>
        <w:tc>
          <w:tcPr>
            <w:tcW w:w="1984" w:type="pct"/>
            <w:shd w:val="clear" w:color="auto" w:fill="auto"/>
            <w:noWrap/>
            <w:hideMark/>
          </w:tcPr>
          <w:p w14:paraId="63C06FE1"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65,6%</w:t>
            </w:r>
          </w:p>
        </w:tc>
      </w:tr>
      <w:tr w:rsidR="003B3DCA" w:rsidRPr="000503C4" w14:paraId="694EE98B"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1EB6D8BA"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Brescia</w:t>
            </w:r>
          </w:p>
        </w:tc>
        <w:tc>
          <w:tcPr>
            <w:tcW w:w="868" w:type="pct"/>
            <w:shd w:val="clear" w:color="auto" w:fill="auto"/>
            <w:noWrap/>
            <w:hideMark/>
          </w:tcPr>
          <w:p w14:paraId="67A51370"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124</w:t>
            </w:r>
          </w:p>
        </w:tc>
        <w:tc>
          <w:tcPr>
            <w:tcW w:w="988" w:type="pct"/>
            <w:shd w:val="clear" w:color="auto" w:fill="auto"/>
            <w:noWrap/>
            <w:hideMark/>
          </w:tcPr>
          <w:p w14:paraId="42E78E8C"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211</w:t>
            </w:r>
          </w:p>
        </w:tc>
        <w:tc>
          <w:tcPr>
            <w:tcW w:w="1984" w:type="pct"/>
            <w:shd w:val="clear" w:color="auto" w:fill="auto"/>
            <w:noWrap/>
            <w:hideMark/>
          </w:tcPr>
          <w:p w14:paraId="4854690D"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58,8%</w:t>
            </w:r>
          </w:p>
        </w:tc>
      </w:tr>
      <w:tr w:rsidR="003B3DCA" w:rsidRPr="000503C4" w14:paraId="51F96054"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136260D3"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Como</w:t>
            </w:r>
          </w:p>
        </w:tc>
        <w:tc>
          <w:tcPr>
            <w:tcW w:w="868" w:type="pct"/>
            <w:shd w:val="clear" w:color="auto" w:fill="auto"/>
            <w:noWrap/>
            <w:hideMark/>
          </w:tcPr>
          <w:p w14:paraId="402944A3"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59</w:t>
            </w:r>
          </w:p>
        </w:tc>
        <w:tc>
          <w:tcPr>
            <w:tcW w:w="988" w:type="pct"/>
            <w:shd w:val="clear" w:color="auto" w:fill="auto"/>
            <w:noWrap/>
            <w:hideMark/>
          </w:tcPr>
          <w:p w14:paraId="0A3AEDB8"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85</w:t>
            </w:r>
          </w:p>
        </w:tc>
        <w:tc>
          <w:tcPr>
            <w:tcW w:w="1984" w:type="pct"/>
            <w:shd w:val="clear" w:color="auto" w:fill="auto"/>
            <w:noWrap/>
            <w:hideMark/>
          </w:tcPr>
          <w:p w14:paraId="11BE70C8"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69,4%</w:t>
            </w:r>
          </w:p>
        </w:tc>
      </w:tr>
      <w:tr w:rsidR="003B3DCA" w:rsidRPr="000503C4" w14:paraId="7859DB3D"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66F14EC7"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Cremona</w:t>
            </w:r>
          </w:p>
        </w:tc>
        <w:tc>
          <w:tcPr>
            <w:tcW w:w="868" w:type="pct"/>
            <w:shd w:val="clear" w:color="auto" w:fill="auto"/>
            <w:noWrap/>
            <w:hideMark/>
          </w:tcPr>
          <w:p w14:paraId="52682772"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51</w:t>
            </w:r>
          </w:p>
        </w:tc>
        <w:tc>
          <w:tcPr>
            <w:tcW w:w="988" w:type="pct"/>
            <w:shd w:val="clear" w:color="auto" w:fill="auto"/>
            <w:noWrap/>
            <w:hideMark/>
          </w:tcPr>
          <w:p w14:paraId="00BE23A0"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90</w:t>
            </w:r>
          </w:p>
        </w:tc>
        <w:tc>
          <w:tcPr>
            <w:tcW w:w="1984" w:type="pct"/>
            <w:shd w:val="clear" w:color="auto" w:fill="auto"/>
            <w:noWrap/>
            <w:hideMark/>
          </w:tcPr>
          <w:p w14:paraId="1969511F"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56,7%</w:t>
            </w:r>
          </w:p>
        </w:tc>
      </w:tr>
      <w:tr w:rsidR="003B3DCA" w:rsidRPr="000503C4" w14:paraId="022D6EA6"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2A3CBBB8"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Lecco</w:t>
            </w:r>
          </w:p>
        </w:tc>
        <w:tc>
          <w:tcPr>
            <w:tcW w:w="868" w:type="pct"/>
            <w:shd w:val="clear" w:color="auto" w:fill="auto"/>
            <w:noWrap/>
            <w:hideMark/>
          </w:tcPr>
          <w:p w14:paraId="76FA4A26"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35</w:t>
            </w:r>
          </w:p>
        </w:tc>
        <w:tc>
          <w:tcPr>
            <w:tcW w:w="988" w:type="pct"/>
            <w:shd w:val="clear" w:color="auto" w:fill="auto"/>
            <w:noWrap/>
            <w:hideMark/>
          </w:tcPr>
          <w:p w14:paraId="7AFB7881"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49</w:t>
            </w:r>
          </w:p>
        </w:tc>
        <w:tc>
          <w:tcPr>
            <w:tcW w:w="1984" w:type="pct"/>
            <w:shd w:val="clear" w:color="auto" w:fill="auto"/>
            <w:noWrap/>
            <w:hideMark/>
          </w:tcPr>
          <w:p w14:paraId="1C4AF1DD"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71,4%</w:t>
            </w:r>
          </w:p>
        </w:tc>
      </w:tr>
      <w:tr w:rsidR="003B3DCA" w:rsidRPr="000503C4" w14:paraId="519E4821"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23FA9519"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Lodi</w:t>
            </w:r>
          </w:p>
        </w:tc>
        <w:tc>
          <w:tcPr>
            <w:tcW w:w="868" w:type="pct"/>
            <w:shd w:val="clear" w:color="auto" w:fill="auto"/>
            <w:noWrap/>
            <w:hideMark/>
          </w:tcPr>
          <w:p w14:paraId="5F369BCD"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26</w:t>
            </w:r>
          </w:p>
        </w:tc>
        <w:tc>
          <w:tcPr>
            <w:tcW w:w="988" w:type="pct"/>
            <w:shd w:val="clear" w:color="auto" w:fill="auto"/>
            <w:noWrap/>
            <w:hideMark/>
          </w:tcPr>
          <w:p w14:paraId="4D03EF66"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36</w:t>
            </w:r>
          </w:p>
        </w:tc>
        <w:tc>
          <w:tcPr>
            <w:tcW w:w="1984" w:type="pct"/>
            <w:shd w:val="clear" w:color="auto" w:fill="auto"/>
            <w:noWrap/>
            <w:hideMark/>
          </w:tcPr>
          <w:p w14:paraId="2B03F36C"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72,2%</w:t>
            </w:r>
          </w:p>
        </w:tc>
      </w:tr>
      <w:tr w:rsidR="003B3DCA" w:rsidRPr="000503C4" w14:paraId="754C5682"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40420848"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Mantova</w:t>
            </w:r>
          </w:p>
        </w:tc>
        <w:tc>
          <w:tcPr>
            <w:tcW w:w="868" w:type="pct"/>
            <w:shd w:val="clear" w:color="auto" w:fill="auto"/>
            <w:noWrap/>
            <w:hideMark/>
          </w:tcPr>
          <w:p w14:paraId="40449A62"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39</w:t>
            </w:r>
          </w:p>
        </w:tc>
        <w:tc>
          <w:tcPr>
            <w:tcW w:w="988" w:type="pct"/>
            <w:shd w:val="clear" w:color="auto" w:fill="auto"/>
            <w:noWrap/>
            <w:hideMark/>
          </w:tcPr>
          <w:p w14:paraId="22E36E7B"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47</w:t>
            </w:r>
          </w:p>
        </w:tc>
        <w:tc>
          <w:tcPr>
            <w:tcW w:w="1984" w:type="pct"/>
            <w:shd w:val="clear" w:color="auto" w:fill="auto"/>
            <w:noWrap/>
            <w:hideMark/>
          </w:tcPr>
          <w:p w14:paraId="0A12261A"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83,0%</w:t>
            </w:r>
          </w:p>
        </w:tc>
      </w:tr>
      <w:tr w:rsidR="003B3DCA" w:rsidRPr="000503C4" w14:paraId="04E5A12F"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0C9FB9BB"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Milano</w:t>
            </w:r>
          </w:p>
        </w:tc>
        <w:tc>
          <w:tcPr>
            <w:tcW w:w="868" w:type="pct"/>
            <w:shd w:val="clear" w:color="auto" w:fill="auto"/>
            <w:noWrap/>
            <w:hideMark/>
          </w:tcPr>
          <w:p w14:paraId="66A50230"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716</w:t>
            </w:r>
          </w:p>
        </w:tc>
        <w:tc>
          <w:tcPr>
            <w:tcW w:w="988" w:type="pct"/>
            <w:shd w:val="clear" w:color="auto" w:fill="auto"/>
            <w:noWrap/>
            <w:hideMark/>
          </w:tcPr>
          <w:p w14:paraId="6351E1AC"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1.366</w:t>
            </w:r>
          </w:p>
        </w:tc>
        <w:tc>
          <w:tcPr>
            <w:tcW w:w="1984" w:type="pct"/>
            <w:shd w:val="clear" w:color="auto" w:fill="auto"/>
            <w:noWrap/>
            <w:hideMark/>
          </w:tcPr>
          <w:p w14:paraId="574B7573"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52,4%</w:t>
            </w:r>
          </w:p>
        </w:tc>
      </w:tr>
      <w:tr w:rsidR="003B3DCA" w:rsidRPr="000503C4" w14:paraId="3AC81ADE"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78654AD5"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Monza e della Brianza</w:t>
            </w:r>
          </w:p>
        </w:tc>
        <w:tc>
          <w:tcPr>
            <w:tcW w:w="868" w:type="pct"/>
            <w:shd w:val="clear" w:color="auto" w:fill="auto"/>
            <w:noWrap/>
            <w:hideMark/>
          </w:tcPr>
          <w:p w14:paraId="60F4C783"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104</w:t>
            </w:r>
          </w:p>
        </w:tc>
        <w:tc>
          <w:tcPr>
            <w:tcW w:w="988" w:type="pct"/>
            <w:shd w:val="clear" w:color="auto" w:fill="auto"/>
            <w:noWrap/>
            <w:hideMark/>
          </w:tcPr>
          <w:p w14:paraId="2996C96D"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238</w:t>
            </w:r>
          </w:p>
        </w:tc>
        <w:tc>
          <w:tcPr>
            <w:tcW w:w="1984" w:type="pct"/>
            <w:shd w:val="clear" w:color="auto" w:fill="auto"/>
            <w:noWrap/>
            <w:hideMark/>
          </w:tcPr>
          <w:p w14:paraId="18BA3676"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43,7%</w:t>
            </w:r>
          </w:p>
        </w:tc>
      </w:tr>
      <w:tr w:rsidR="003B3DCA" w:rsidRPr="000503C4" w14:paraId="59FD6B5A"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29BB93DC"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Pavia</w:t>
            </w:r>
          </w:p>
        </w:tc>
        <w:tc>
          <w:tcPr>
            <w:tcW w:w="868" w:type="pct"/>
            <w:shd w:val="clear" w:color="auto" w:fill="auto"/>
            <w:noWrap/>
            <w:hideMark/>
          </w:tcPr>
          <w:p w14:paraId="1C243744"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111</w:t>
            </w:r>
          </w:p>
        </w:tc>
        <w:tc>
          <w:tcPr>
            <w:tcW w:w="988" w:type="pct"/>
            <w:shd w:val="clear" w:color="auto" w:fill="auto"/>
            <w:noWrap/>
            <w:hideMark/>
          </w:tcPr>
          <w:p w14:paraId="3468E519"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155</w:t>
            </w:r>
          </w:p>
        </w:tc>
        <w:tc>
          <w:tcPr>
            <w:tcW w:w="1984" w:type="pct"/>
            <w:shd w:val="clear" w:color="auto" w:fill="auto"/>
            <w:noWrap/>
            <w:hideMark/>
          </w:tcPr>
          <w:p w14:paraId="3729CF2B"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71,6%</w:t>
            </w:r>
          </w:p>
        </w:tc>
      </w:tr>
      <w:tr w:rsidR="003B3DCA" w:rsidRPr="000503C4" w14:paraId="2242EAFA"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6A0C4784"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Sondrio</w:t>
            </w:r>
          </w:p>
        </w:tc>
        <w:tc>
          <w:tcPr>
            <w:tcW w:w="868" w:type="pct"/>
            <w:shd w:val="clear" w:color="auto" w:fill="auto"/>
            <w:noWrap/>
            <w:hideMark/>
          </w:tcPr>
          <w:p w14:paraId="74207B66"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2</w:t>
            </w:r>
          </w:p>
        </w:tc>
        <w:tc>
          <w:tcPr>
            <w:tcW w:w="988" w:type="pct"/>
            <w:shd w:val="clear" w:color="auto" w:fill="auto"/>
            <w:noWrap/>
            <w:hideMark/>
          </w:tcPr>
          <w:p w14:paraId="1D2B0034"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2</w:t>
            </w:r>
          </w:p>
        </w:tc>
        <w:tc>
          <w:tcPr>
            <w:tcW w:w="1984" w:type="pct"/>
            <w:shd w:val="clear" w:color="auto" w:fill="auto"/>
            <w:noWrap/>
            <w:hideMark/>
          </w:tcPr>
          <w:p w14:paraId="15B38005"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100,0%</w:t>
            </w:r>
          </w:p>
        </w:tc>
      </w:tr>
      <w:tr w:rsidR="003B3DCA" w:rsidRPr="000503C4" w14:paraId="203216C2"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7C3D4445"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Varese</w:t>
            </w:r>
          </w:p>
        </w:tc>
        <w:tc>
          <w:tcPr>
            <w:tcW w:w="868" w:type="pct"/>
            <w:shd w:val="clear" w:color="auto" w:fill="auto"/>
            <w:noWrap/>
            <w:hideMark/>
          </w:tcPr>
          <w:p w14:paraId="557107E5"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138</w:t>
            </w:r>
          </w:p>
        </w:tc>
        <w:tc>
          <w:tcPr>
            <w:tcW w:w="988" w:type="pct"/>
            <w:shd w:val="clear" w:color="auto" w:fill="auto"/>
            <w:noWrap/>
            <w:hideMark/>
          </w:tcPr>
          <w:p w14:paraId="6C48CDB5"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179</w:t>
            </w:r>
          </w:p>
        </w:tc>
        <w:tc>
          <w:tcPr>
            <w:tcW w:w="1984" w:type="pct"/>
            <w:shd w:val="clear" w:color="auto" w:fill="auto"/>
            <w:noWrap/>
            <w:hideMark/>
          </w:tcPr>
          <w:p w14:paraId="400879B6"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77,1%</w:t>
            </w:r>
          </w:p>
        </w:tc>
      </w:tr>
      <w:tr w:rsidR="003B3DCA" w:rsidRPr="000503C4" w14:paraId="30398D94"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3C9FC993"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Altre province italiane</w:t>
            </w:r>
          </w:p>
        </w:tc>
        <w:tc>
          <w:tcPr>
            <w:tcW w:w="868" w:type="pct"/>
            <w:shd w:val="clear" w:color="auto" w:fill="auto"/>
            <w:noWrap/>
            <w:hideMark/>
          </w:tcPr>
          <w:p w14:paraId="5904CF9D"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0</w:t>
            </w:r>
          </w:p>
        </w:tc>
        <w:tc>
          <w:tcPr>
            <w:tcW w:w="988" w:type="pct"/>
            <w:shd w:val="clear" w:color="auto" w:fill="auto"/>
            <w:noWrap/>
            <w:hideMark/>
          </w:tcPr>
          <w:p w14:paraId="289D9141"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2</w:t>
            </w:r>
          </w:p>
        </w:tc>
        <w:tc>
          <w:tcPr>
            <w:tcW w:w="1984" w:type="pct"/>
            <w:shd w:val="clear" w:color="auto" w:fill="auto"/>
            <w:noWrap/>
            <w:hideMark/>
          </w:tcPr>
          <w:p w14:paraId="3FDA2E93" w14:textId="77777777" w:rsidR="003B3DCA" w:rsidRPr="00D60B72"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0,0%</w:t>
            </w:r>
          </w:p>
        </w:tc>
      </w:tr>
      <w:tr w:rsidR="003B3DCA" w:rsidRPr="000503C4" w14:paraId="5C5ACA79" w14:textId="77777777" w:rsidTr="004242C0">
        <w:trPr>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2AF927E1" w14:textId="77777777" w:rsidR="003B3DCA" w:rsidRPr="000503C4" w:rsidRDefault="003B3DCA" w:rsidP="00AF58DF">
            <w:pPr>
              <w:keepNext/>
              <w:keepLines/>
              <w:contextualSpacing/>
              <w:rPr>
                <w:rFonts w:eastAsia="Times New Roman" w:cstheme="minorHAnsi"/>
                <w:b w:val="0"/>
                <w:bCs w:val="0"/>
                <w:color w:val="000000"/>
              </w:rPr>
            </w:pPr>
            <w:r w:rsidRPr="000503C4">
              <w:rPr>
                <w:rFonts w:eastAsia="Times New Roman" w:cstheme="minorHAnsi"/>
                <w:b w:val="0"/>
                <w:bCs w:val="0"/>
                <w:color w:val="000000"/>
              </w:rPr>
              <w:t>Non specificato</w:t>
            </w:r>
          </w:p>
        </w:tc>
        <w:tc>
          <w:tcPr>
            <w:tcW w:w="868" w:type="pct"/>
            <w:shd w:val="clear" w:color="auto" w:fill="auto"/>
            <w:noWrap/>
            <w:hideMark/>
          </w:tcPr>
          <w:p w14:paraId="337BB6A9"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2</w:t>
            </w:r>
          </w:p>
        </w:tc>
        <w:tc>
          <w:tcPr>
            <w:tcW w:w="988" w:type="pct"/>
            <w:shd w:val="clear" w:color="auto" w:fill="auto"/>
            <w:noWrap/>
            <w:hideMark/>
          </w:tcPr>
          <w:p w14:paraId="2C1B35A8"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3</w:t>
            </w:r>
          </w:p>
        </w:tc>
        <w:tc>
          <w:tcPr>
            <w:tcW w:w="1984" w:type="pct"/>
            <w:shd w:val="clear" w:color="auto" w:fill="auto"/>
            <w:noWrap/>
            <w:hideMark/>
          </w:tcPr>
          <w:p w14:paraId="2AE633B7" w14:textId="77777777" w:rsidR="003B3DCA" w:rsidRPr="00D60B72"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D60B72">
              <w:rPr>
                <w:rFonts w:eastAsia="Times New Roman" w:cstheme="minorHAnsi"/>
                <w:color w:val="000000"/>
              </w:rPr>
              <w:t>66,7%</w:t>
            </w:r>
          </w:p>
        </w:tc>
      </w:tr>
      <w:tr w:rsidR="003B3DCA" w:rsidRPr="000503C4" w14:paraId="2CC2537A" w14:textId="77777777" w:rsidTr="004242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0" w:type="pct"/>
            <w:shd w:val="clear" w:color="auto" w:fill="auto"/>
            <w:noWrap/>
            <w:hideMark/>
          </w:tcPr>
          <w:p w14:paraId="22165961" w14:textId="77777777" w:rsidR="003B3DCA" w:rsidRPr="000E75A6" w:rsidRDefault="003B3DCA" w:rsidP="00AF58DF">
            <w:pPr>
              <w:keepNext/>
              <w:keepLines/>
              <w:contextualSpacing/>
              <w:rPr>
                <w:rFonts w:eastAsia="Times New Roman" w:cstheme="minorHAnsi"/>
                <w:bCs w:val="0"/>
                <w:color w:val="000000"/>
              </w:rPr>
            </w:pPr>
            <w:r w:rsidRPr="000E75A6">
              <w:rPr>
                <w:rFonts w:eastAsia="Times New Roman" w:cstheme="minorHAnsi"/>
                <w:bCs w:val="0"/>
                <w:color w:val="000000"/>
              </w:rPr>
              <w:t>Totale</w:t>
            </w:r>
          </w:p>
        </w:tc>
        <w:tc>
          <w:tcPr>
            <w:tcW w:w="868" w:type="pct"/>
            <w:shd w:val="clear" w:color="auto" w:fill="auto"/>
            <w:noWrap/>
            <w:hideMark/>
          </w:tcPr>
          <w:p w14:paraId="4E6F9469" w14:textId="77777777" w:rsidR="003B3DCA" w:rsidRPr="000E75A6"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0E75A6">
              <w:rPr>
                <w:rFonts w:eastAsia="Times New Roman" w:cstheme="minorHAnsi"/>
                <w:b/>
                <w:color w:val="000000"/>
              </w:rPr>
              <w:t>1.529</w:t>
            </w:r>
          </w:p>
        </w:tc>
        <w:tc>
          <w:tcPr>
            <w:tcW w:w="988" w:type="pct"/>
            <w:shd w:val="clear" w:color="auto" w:fill="auto"/>
            <w:noWrap/>
            <w:hideMark/>
          </w:tcPr>
          <w:p w14:paraId="299D6680" w14:textId="77777777" w:rsidR="003B3DCA" w:rsidRPr="000E75A6"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0E75A6">
              <w:rPr>
                <w:rFonts w:eastAsia="Times New Roman" w:cstheme="minorHAnsi"/>
                <w:b/>
                <w:color w:val="000000"/>
              </w:rPr>
              <w:t>2.649</w:t>
            </w:r>
          </w:p>
        </w:tc>
        <w:tc>
          <w:tcPr>
            <w:tcW w:w="1984" w:type="pct"/>
            <w:shd w:val="clear" w:color="auto" w:fill="auto"/>
            <w:noWrap/>
            <w:hideMark/>
          </w:tcPr>
          <w:p w14:paraId="1671F4A0" w14:textId="77777777" w:rsidR="003B3DCA" w:rsidRPr="000E75A6"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rPr>
            </w:pPr>
            <w:r w:rsidRPr="000E75A6">
              <w:rPr>
                <w:rFonts w:eastAsia="Times New Roman" w:cstheme="minorHAnsi"/>
                <w:b/>
                <w:color w:val="000000"/>
              </w:rPr>
              <w:t>57,7%</w:t>
            </w:r>
          </w:p>
        </w:tc>
      </w:tr>
    </w:tbl>
    <w:p w14:paraId="36092F63" w14:textId="77777777" w:rsidR="003B3DCA" w:rsidRPr="000503C4" w:rsidRDefault="003B3DCA" w:rsidP="00E17935">
      <w:pPr>
        <w:pStyle w:val="Fonte"/>
      </w:pPr>
      <w:r w:rsidRPr="000503C4">
        <w:t xml:space="preserve">Fonte: </w:t>
      </w:r>
      <w:r>
        <w:t>“Rapporto di valutazione tematica 2021” su</w:t>
      </w:r>
      <w:r w:rsidRPr="000503C4">
        <w:t xml:space="preserve"> dati di monitoraggio di Regione Lombardia</w:t>
      </w:r>
    </w:p>
    <w:p w14:paraId="196BA80F" w14:textId="77777777" w:rsidR="00E17935" w:rsidRDefault="00E17935" w:rsidP="003B3DCA">
      <w:pPr>
        <w:rPr>
          <w:rFonts w:cs="Arial"/>
        </w:rPr>
      </w:pPr>
    </w:p>
    <w:p w14:paraId="521AF8AD" w14:textId="77777777" w:rsidR="003B3DCA" w:rsidRDefault="003B3DCA" w:rsidP="003B3DCA">
      <w:pPr>
        <w:rPr>
          <w:rFonts w:cs="Arial"/>
        </w:rPr>
      </w:pPr>
      <w:r>
        <w:rPr>
          <w:rFonts w:cs="Arial"/>
        </w:rPr>
        <w:t xml:space="preserve">Gli esiti della DUL sono stati sicuramente influenzati anche dalla </w:t>
      </w:r>
      <w:r w:rsidRPr="00086023">
        <w:rPr>
          <w:rFonts w:cs="Arial"/>
        </w:rPr>
        <w:t xml:space="preserve">pandemia di </w:t>
      </w:r>
      <w:r w:rsidR="0030242F">
        <w:rPr>
          <w:rFonts w:cs="Arial"/>
        </w:rPr>
        <w:t>COVID</w:t>
      </w:r>
      <w:r w:rsidRPr="00086023">
        <w:rPr>
          <w:rFonts w:cs="Arial"/>
        </w:rPr>
        <w:t>-19</w:t>
      </w:r>
      <w:r>
        <w:rPr>
          <w:rFonts w:cs="Arial"/>
        </w:rPr>
        <w:t xml:space="preserve"> che,</w:t>
      </w:r>
      <w:r w:rsidRPr="00086023">
        <w:rPr>
          <w:rFonts w:cs="Arial"/>
        </w:rPr>
        <w:t xml:space="preserve"> nel corso del 2020 ha</w:t>
      </w:r>
      <w:r>
        <w:rPr>
          <w:rFonts w:cs="Arial"/>
        </w:rPr>
        <w:t xml:space="preserve"> </w:t>
      </w:r>
      <w:r w:rsidRPr="00086023">
        <w:rPr>
          <w:rFonts w:cs="Arial"/>
        </w:rPr>
        <w:t xml:space="preserve">prodotto effetti negativi </w:t>
      </w:r>
      <w:r>
        <w:rPr>
          <w:rFonts w:cs="Arial"/>
        </w:rPr>
        <w:t xml:space="preserve">in generale </w:t>
      </w:r>
      <w:r w:rsidRPr="00086023">
        <w:rPr>
          <w:rFonts w:cs="Arial"/>
        </w:rPr>
        <w:t>sulle attività di impresa e di lavoro autonomo</w:t>
      </w:r>
      <w:r>
        <w:rPr>
          <w:rFonts w:cs="Arial"/>
        </w:rPr>
        <w:t xml:space="preserve"> a livello regionale, a causa delle misure restrittive resesi necessarie per meglio fronteggiare l’emergenza sanitaria</w:t>
      </w:r>
      <w:r w:rsidRPr="00086023">
        <w:rPr>
          <w:rFonts w:cs="Arial"/>
        </w:rPr>
        <w:t xml:space="preserve">. </w:t>
      </w:r>
    </w:p>
    <w:p w14:paraId="6FC2EBA6" w14:textId="77777777" w:rsidR="003B3DCA" w:rsidRDefault="003B3DCA" w:rsidP="003B3DCA">
      <w:pPr>
        <w:rPr>
          <w:rFonts w:cs="Arial"/>
        </w:rPr>
      </w:pPr>
      <w:r>
        <w:rPr>
          <w:rFonts w:cs="Arial"/>
        </w:rPr>
        <w:t xml:space="preserve">L’effetto della </w:t>
      </w:r>
      <w:r w:rsidRPr="00894AEA">
        <w:rPr>
          <w:rFonts w:cs="Arial"/>
          <w:b/>
        </w:rPr>
        <w:t>crisi pandemica</w:t>
      </w:r>
      <w:r>
        <w:rPr>
          <w:rFonts w:cs="Arial"/>
        </w:rPr>
        <w:t xml:space="preserve"> sui destinatari della DUL Autoimprenditorialità non è stato lineare: </w:t>
      </w:r>
      <w:r w:rsidRPr="00894AEA">
        <w:rPr>
          <w:rFonts w:cs="Arial"/>
          <w:b/>
        </w:rPr>
        <w:t>132 partecipanti su 376 rispondenti hanno dichiarato di aver dovuto affrontare almeno una criticità</w:t>
      </w:r>
      <w:r>
        <w:rPr>
          <w:rStyle w:val="Rimandonotaapidipagina"/>
          <w:rFonts w:cs="Arial"/>
        </w:rPr>
        <w:footnoteReference w:id="35"/>
      </w:r>
      <w:r>
        <w:rPr>
          <w:rFonts w:cs="Arial"/>
        </w:rPr>
        <w:t>, e le più comuni sono state le seguenti:</w:t>
      </w:r>
    </w:p>
    <w:p w14:paraId="23D7213D" w14:textId="77777777" w:rsidR="003B3DCA" w:rsidRPr="004E7407" w:rsidRDefault="003B3DCA" w:rsidP="0038676D">
      <w:pPr>
        <w:pStyle w:val="Paragrafoelenco"/>
        <w:numPr>
          <w:ilvl w:val="0"/>
          <w:numId w:val="46"/>
        </w:numPr>
      </w:pPr>
      <w:r w:rsidRPr="004E7407">
        <w:t xml:space="preserve">la </w:t>
      </w:r>
      <w:r w:rsidRPr="00894AEA">
        <w:t>condizione di incertezza dovuta all’evolvere costante della situazione epidemiologica</w:t>
      </w:r>
      <w:r w:rsidRPr="004E7407">
        <w:t xml:space="preserve"> (65,9%)</w:t>
      </w:r>
      <w:r>
        <w:t>;</w:t>
      </w:r>
    </w:p>
    <w:p w14:paraId="0F22E439" w14:textId="77777777" w:rsidR="003B3DCA" w:rsidRPr="00D636FE" w:rsidRDefault="003B3DCA" w:rsidP="0038676D">
      <w:pPr>
        <w:pStyle w:val="Paragrafoelenco"/>
        <w:numPr>
          <w:ilvl w:val="0"/>
          <w:numId w:val="46"/>
        </w:numPr>
      </w:pPr>
      <w:r w:rsidRPr="00D636FE">
        <w:t xml:space="preserve">il </w:t>
      </w:r>
      <w:r w:rsidRPr="00894AEA">
        <w:t>calo della domanda</w:t>
      </w:r>
      <w:r w:rsidRPr="00D636FE">
        <w:t xml:space="preserve"> (62,1%)</w:t>
      </w:r>
      <w:r>
        <w:t>;</w:t>
      </w:r>
      <w:r w:rsidRPr="00D636FE">
        <w:t xml:space="preserve"> </w:t>
      </w:r>
    </w:p>
    <w:p w14:paraId="489A27FD" w14:textId="77777777" w:rsidR="003B3DCA" w:rsidRPr="004E7407" w:rsidRDefault="003B3DCA" w:rsidP="0038676D">
      <w:pPr>
        <w:pStyle w:val="Paragrafoelenco"/>
        <w:numPr>
          <w:ilvl w:val="0"/>
          <w:numId w:val="46"/>
        </w:numPr>
      </w:pPr>
      <w:r w:rsidRPr="004E7407">
        <w:t xml:space="preserve">la </w:t>
      </w:r>
      <w:r w:rsidRPr="00894AEA">
        <w:t>riduzione del fatturato</w:t>
      </w:r>
      <w:r>
        <w:t xml:space="preserve"> (53,8%)</w:t>
      </w:r>
      <w:r w:rsidRPr="004E7407">
        <w:t>.</w:t>
      </w:r>
    </w:p>
    <w:p w14:paraId="5CFCE11C" w14:textId="77777777" w:rsidR="003B3DCA" w:rsidRDefault="003B3DCA" w:rsidP="003B3DCA">
      <w:pPr>
        <w:rPr>
          <w:rFonts w:cs="Arial"/>
        </w:rPr>
      </w:pPr>
      <w:r>
        <w:rPr>
          <w:rFonts w:cs="Arial"/>
        </w:rPr>
        <w:t xml:space="preserve">Solo </w:t>
      </w:r>
      <w:r w:rsidRPr="00086023">
        <w:rPr>
          <w:rFonts w:cs="Arial"/>
        </w:rPr>
        <w:t xml:space="preserve">37 </w:t>
      </w:r>
      <w:r>
        <w:rPr>
          <w:rFonts w:cs="Arial"/>
        </w:rPr>
        <w:t xml:space="preserve">rispondenti </w:t>
      </w:r>
      <w:r w:rsidRPr="00086023">
        <w:rPr>
          <w:rFonts w:cs="Arial"/>
        </w:rPr>
        <w:t>dichiara</w:t>
      </w:r>
      <w:r>
        <w:rPr>
          <w:rFonts w:cs="Arial"/>
        </w:rPr>
        <w:t>vano</w:t>
      </w:r>
      <w:r w:rsidRPr="00086023">
        <w:rPr>
          <w:rFonts w:cs="Arial"/>
        </w:rPr>
        <w:t xml:space="preserve"> di non aver affrontato particolari criticità. </w:t>
      </w:r>
    </w:p>
    <w:p w14:paraId="6C54E4F5" w14:textId="77777777" w:rsidR="003B3DCA" w:rsidRDefault="003B3DCA" w:rsidP="003B3DCA">
      <w:pPr>
        <w:rPr>
          <w:rFonts w:cs="Arial"/>
        </w:rPr>
      </w:pPr>
      <w:r>
        <w:rPr>
          <w:rFonts w:cs="Arial"/>
        </w:rPr>
        <w:t xml:space="preserve">Oltre a ciò, i destinatari potevano indicare anche quali </w:t>
      </w:r>
      <w:r w:rsidRPr="00894AEA">
        <w:rPr>
          <w:rFonts w:cs="Arial"/>
          <w:b/>
        </w:rPr>
        <w:t>bisogni e/o esigenze</w:t>
      </w:r>
      <w:r>
        <w:rPr>
          <w:rFonts w:cs="Arial"/>
        </w:rPr>
        <w:t xml:space="preserve"> si fossero </w:t>
      </w:r>
      <w:r w:rsidRPr="00894AEA">
        <w:rPr>
          <w:rFonts w:cs="Arial"/>
          <w:b/>
        </w:rPr>
        <w:t>manifestati durante la crisi pandemica</w:t>
      </w:r>
      <w:r>
        <w:rPr>
          <w:rFonts w:cs="Arial"/>
        </w:rPr>
        <w:t xml:space="preserve">, e 149 hanno dichiarato almeno un bisogno. Le </w:t>
      </w:r>
      <w:r w:rsidRPr="00894AEA">
        <w:rPr>
          <w:rFonts w:cs="Arial"/>
          <w:b/>
        </w:rPr>
        <w:t>esigenze più comunemente manifestate</w:t>
      </w:r>
      <w:r>
        <w:rPr>
          <w:rFonts w:cs="Arial"/>
        </w:rPr>
        <w:t xml:space="preserve"> sono:</w:t>
      </w:r>
    </w:p>
    <w:p w14:paraId="0FE07987" w14:textId="77777777" w:rsidR="003B3DCA" w:rsidRPr="004E7407" w:rsidRDefault="003B3DCA" w:rsidP="0038676D">
      <w:pPr>
        <w:pStyle w:val="Paragrafoelenco"/>
        <w:numPr>
          <w:ilvl w:val="0"/>
          <w:numId w:val="47"/>
        </w:numPr>
      </w:pPr>
      <w:r w:rsidRPr="00894AEA">
        <w:t>necessità di dilazionare i pagamenti di ritenute, tasse e contributi</w:t>
      </w:r>
      <w:r>
        <w:t xml:space="preserve"> (55%);</w:t>
      </w:r>
      <w:r w:rsidRPr="004E7407">
        <w:t xml:space="preserve"> </w:t>
      </w:r>
    </w:p>
    <w:p w14:paraId="31A2E086" w14:textId="77777777" w:rsidR="003B3DCA" w:rsidRPr="00CE47C2" w:rsidRDefault="003B3DCA" w:rsidP="0038676D">
      <w:pPr>
        <w:pStyle w:val="Paragrafoelenco"/>
        <w:numPr>
          <w:ilvl w:val="0"/>
          <w:numId w:val="47"/>
        </w:numPr>
      </w:pPr>
      <w:r w:rsidRPr="00894AEA">
        <w:t>beneficiare di contributi per il pagamento dei costi fissi</w:t>
      </w:r>
      <w:r w:rsidRPr="004E7407">
        <w:t xml:space="preserve"> (quali l’affitto o le utenze di luce e gas, ecc.) </w:t>
      </w:r>
      <w:r w:rsidRPr="00CE47C2">
        <w:t>(45,6%)</w:t>
      </w:r>
      <w:r>
        <w:t>;</w:t>
      </w:r>
    </w:p>
    <w:p w14:paraId="508C3C29" w14:textId="77777777" w:rsidR="003B3DCA" w:rsidRPr="004E7407" w:rsidRDefault="003B3DCA" w:rsidP="0038676D">
      <w:pPr>
        <w:pStyle w:val="Paragrafoelenco"/>
        <w:numPr>
          <w:ilvl w:val="0"/>
          <w:numId w:val="47"/>
        </w:numPr>
      </w:pPr>
      <w:r w:rsidRPr="00894AEA">
        <w:t>sostegno nell’accesso al credito e una maggiore liquidità</w:t>
      </w:r>
      <w:r>
        <w:t xml:space="preserve"> (39,6%);</w:t>
      </w:r>
      <w:r w:rsidRPr="004E7407">
        <w:t xml:space="preserve"> </w:t>
      </w:r>
    </w:p>
    <w:p w14:paraId="2EECD5AD" w14:textId="77777777" w:rsidR="003B3DCA" w:rsidRPr="004E7407" w:rsidRDefault="003B3DCA" w:rsidP="0038676D">
      <w:pPr>
        <w:pStyle w:val="Paragrafoelenco"/>
        <w:numPr>
          <w:ilvl w:val="0"/>
          <w:numId w:val="47"/>
        </w:numPr>
      </w:pPr>
      <w:r w:rsidRPr="00894AEA">
        <w:t xml:space="preserve">sostegno agli investimenti per fronteggiare l’emergenza </w:t>
      </w:r>
      <w:r w:rsidR="0030242F">
        <w:t>COVID-19</w:t>
      </w:r>
      <w:r w:rsidRPr="004E7407">
        <w:t xml:space="preserve"> (32,9%)</w:t>
      </w:r>
      <w:r>
        <w:t>;</w:t>
      </w:r>
      <w:r w:rsidRPr="004E7407">
        <w:t xml:space="preserve"> </w:t>
      </w:r>
    </w:p>
    <w:p w14:paraId="4ECE0D16" w14:textId="77777777" w:rsidR="003B3DCA" w:rsidRPr="004E7407" w:rsidRDefault="003B3DCA" w:rsidP="0038676D">
      <w:pPr>
        <w:pStyle w:val="Paragrafoelenco"/>
        <w:numPr>
          <w:ilvl w:val="0"/>
          <w:numId w:val="47"/>
        </w:numPr>
      </w:pPr>
      <w:r w:rsidRPr="00894AEA">
        <w:t>sostegno agli investimenti in digitalizzazione ed innovazione tecnologica</w:t>
      </w:r>
      <w:r w:rsidRPr="004E7407">
        <w:t xml:space="preserve"> (31,5%).</w:t>
      </w:r>
    </w:p>
    <w:p w14:paraId="51D8EA85" w14:textId="77777777" w:rsidR="003B3DCA" w:rsidRDefault="003B3DCA" w:rsidP="003B3DCA">
      <w:pPr>
        <w:rPr>
          <w:rFonts w:cs="Arial"/>
        </w:rPr>
      </w:pPr>
      <w:r>
        <w:rPr>
          <w:rFonts w:cs="Arial"/>
        </w:rPr>
        <w:t>Solo 20 destinatari della misura non riportavano alcuna esigenza particolare per fronteggiare la crisi pandemica.</w:t>
      </w:r>
    </w:p>
    <w:p w14:paraId="09A9CEE1" w14:textId="77777777" w:rsidR="003B3DCA" w:rsidRDefault="003B3DCA" w:rsidP="003B3DCA">
      <w:pPr>
        <w:rPr>
          <w:rFonts w:cs="Arial"/>
        </w:rPr>
      </w:pPr>
      <w:r>
        <w:rPr>
          <w:rFonts w:cs="Arial"/>
        </w:rPr>
        <w:t xml:space="preserve">Più in generale, quindi, si evince come la </w:t>
      </w:r>
      <w:r w:rsidRPr="00894AEA">
        <w:rPr>
          <w:rFonts w:cs="Arial"/>
          <w:b/>
        </w:rPr>
        <w:t xml:space="preserve">principale difficoltà causata dal </w:t>
      </w:r>
      <w:r w:rsidR="0030242F">
        <w:rPr>
          <w:rFonts w:cs="Arial"/>
          <w:b/>
        </w:rPr>
        <w:t>COVID</w:t>
      </w:r>
      <w:r w:rsidRPr="00894AEA">
        <w:rPr>
          <w:rFonts w:cs="Arial"/>
          <w:b/>
        </w:rPr>
        <w:t>-19</w:t>
      </w:r>
      <w:r>
        <w:rPr>
          <w:rFonts w:cs="Arial"/>
        </w:rPr>
        <w:t xml:space="preserve"> sia stata la </w:t>
      </w:r>
      <w:r w:rsidRPr="00894AEA">
        <w:rPr>
          <w:rFonts w:cs="Arial"/>
          <w:b/>
        </w:rPr>
        <w:t>mancanza di adeguati e tempestivi supporti economici</w:t>
      </w:r>
      <w:r>
        <w:rPr>
          <w:rFonts w:cs="Arial"/>
        </w:rPr>
        <w:t>, sia di accesso al credito che per investimenti, che per coprire le spese vive dell’impresa/ditta individuale, creando dunque un forte ostacolo alla prosecuzione delle attività imprenditoriali e/o di autoimpiego.</w:t>
      </w:r>
    </w:p>
    <w:p w14:paraId="52724A0E" w14:textId="77777777" w:rsidR="003B3DCA" w:rsidRDefault="003B3DCA" w:rsidP="003B3DCA">
      <w:pPr>
        <w:rPr>
          <w:rFonts w:cs="Arial"/>
        </w:rPr>
      </w:pPr>
    </w:p>
    <w:p w14:paraId="058FDD65" w14:textId="77777777" w:rsidR="003B3DCA" w:rsidRDefault="003B3DCA" w:rsidP="003B3DCA">
      <w:pPr>
        <w:rPr>
          <w:b/>
          <w:bCs/>
          <w:i/>
          <w:iCs/>
        </w:rPr>
      </w:pPr>
      <w:r w:rsidRPr="003B3DCA">
        <w:rPr>
          <w:b/>
          <w:bCs/>
          <w:i/>
          <w:iCs/>
        </w:rPr>
        <w:t>Bando per la “Selezione di percorsi di formazione/accompagnamento per l’avvio di imprese culturali e creative da insediare in spazi pubblici”</w:t>
      </w:r>
    </w:p>
    <w:p w14:paraId="7B2D2B27" w14:textId="77777777" w:rsidR="003B3DCA" w:rsidRPr="003B3DCA" w:rsidRDefault="003B3DCA" w:rsidP="003B3DCA">
      <w:pPr>
        <w:rPr>
          <w:b/>
          <w:bCs/>
          <w:i/>
          <w:iCs/>
        </w:rPr>
      </w:pPr>
    </w:p>
    <w:p w14:paraId="0EDD719B" w14:textId="77777777" w:rsidR="003B3DCA" w:rsidRPr="003B3DCA" w:rsidRDefault="003B3DCA" w:rsidP="003B3DCA">
      <w:pPr>
        <w:rPr>
          <w:b/>
          <w:bCs/>
          <w:u w:val="single"/>
        </w:rPr>
      </w:pPr>
      <w:r w:rsidRPr="003B3DCA">
        <w:rPr>
          <w:u w:val="single"/>
        </w:rPr>
        <w:t>I progetti e i destinatari</w:t>
      </w:r>
    </w:p>
    <w:p w14:paraId="605BF34A" w14:textId="77777777" w:rsidR="003B3DCA" w:rsidRDefault="003B3DCA" w:rsidP="003B3DCA">
      <w:r w:rsidRPr="00894AEA">
        <w:rPr>
          <w:b/>
        </w:rPr>
        <w:t>Il Bando</w:t>
      </w:r>
      <w:r>
        <w:t xml:space="preserve"> per le Imprese culturali e creative </w:t>
      </w:r>
      <w:r w:rsidRPr="00894AEA">
        <w:rPr>
          <w:b/>
        </w:rPr>
        <w:t>ha finanziato</w:t>
      </w:r>
      <w:r>
        <w:t xml:space="preserve">, come già ricordato nel capitolo precedente, </w:t>
      </w:r>
      <w:r w:rsidRPr="00894AEA">
        <w:rPr>
          <w:b/>
        </w:rPr>
        <w:t>6 progetti</w:t>
      </w:r>
      <w:r>
        <w:t xml:space="preserve"> dei 15 presentati, e la cui caratteristica principale è la </w:t>
      </w:r>
      <w:r w:rsidRPr="00894AEA">
        <w:rPr>
          <w:b/>
        </w:rPr>
        <w:t>presenza di operatori accreditati e con esperienza pregressa nel settore culturale</w:t>
      </w:r>
      <w:r>
        <w:t>.</w:t>
      </w:r>
    </w:p>
    <w:p w14:paraId="42914FA0" w14:textId="77777777" w:rsidR="003B3DCA" w:rsidRDefault="003B3DCA" w:rsidP="003B3DCA">
      <w:r>
        <w:t>Qui di seguito si riporta una panoramica dei progetti finanziati dal Bando.</w:t>
      </w:r>
    </w:p>
    <w:p w14:paraId="5BA87C9F" w14:textId="77777777" w:rsidR="003B3DCA" w:rsidRPr="00CE6F82" w:rsidRDefault="003B3DCA" w:rsidP="0089100A">
      <w:pPr>
        <w:pStyle w:val="Didascalia"/>
        <w:rPr>
          <w:b w:val="0"/>
        </w:rPr>
      </w:pPr>
      <w:bookmarkStart w:id="131" w:name="_Toc91081464"/>
      <w:r w:rsidRPr="0089100A">
        <w:t>Tabella</w:t>
      </w:r>
      <w:r w:rsidRPr="00CE6F82">
        <w:t xml:space="preserve"> </w:t>
      </w:r>
      <w:r w:rsidR="004E6566" w:rsidRPr="00CE6F82">
        <w:rPr>
          <w:b w:val="0"/>
        </w:rPr>
        <w:fldChar w:fldCharType="begin"/>
      </w:r>
      <w:r w:rsidRPr="00CE6F82">
        <w:instrText xml:space="preserve"> SEQ Tabella \* ARABIC </w:instrText>
      </w:r>
      <w:r w:rsidR="004E6566" w:rsidRPr="00CE6F82">
        <w:rPr>
          <w:b w:val="0"/>
        </w:rPr>
        <w:fldChar w:fldCharType="separate"/>
      </w:r>
      <w:r w:rsidR="00E53D6C">
        <w:rPr>
          <w:noProof/>
        </w:rPr>
        <w:t>38</w:t>
      </w:r>
      <w:r w:rsidR="004E6566" w:rsidRPr="00CE6F82">
        <w:rPr>
          <w:b w:val="0"/>
        </w:rPr>
        <w:fldChar w:fldCharType="end"/>
      </w:r>
      <w:r w:rsidRPr="00CE6F82">
        <w:t>. Caratteristiche dei progetti finanziati</w:t>
      </w:r>
      <w:bookmarkEnd w:id="131"/>
    </w:p>
    <w:tbl>
      <w:tblPr>
        <w:tblStyle w:val="Tabellagriglia4-colore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1586"/>
        <w:gridCol w:w="1652"/>
        <w:gridCol w:w="1652"/>
        <w:gridCol w:w="2861"/>
      </w:tblGrid>
      <w:tr w:rsidR="0029063E" w:rsidRPr="0029063E" w14:paraId="2614510E" w14:textId="77777777" w:rsidTr="00A606B0">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974" w:type="pct"/>
            <w:tcBorders>
              <w:top w:val="single" w:sz="4" w:space="0" w:color="auto"/>
              <w:left w:val="single" w:sz="4" w:space="0" w:color="auto"/>
              <w:bottom w:val="single" w:sz="4" w:space="0" w:color="auto"/>
              <w:right w:val="single" w:sz="4" w:space="0" w:color="auto"/>
            </w:tcBorders>
            <w:shd w:val="clear" w:color="auto" w:fill="669748" w:themeFill="accent2" w:themeFillShade="BF"/>
            <w:vAlign w:val="center"/>
          </w:tcPr>
          <w:p w14:paraId="69C1D53F" w14:textId="77777777" w:rsidR="003B3DCA" w:rsidRPr="0029063E" w:rsidRDefault="003B3DCA" w:rsidP="00AF58DF">
            <w:pPr>
              <w:keepNext/>
              <w:keepLines/>
              <w:jc w:val="center"/>
              <w:rPr>
                <w:color w:val="FFFFFF" w:themeColor="background1"/>
                <w:sz w:val="18"/>
                <w:szCs w:val="18"/>
              </w:rPr>
            </w:pPr>
            <w:r w:rsidRPr="0029063E">
              <w:rPr>
                <w:color w:val="FFFFFF" w:themeColor="background1"/>
                <w:sz w:val="18"/>
                <w:szCs w:val="18"/>
              </w:rPr>
              <w:t>Progetto</w:t>
            </w:r>
          </w:p>
        </w:tc>
        <w:tc>
          <w:tcPr>
            <w:tcW w:w="823" w:type="pct"/>
            <w:tcBorders>
              <w:top w:val="single" w:sz="4" w:space="0" w:color="auto"/>
              <w:left w:val="single" w:sz="4" w:space="0" w:color="auto"/>
              <w:bottom w:val="single" w:sz="4" w:space="0" w:color="auto"/>
              <w:right w:val="single" w:sz="4" w:space="0" w:color="auto"/>
            </w:tcBorders>
            <w:shd w:val="clear" w:color="auto" w:fill="669748" w:themeFill="accent2" w:themeFillShade="BF"/>
            <w:vAlign w:val="center"/>
          </w:tcPr>
          <w:p w14:paraId="4C1ECAE5" w14:textId="77777777" w:rsidR="003B3DCA" w:rsidRPr="0029063E" w:rsidRDefault="003B3DCA" w:rsidP="00AF58DF">
            <w:pPr>
              <w:keepNext/>
              <w:keepLines/>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29063E">
              <w:rPr>
                <w:color w:val="FFFFFF" w:themeColor="background1"/>
                <w:sz w:val="18"/>
                <w:szCs w:val="18"/>
              </w:rPr>
              <w:t>Soggetto capofila e sede legale</w:t>
            </w:r>
          </w:p>
        </w:tc>
        <w:tc>
          <w:tcPr>
            <w:tcW w:w="858" w:type="pct"/>
            <w:tcBorders>
              <w:top w:val="single" w:sz="4" w:space="0" w:color="auto"/>
              <w:left w:val="single" w:sz="4" w:space="0" w:color="auto"/>
              <w:bottom w:val="single" w:sz="4" w:space="0" w:color="auto"/>
              <w:right w:val="single" w:sz="4" w:space="0" w:color="auto"/>
            </w:tcBorders>
            <w:shd w:val="clear" w:color="auto" w:fill="669748" w:themeFill="accent2" w:themeFillShade="BF"/>
            <w:vAlign w:val="center"/>
          </w:tcPr>
          <w:p w14:paraId="545A9A71" w14:textId="77777777" w:rsidR="003B3DCA" w:rsidRPr="0029063E" w:rsidRDefault="003B3DCA" w:rsidP="00AF58DF">
            <w:pPr>
              <w:keepNext/>
              <w:keepLines/>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29063E">
              <w:rPr>
                <w:color w:val="FFFFFF" w:themeColor="background1"/>
                <w:sz w:val="18"/>
                <w:szCs w:val="18"/>
              </w:rPr>
              <w:t>Partner e incubatore</w:t>
            </w:r>
          </w:p>
        </w:tc>
        <w:tc>
          <w:tcPr>
            <w:tcW w:w="858" w:type="pct"/>
            <w:tcBorders>
              <w:top w:val="single" w:sz="4" w:space="0" w:color="auto"/>
              <w:left w:val="single" w:sz="4" w:space="0" w:color="auto"/>
              <w:bottom w:val="single" w:sz="4" w:space="0" w:color="auto"/>
              <w:right w:val="single" w:sz="4" w:space="0" w:color="auto"/>
            </w:tcBorders>
            <w:shd w:val="clear" w:color="auto" w:fill="669748" w:themeFill="accent2" w:themeFillShade="BF"/>
            <w:vAlign w:val="center"/>
          </w:tcPr>
          <w:p w14:paraId="32E3C66E" w14:textId="77777777" w:rsidR="003B3DCA" w:rsidRPr="0029063E" w:rsidRDefault="003B3DCA" w:rsidP="00AF58DF">
            <w:pPr>
              <w:keepNext/>
              <w:keepLines/>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29063E">
              <w:rPr>
                <w:color w:val="FFFFFF" w:themeColor="background1"/>
                <w:sz w:val="18"/>
                <w:szCs w:val="18"/>
              </w:rPr>
              <w:t>Contributo assegnato (in euro)</w:t>
            </w:r>
          </w:p>
        </w:tc>
        <w:tc>
          <w:tcPr>
            <w:tcW w:w="1486" w:type="pct"/>
            <w:tcBorders>
              <w:top w:val="single" w:sz="4" w:space="0" w:color="auto"/>
              <w:left w:val="single" w:sz="4" w:space="0" w:color="auto"/>
              <w:bottom w:val="single" w:sz="4" w:space="0" w:color="auto"/>
              <w:right w:val="single" w:sz="4" w:space="0" w:color="auto"/>
            </w:tcBorders>
            <w:shd w:val="clear" w:color="auto" w:fill="669748" w:themeFill="accent2" w:themeFillShade="BF"/>
            <w:vAlign w:val="center"/>
          </w:tcPr>
          <w:p w14:paraId="67403A95" w14:textId="77777777" w:rsidR="003B3DCA" w:rsidRPr="0029063E" w:rsidRDefault="003B3DCA" w:rsidP="00AF58DF">
            <w:pPr>
              <w:keepNext/>
              <w:keepLines/>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29063E">
              <w:rPr>
                <w:color w:val="FFFFFF" w:themeColor="background1"/>
                <w:sz w:val="18"/>
                <w:szCs w:val="18"/>
              </w:rPr>
              <w:t>Ambito di intervento</w:t>
            </w:r>
          </w:p>
        </w:tc>
      </w:tr>
      <w:tr w:rsidR="003B3DCA" w:rsidRPr="00086023" w14:paraId="70E1F039" w14:textId="77777777" w:rsidTr="00290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 w:type="pct"/>
            <w:tcBorders>
              <w:top w:val="single" w:sz="4" w:space="0" w:color="auto"/>
            </w:tcBorders>
            <w:shd w:val="clear" w:color="auto" w:fill="auto"/>
            <w:vAlign w:val="center"/>
          </w:tcPr>
          <w:p w14:paraId="74764147" w14:textId="77777777" w:rsidR="003B3DCA" w:rsidRPr="00086023" w:rsidRDefault="003B3DCA" w:rsidP="009E7B46">
            <w:pPr>
              <w:keepNext/>
              <w:keepLines/>
              <w:jc w:val="left"/>
              <w:rPr>
                <w:b w:val="0"/>
                <w:bCs w:val="0"/>
                <w:sz w:val="18"/>
                <w:szCs w:val="18"/>
              </w:rPr>
            </w:pPr>
            <w:r w:rsidRPr="00086023">
              <w:rPr>
                <w:sz w:val="18"/>
                <w:szCs w:val="18"/>
              </w:rPr>
              <w:t>ARCHEO UP. CONOSCERE IL PASSATO PER PROGETTARE IL FUTURO</w:t>
            </w:r>
          </w:p>
        </w:tc>
        <w:tc>
          <w:tcPr>
            <w:tcW w:w="823" w:type="pct"/>
            <w:tcBorders>
              <w:top w:val="single" w:sz="4" w:space="0" w:color="auto"/>
            </w:tcBorders>
            <w:shd w:val="clear" w:color="auto" w:fill="auto"/>
            <w:vAlign w:val="center"/>
          </w:tcPr>
          <w:p w14:paraId="77B32DA9" w14:textId="77777777" w:rsidR="003B3DCA" w:rsidRPr="00086023"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r w:rsidRPr="00086023">
              <w:rPr>
                <w:sz w:val="18"/>
                <w:szCs w:val="18"/>
              </w:rPr>
              <w:t>UNIVERSITÀ CATTOLICA DEL SACRO CUORE</w:t>
            </w:r>
          </w:p>
          <w:p w14:paraId="2FEBA9C0" w14:textId="77777777" w:rsidR="003B3DCA" w:rsidRPr="00086023"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r w:rsidRPr="00086023">
              <w:rPr>
                <w:sz w:val="18"/>
                <w:szCs w:val="18"/>
              </w:rPr>
              <w:t>Milano</w:t>
            </w:r>
          </w:p>
        </w:tc>
        <w:tc>
          <w:tcPr>
            <w:tcW w:w="858" w:type="pct"/>
            <w:tcBorders>
              <w:top w:val="single" w:sz="4" w:space="0" w:color="auto"/>
            </w:tcBorders>
            <w:shd w:val="clear" w:color="auto" w:fill="auto"/>
            <w:vAlign w:val="center"/>
          </w:tcPr>
          <w:p w14:paraId="7EDC003D" w14:textId="77777777" w:rsidR="003B3DCA"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Nessun partner</w:t>
            </w:r>
          </w:p>
          <w:p w14:paraId="59022E07" w14:textId="77777777" w:rsidR="003B3DCA"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p>
          <w:p w14:paraId="43ACA4C6" w14:textId="77777777" w:rsidR="003B3DCA" w:rsidRPr="00086023"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2i3T Incubatore d’Impresa dell’Università degli Studi di Torino</w:t>
            </w:r>
          </w:p>
        </w:tc>
        <w:tc>
          <w:tcPr>
            <w:tcW w:w="858" w:type="pct"/>
            <w:tcBorders>
              <w:top w:val="single" w:sz="4" w:space="0" w:color="auto"/>
            </w:tcBorders>
            <w:shd w:val="clear" w:color="auto" w:fill="auto"/>
            <w:vAlign w:val="center"/>
          </w:tcPr>
          <w:p w14:paraId="513A1ECA" w14:textId="77777777" w:rsidR="003B3DCA" w:rsidRPr="00086023"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r w:rsidRPr="00086023">
              <w:rPr>
                <w:sz w:val="18"/>
                <w:szCs w:val="18"/>
              </w:rPr>
              <w:t>200.480,00</w:t>
            </w:r>
          </w:p>
        </w:tc>
        <w:tc>
          <w:tcPr>
            <w:tcW w:w="1486" w:type="pct"/>
            <w:tcBorders>
              <w:top w:val="single" w:sz="4" w:space="0" w:color="auto"/>
            </w:tcBorders>
            <w:shd w:val="clear" w:color="auto" w:fill="auto"/>
            <w:vAlign w:val="center"/>
          </w:tcPr>
          <w:p w14:paraId="3DBC0393" w14:textId="77777777" w:rsidR="003B3DCA" w:rsidRPr="00086023" w:rsidRDefault="003B3DCA" w:rsidP="00AF58DF">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086023">
              <w:rPr>
                <w:sz w:val="18"/>
                <w:szCs w:val="18"/>
              </w:rPr>
              <w:t>Settore principale: patrimonio culturale (musei, complessi monumentali); Settore secondario: industrie culturali: editoria (comprese le sue declinazioni multimediali).</w:t>
            </w:r>
          </w:p>
        </w:tc>
      </w:tr>
      <w:tr w:rsidR="003B3DCA" w:rsidRPr="00086023" w14:paraId="4DEDA8A0" w14:textId="77777777" w:rsidTr="009E7B46">
        <w:tc>
          <w:tcPr>
            <w:cnfStyle w:val="001000000000" w:firstRow="0" w:lastRow="0" w:firstColumn="1" w:lastColumn="0" w:oddVBand="0" w:evenVBand="0" w:oddHBand="0" w:evenHBand="0" w:firstRowFirstColumn="0" w:firstRowLastColumn="0" w:lastRowFirstColumn="0" w:lastRowLastColumn="0"/>
            <w:tcW w:w="974" w:type="pct"/>
            <w:shd w:val="clear" w:color="auto" w:fill="auto"/>
            <w:vAlign w:val="center"/>
          </w:tcPr>
          <w:p w14:paraId="26C9A209" w14:textId="77777777" w:rsidR="003B3DCA" w:rsidRPr="00086023" w:rsidRDefault="003B3DCA" w:rsidP="009E7B46">
            <w:pPr>
              <w:keepNext/>
              <w:keepLines/>
              <w:jc w:val="left"/>
              <w:rPr>
                <w:b w:val="0"/>
                <w:bCs w:val="0"/>
                <w:sz w:val="18"/>
                <w:szCs w:val="18"/>
              </w:rPr>
            </w:pPr>
            <w:r w:rsidRPr="00086023">
              <w:rPr>
                <w:sz w:val="18"/>
                <w:szCs w:val="18"/>
              </w:rPr>
              <w:t>IC3: IMPRESE CULTURALI E CREATIVE A CREMONA</w:t>
            </w:r>
          </w:p>
        </w:tc>
        <w:tc>
          <w:tcPr>
            <w:tcW w:w="823" w:type="pct"/>
            <w:shd w:val="clear" w:color="auto" w:fill="auto"/>
            <w:vAlign w:val="center"/>
          </w:tcPr>
          <w:p w14:paraId="2059F954" w14:textId="77777777" w:rsidR="003B3DCA" w:rsidRPr="00086023"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sz w:val="18"/>
                <w:szCs w:val="18"/>
              </w:rPr>
            </w:pPr>
            <w:r w:rsidRPr="00086023">
              <w:rPr>
                <w:sz w:val="18"/>
                <w:szCs w:val="18"/>
              </w:rPr>
              <w:t>FIDIA S.R.L.</w:t>
            </w:r>
          </w:p>
          <w:p w14:paraId="36BEDEFD" w14:textId="77777777" w:rsidR="003B3DCA" w:rsidRPr="00086023"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sz w:val="18"/>
                <w:szCs w:val="18"/>
              </w:rPr>
            </w:pPr>
            <w:r w:rsidRPr="00086023">
              <w:rPr>
                <w:sz w:val="18"/>
                <w:szCs w:val="18"/>
              </w:rPr>
              <w:t>Cremona</w:t>
            </w:r>
          </w:p>
        </w:tc>
        <w:tc>
          <w:tcPr>
            <w:tcW w:w="858" w:type="pct"/>
            <w:shd w:val="clear" w:color="auto" w:fill="auto"/>
            <w:vAlign w:val="center"/>
          </w:tcPr>
          <w:p w14:paraId="537D50B9" w14:textId="77777777" w:rsidR="003B3DCA" w:rsidRPr="00086023"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INLAB S.R.L.</w:t>
            </w:r>
          </w:p>
        </w:tc>
        <w:tc>
          <w:tcPr>
            <w:tcW w:w="858" w:type="pct"/>
            <w:shd w:val="clear" w:color="auto" w:fill="auto"/>
            <w:vAlign w:val="center"/>
          </w:tcPr>
          <w:p w14:paraId="098EA79F" w14:textId="77777777" w:rsidR="003B3DCA" w:rsidRPr="00086023"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sz w:val="18"/>
                <w:szCs w:val="18"/>
              </w:rPr>
            </w:pPr>
            <w:r w:rsidRPr="00086023">
              <w:rPr>
                <w:sz w:val="18"/>
                <w:szCs w:val="18"/>
              </w:rPr>
              <w:t>322.305,20</w:t>
            </w:r>
          </w:p>
        </w:tc>
        <w:tc>
          <w:tcPr>
            <w:tcW w:w="1486" w:type="pct"/>
            <w:shd w:val="clear" w:color="auto" w:fill="auto"/>
            <w:vAlign w:val="center"/>
          </w:tcPr>
          <w:p w14:paraId="40C12D25" w14:textId="77777777" w:rsidR="003B3DCA" w:rsidRPr="00086023" w:rsidRDefault="003B3DCA" w:rsidP="00AF58DF">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086023">
              <w:rPr>
                <w:sz w:val="18"/>
                <w:szCs w:val="18"/>
              </w:rPr>
              <w:t>musica e patrimonio della cultura musicale</w:t>
            </w:r>
          </w:p>
        </w:tc>
      </w:tr>
      <w:tr w:rsidR="003B3DCA" w:rsidRPr="00086023" w14:paraId="0AD1D53D"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 w:type="pct"/>
            <w:shd w:val="clear" w:color="auto" w:fill="auto"/>
            <w:vAlign w:val="center"/>
          </w:tcPr>
          <w:p w14:paraId="316AE734" w14:textId="77777777" w:rsidR="003B3DCA" w:rsidRPr="00086023" w:rsidRDefault="003B3DCA" w:rsidP="009E7B46">
            <w:pPr>
              <w:keepNext/>
              <w:keepLines/>
              <w:jc w:val="left"/>
              <w:rPr>
                <w:b w:val="0"/>
                <w:bCs w:val="0"/>
                <w:sz w:val="18"/>
                <w:szCs w:val="18"/>
              </w:rPr>
            </w:pPr>
            <w:r w:rsidRPr="00086023">
              <w:rPr>
                <w:sz w:val="18"/>
                <w:szCs w:val="18"/>
              </w:rPr>
              <w:t>CLIC – CREAZIONE IN LOMBARDIA DI IMPRESE CULTURALI</w:t>
            </w:r>
          </w:p>
        </w:tc>
        <w:tc>
          <w:tcPr>
            <w:tcW w:w="823" w:type="pct"/>
            <w:shd w:val="clear" w:color="auto" w:fill="auto"/>
            <w:vAlign w:val="center"/>
          </w:tcPr>
          <w:p w14:paraId="6D349100" w14:textId="77777777" w:rsidR="003B3DCA" w:rsidRPr="00086023"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r w:rsidRPr="00086023">
              <w:rPr>
                <w:sz w:val="18"/>
                <w:szCs w:val="18"/>
              </w:rPr>
              <w:t>FONDAZIONE POLITECNICO DI MILANO</w:t>
            </w:r>
          </w:p>
          <w:p w14:paraId="14ABA869" w14:textId="77777777" w:rsidR="003B3DCA" w:rsidRPr="00086023"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r w:rsidRPr="00086023">
              <w:rPr>
                <w:sz w:val="18"/>
                <w:szCs w:val="18"/>
              </w:rPr>
              <w:t>Milano</w:t>
            </w:r>
          </w:p>
        </w:tc>
        <w:tc>
          <w:tcPr>
            <w:tcW w:w="858" w:type="pct"/>
            <w:shd w:val="clear" w:color="auto" w:fill="auto"/>
            <w:vAlign w:val="center"/>
          </w:tcPr>
          <w:p w14:paraId="18687DEB" w14:textId="77777777" w:rsidR="003B3DCA"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AFOL METROPOLITANA</w:t>
            </w:r>
          </w:p>
          <w:p w14:paraId="7BB35591" w14:textId="77777777" w:rsidR="003B3DCA"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p>
          <w:p w14:paraId="29E69A88" w14:textId="77777777" w:rsidR="003B3DCA" w:rsidRPr="00086023"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POLIHUB</w:t>
            </w:r>
          </w:p>
        </w:tc>
        <w:tc>
          <w:tcPr>
            <w:tcW w:w="858" w:type="pct"/>
            <w:shd w:val="clear" w:color="auto" w:fill="auto"/>
            <w:vAlign w:val="center"/>
          </w:tcPr>
          <w:p w14:paraId="0EC31AD1" w14:textId="77777777" w:rsidR="003B3DCA" w:rsidRPr="00086023"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r w:rsidRPr="00086023">
              <w:rPr>
                <w:sz w:val="18"/>
                <w:szCs w:val="18"/>
              </w:rPr>
              <w:t>394.100,00</w:t>
            </w:r>
          </w:p>
        </w:tc>
        <w:tc>
          <w:tcPr>
            <w:tcW w:w="1486" w:type="pct"/>
            <w:shd w:val="clear" w:color="auto" w:fill="auto"/>
            <w:vAlign w:val="center"/>
          </w:tcPr>
          <w:p w14:paraId="6DE87B5F" w14:textId="77777777" w:rsidR="003B3DCA" w:rsidRPr="00086023" w:rsidRDefault="003B3DCA" w:rsidP="00AF58DF">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086023">
              <w:rPr>
                <w:sz w:val="18"/>
                <w:szCs w:val="18"/>
              </w:rPr>
              <w:t>musica, arti applicate, cinematografia, audiovisivo, musei, patrimonio culturale e processi di innovazione ad esso collegati</w:t>
            </w:r>
          </w:p>
        </w:tc>
      </w:tr>
      <w:tr w:rsidR="003B3DCA" w:rsidRPr="00086023" w14:paraId="56795C34" w14:textId="77777777" w:rsidTr="009E7B46">
        <w:tc>
          <w:tcPr>
            <w:cnfStyle w:val="001000000000" w:firstRow="0" w:lastRow="0" w:firstColumn="1" w:lastColumn="0" w:oddVBand="0" w:evenVBand="0" w:oddHBand="0" w:evenHBand="0" w:firstRowFirstColumn="0" w:firstRowLastColumn="0" w:lastRowFirstColumn="0" w:lastRowLastColumn="0"/>
            <w:tcW w:w="974" w:type="pct"/>
            <w:shd w:val="clear" w:color="auto" w:fill="auto"/>
            <w:vAlign w:val="center"/>
          </w:tcPr>
          <w:p w14:paraId="2EEE4407" w14:textId="77777777" w:rsidR="003B3DCA" w:rsidRPr="00B67671" w:rsidRDefault="003B3DCA" w:rsidP="009E7B46">
            <w:pPr>
              <w:keepNext/>
              <w:keepLines/>
              <w:jc w:val="left"/>
              <w:rPr>
                <w:b w:val="0"/>
                <w:bCs w:val="0"/>
                <w:sz w:val="18"/>
                <w:szCs w:val="18"/>
                <w:lang w:val="en-GB"/>
              </w:rPr>
            </w:pPr>
            <w:r w:rsidRPr="00827E4D">
              <w:rPr>
                <w:sz w:val="18"/>
                <w:szCs w:val="18"/>
                <w:lang w:val="en-GB"/>
              </w:rPr>
              <w:t>STARTS - CREATIVE DRIVEN INNOVATION FROM HERI(TAG)E TO FUTURE</w:t>
            </w:r>
          </w:p>
        </w:tc>
        <w:tc>
          <w:tcPr>
            <w:tcW w:w="823" w:type="pct"/>
            <w:shd w:val="clear" w:color="auto" w:fill="auto"/>
            <w:vAlign w:val="center"/>
          </w:tcPr>
          <w:p w14:paraId="05B4833C" w14:textId="77777777" w:rsidR="003B3DCA" w:rsidRPr="00086023"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sz w:val="18"/>
                <w:szCs w:val="18"/>
              </w:rPr>
            </w:pPr>
            <w:r w:rsidRPr="00086023">
              <w:rPr>
                <w:sz w:val="18"/>
                <w:szCs w:val="18"/>
              </w:rPr>
              <w:t>SOCIETÀ UMANITARIA</w:t>
            </w:r>
          </w:p>
          <w:p w14:paraId="791B3B3B" w14:textId="77777777" w:rsidR="003B3DCA" w:rsidRPr="00086023"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sz w:val="18"/>
                <w:szCs w:val="18"/>
              </w:rPr>
            </w:pPr>
            <w:r w:rsidRPr="00086023">
              <w:rPr>
                <w:sz w:val="18"/>
                <w:szCs w:val="18"/>
              </w:rPr>
              <w:t>Milano</w:t>
            </w:r>
          </w:p>
        </w:tc>
        <w:tc>
          <w:tcPr>
            <w:tcW w:w="858" w:type="pct"/>
            <w:shd w:val="clear" w:color="auto" w:fill="auto"/>
            <w:vAlign w:val="center"/>
          </w:tcPr>
          <w:p w14:paraId="24BC4D9B" w14:textId="77777777" w:rsidR="003B3DCA" w:rsidRPr="00014FA7"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14FA7">
              <w:rPr>
                <w:sz w:val="18"/>
                <w:szCs w:val="18"/>
                <w:lang w:val="en-US"/>
              </w:rPr>
              <w:t>MIDA CONSULTING</w:t>
            </w:r>
          </w:p>
          <w:p w14:paraId="66FA00DB" w14:textId="77777777" w:rsidR="003B3DCA" w:rsidRPr="00014FA7"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sz w:val="18"/>
                <w:szCs w:val="18"/>
                <w:lang w:val="en-US"/>
              </w:rPr>
            </w:pPr>
          </w:p>
          <w:p w14:paraId="1FFFD1B0" w14:textId="77777777" w:rsidR="003B3DCA" w:rsidRPr="00014FA7"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014FA7">
              <w:rPr>
                <w:sz w:val="18"/>
                <w:szCs w:val="18"/>
                <w:lang w:val="en-US"/>
              </w:rPr>
              <w:t>IMPACT HUB SRL</w:t>
            </w:r>
          </w:p>
        </w:tc>
        <w:tc>
          <w:tcPr>
            <w:tcW w:w="858" w:type="pct"/>
            <w:shd w:val="clear" w:color="auto" w:fill="auto"/>
            <w:vAlign w:val="center"/>
          </w:tcPr>
          <w:p w14:paraId="341C17A4" w14:textId="77777777" w:rsidR="003B3DCA" w:rsidRPr="00827E4D"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086023">
              <w:rPr>
                <w:sz w:val="18"/>
                <w:szCs w:val="18"/>
              </w:rPr>
              <w:t>398.244,00</w:t>
            </w:r>
          </w:p>
        </w:tc>
        <w:tc>
          <w:tcPr>
            <w:tcW w:w="1486" w:type="pct"/>
            <w:shd w:val="clear" w:color="auto" w:fill="auto"/>
            <w:vAlign w:val="center"/>
          </w:tcPr>
          <w:p w14:paraId="34C3CC17" w14:textId="77777777" w:rsidR="003B3DCA" w:rsidRPr="00086023" w:rsidRDefault="003B3DCA" w:rsidP="00AF58DF">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086023">
              <w:rPr>
                <w:sz w:val="18"/>
                <w:szCs w:val="18"/>
              </w:rPr>
              <w:t>arti espositive, nel settore museale e dei servizi di promozione del patrimonio culturale</w:t>
            </w:r>
          </w:p>
        </w:tc>
      </w:tr>
      <w:tr w:rsidR="003B3DCA" w:rsidRPr="00086023" w14:paraId="558A1906" w14:textId="77777777" w:rsidTr="009E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 w:type="pct"/>
            <w:shd w:val="clear" w:color="auto" w:fill="auto"/>
            <w:vAlign w:val="center"/>
          </w:tcPr>
          <w:p w14:paraId="08D32C88" w14:textId="77777777" w:rsidR="003B3DCA" w:rsidRPr="00086023" w:rsidRDefault="003B3DCA" w:rsidP="009E7B46">
            <w:pPr>
              <w:keepNext/>
              <w:keepLines/>
              <w:jc w:val="left"/>
              <w:rPr>
                <w:b w:val="0"/>
                <w:bCs w:val="0"/>
                <w:sz w:val="18"/>
                <w:szCs w:val="18"/>
              </w:rPr>
            </w:pPr>
            <w:r w:rsidRPr="00086023">
              <w:rPr>
                <w:sz w:val="18"/>
                <w:szCs w:val="18"/>
              </w:rPr>
              <w:t>E=MC2 - ENTERPRISE=MOVING CREATIVE CULTURE</w:t>
            </w:r>
          </w:p>
        </w:tc>
        <w:tc>
          <w:tcPr>
            <w:tcW w:w="823" w:type="pct"/>
            <w:shd w:val="clear" w:color="auto" w:fill="auto"/>
            <w:vAlign w:val="center"/>
          </w:tcPr>
          <w:p w14:paraId="286017A1" w14:textId="77777777" w:rsidR="003B3DCA" w:rsidRPr="00086023"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r w:rsidRPr="00086023">
              <w:rPr>
                <w:sz w:val="18"/>
                <w:szCs w:val="18"/>
              </w:rPr>
              <w:t>AFOL METROPOLITANA</w:t>
            </w:r>
          </w:p>
          <w:p w14:paraId="09773423" w14:textId="77777777" w:rsidR="003B3DCA" w:rsidRPr="00086023"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r w:rsidRPr="00086023">
              <w:rPr>
                <w:sz w:val="18"/>
                <w:szCs w:val="18"/>
              </w:rPr>
              <w:t>Milano</w:t>
            </w:r>
          </w:p>
        </w:tc>
        <w:tc>
          <w:tcPr>
            <w:tcW w:w="858" w:type="pct"/>
            <w:shd w:val="clear" w:color="auto" w:fill="auto"/>
            <w:vAlign w:val="center"/>
          </w:tcPr>
          <w:p w14:paraId="3D17E27B" w14:textId="77777777" w:rsidR="003B3DCA"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CENTRO ITARD</w:t>
            </w:r>
          </w:p>
          <w:p w14:paraId="58585243" w14:textId="77777777" w:rsidR="003B3DCA"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p>
          <w:p w14:paraId="4F58BC6A" w14:textId="77777777" w:rsidR="003B3DCA" w:rsidRPr="00086023"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INCUBATORE COMO NEXT</w:t>
            </w:r>
          </w:p>
        </w:tc>
        <w:tc>
          <w:tcPr>
            <w:tcW w:w="858" w:type="pct"/>
            <w:shd w:val="clear" w:color="auto" w:fill="auto"/>
            <w:vAlign w:val="center"/>
          </w:tcPr>
          <w:p w14:paraId="1A4113D0" w14:textId="77777777" w:rsidR="003B3DCA" w:rsidRPr="00086023" w:rsidRDefault="003B3DCA" w:rsidP="00AF58DF">
            <w:pPr>
              <w:keepNext/>
              <w:keepLines/>
              <w:jc w:val="center"/>
              <w:cnfStyle w:val="000000100000" w:firstRow="0" w:lastRow="0" w:firstColumn="0" w:lastColumn="0" w:oddVBand="0" w:evenVBand="0" w:oddHBand="1" w:evenHBand="0" w:firstRowFirstColumn="0" w:firstRowLastColumn="0" w:lastRowFirstColumn="0" w:lastRowLastColumn="0"/>
              <w:rPr>
                <w:sz w:val="18"/>
                <w:szCs w:val="18"/>
              </w:rPr>
            </w:pPr>
            <w:r w:rsidRPr="00086023">
              <w:rPr>
                <w:sz w:val="18"/>
                <w:szCs w:val="18"/>
              </w:rPr>
              <w:t>313.399,14</w:t>
            </w:r>
          </w:p>
        </w:tc>
        <w:tc>
          <w:tcPr>
            <w:tcW w:w="1486" w:type="pct"/>
            <w:shd w:val="clear" w:color="auto" w:fill="auto"/>
            <w:vAlign w:val="center"/>
          </w:tcPr>
          <w:p w14:paraId="4DA1DC37" w14:textId="77777777" w:rsidR="003B3DCA" w:rsidRPr="00086023" w:rsidRDefault="003B3DCA" w:rsidP="00AF58DF">
            <w:pPr>
              <w:keepNext/>
              <w:keepLines/>
              <w:cnfStyle w:val="000000100000" w:firstRow="0" w:lastRow="0" w:firstColumn="0" w:lastColumn="0" w:oddVBand="0" w:evenVBand="0" w:oddHBand="1" w:evenHBand="0" w:firstRowFirstColumn="0" w:firstRowLastColumn="0" w:lastRowFirstColumn="0" w:lastRowLastColumn="0"/>
              <w:rPr>
                <w:sz w:val="18"/>
                <w:szCs w:val="18"/>
              </w:rPr>
            </w:pPr>
            <w:r w:rsidRPr="00086023">
              <w:rPr>
                <w:sz w:val="18"/>
                <w:szCs w:val="18"/>
              </w:rPr>
              <w:t xml:space="preserve">video e cinema (fiction, documentari, animazione…) - editoria -comunicazione visiva (fotografia, grafica, </w:t>
            </w:r>
            <w:r w:rsidRPr="00CE6F82">
              <w:rPr>
                <w:i/>
                <w:iCs/>
                <w:sz w:val="18"/>
                <w:szCs w:val="18"/>
              </w:rPr>
              <w:t xml:space="preserve">digital </w:t>
            </w:r>
            <w:proofErr w:type="spellStart"/>
            <w:r w:rsidRPr="00CE6F82">
              <w:rPr>
                <w:i/>
                <w:iCs/>
                <w:sz w:val="18"/>
                <w:szCs w:val="18"/>
              </w:rPr>
              <w:t>innovation</w:t>
            </w:r>
            <w:proofErr w:type="spellEnd"/>
            <w:r w:rsidRPr="00086023">
              <w:rPr>
                <w:sz w:val="18"/>
                <w:szCs w:val="18"/>
              </w:rPr>
              <w:t xml:space="preserve">) - arti visive e performative </w:t>
            </w:r>
          </w:p>
        </w:tc>
      </w:tr>
      <w:tr w:rsidR="003B3DCA" w:rsidRPr="00086023" w14:paraId="5F899B7E" w14:textId="77777777" w:rsidTr="009E7B46">
        <w:tc>
          <w:tcPr>
            <w:cnfStyle w:val="001000000000" w:firstRow="0" w:lastRow="0" w:firstColumn="1" w:lastColumn="0" w:oddVBand="0" w:evenVBand="0" w:oddHBand="0" w:evenHBand="0" w:firstRowFirstColumn="0" w:firstRowLastColumn="0" w:lastRowFirstColumn="0" w:lastRowLastColumn="0"/>
            <w:tcW w:w="974" w:type="pct"/>
            <w:shd w:val="clear" w:color="auto" w:fill="auto"/>
            <w:vAlign w:val="center"/>
          </w:tcPr>
          <w:p w14:paraId="2DEEDC5D" w14:textId="77777777" w:rsidR="003B3DCA" w:rsidRPr="00086023" w:rsidRDefault="003B3DCA" w:rsidP="009E7B46">
            <w:pPr>
              <w:keepNext/>
              <w:keepLines/>
              <w:jc w:val="left"/>
              <w:rPr>
                <w:b w:val="0"/>
                <w:bCs w:val="0"/>
                <w:sz w:val="18"/>
                <w:szCs w:val="18"/>
              </w:rPr>
            </w:pPr>
            <w:r w:rsidRPr="00086023">
              <w:rPr>
                <w:sz w:val="18"/>
                <w:szCs w:val="18"/>
              </w:rPr>
              <w:t>YOUNG MUSIC GENERATION</w:t>
            </w:r>
          </w:p>
        </w:tc>
        <w:tc>
          <w:tcPr>
            <w:tcW w:w="823" w:type="pct"/>
            <w:shd w:val="clear" w:color="auto" w:fill="auto"/>
            <w:vAlign w:val="center"/>
          </w:tcPr>
          <w:p w14:paraId="3F88A5D1" w14:textId="77777777" w:rsidR="003B3DCA" w:rsidRPr="00086023"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sz w:val="18"/>
                <w:szCs w:val="18"/>
              </w:rPr>
            </w:pPr>
            <w:r w:rsidRPr="00086023">
              <w:rPr>
                <w:sz w:val="18"/>
                <w:szCs w:val="18"/>
              </w:rPr>
              <w:t>SISTEMA IMPRESE SOCIALI CONSORZIO COOP. SOCIALI DI SOLIDARIETA</w:t>
            </w:r>
          </w:p>
          <w:p w14:paraId="784E0815" w14:textId="77777777" w:rsidR="003B3DCA" w:rsidRPr="00086023"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sz w:val="18"/>
                <w:szCs w:val="18"/>
              </w:rPr>
            </w:pPr>
            <w:r w:rsidRPr="00086023">
              <w:rPr>
                <w:sz w:val="18"/>
                <w:szCs w:val="18"/>
              </w:rPr>
              <w:t>Milano'</w:t>
            </w:r>
          </w:p>
        </w:tc>
        <w:tc>
          <w:tcPr>
            <w:tcW w:w="858" w:type="pct"/>
            <w:shd w:val="clear" w:color="auto" w:fill="auto"/>
            <w:vAlign w:val="center"/>
          </w:tcPr>
          <w:p w14:paraId="64990091" w14:textId="77777777" w:rsidR="003B3DCA"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Nessun partner</w:t>
            </w:r>
          </w:p>
          <w:p w14:paraId="5CB7AD17" w14:textId="77777777" w:rsidR="003B3DCA"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sz w:val="18"/>
                <w:szCs w:val="18"/>
              </w:rPr>
            </w:pPr>
          </w:p>
          <w:p w14:paraId="0D783336" w14:textId="77777777" w:rsidR="003B3DCA" w:rsidRPr="00086023"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MAKE A CUBE</w:t>
            </w:r>
          </w:p>
        </w:tc>
        <w:tc>
          <w:tcPr>
            <w:tcW w:w="858" w:type="pct"/>
            <w:shd w:val="clear" w:color="auto" w:fill="auto"/>
            <w:vAlign w:val="center"/>
          </w:tcPr>
          <w:p w14:paraId="575148A7" w14:textId="77777777" w:rsidR="003B3DCA" w:rsidRPr="00086023" w:rsidRDefault="003B3DCA" w:rsidP="00AF58DF">
            <w:pPr>
              <w:keepNext/>
              <w:keepLines/>
              <w:jc w:val="center"/>
              <w:cnfStyle w:val="000000000000" w:firstRow="0" w:lastRow="0" w:firstColumn="0" w:lastColumn="0" w:oddVBand="0" w:evenVBand="0" w:oddHBand="0" w:evenHBand="0" w:firstRowFirstColumn="0" w:firstRowLastColumn="0" w:lastRowFirstColumn="0" w:lastRowLastColumn="0"/>
              <w:rPr>
                <w:sz w:val="18"/>
                <w:szCs w:val="18"/>
              </w:rPr>
            </w:pPr>
            <w:r w:rsidRPr="00086023">
              <w:rPr>
                <w:sz w:val="18"/>
                <w:szCs w:val="18"/>
              </w:rPr>
              <w:t>371.471,66</w:t>
            </w:r>
          </w:p>
        </w:tc>
        <w:tc>
          <w:tcPr>
            <w:tcW w:w="1486" w:type="pct"/>
            <w:shd w:val="clear" w:color="auto" w:fill="auto"/>
            <w:vAlign w:val="center"/>
          </w:tcPr>
          <w:p w14:paraId="645D04AF" w14:textId="77777777" w:rsidR="003B3DCA" w:rsidRPr="00086023" w:rsidRDefault="003B3DCA" w:rsidP="00AF58DF">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086023">
              <w:rPr>
                <w:sz w:val="18"/>
                <w:szCs w:val="18"/>
              </w:rPr>
              <w:t>settori della musica, anche in collegamento con alcuni settori che arricchiscono la produzione e la distribuzione musicale, quali l’audiovisivo, spettacolo, letteratura, cinema, teatro, fotografia, digitale</w:t>
            </w:r>
          </w:p>
        </w:tc>
      </w:tr>
    </w:tbl>
    <w:p w14:paraId="3D1F1C85" w14:textId="77777777" w:rsidR="003B3DCA" w:rsidRPr="00894AEA" w:rsidRDefault="003B3DCA" w:rsidP="00E17935">
      <w:pPr>
        <w:pStyle w:val="Fonte"/>
      </w:pPr>
      <w:r w:rsidRPr="00894AEA">
        <w:t xml:space="preserve">Fonte: “Rapporto di valutazione tematica 2021”, </w:t>
      </w:r>
      <w:r w:rsidRPr="00894AEA">
        <w:rPr>
          <w:rFonts w:cs="Calibri"/>
          <w:color w:val="222222"/>
        </w:rPr>
        <w:t>RTI IRS-COGEA</w:t>
      </w:r>
    </w:p>
    <w:p w14:paraId="6D95FBCC" w14:textId="77777777" w:rsidR="00E17935" w:rsidRDefault="00E17935" w:rsidP="003B3DCA">
      <w:pPr>
        <w:keepNext/>
        <w:keepLines/>
        <w:rPr>
          <w:rFonts w:cs="Calibri"/>
          <w:iCs/>
          <w:color w:val="222222"/>
          <w:szCs w:val="22"/>
        </w:rPr>
      </w:pPr>
    </w:p>
    <w:p w14:paraId="2DE9A703" w14:textId="77777777" w:rsidR="003B3DCA" w:rsidRPr="0091616F" w:rsidRDefault="003B3DCA" w:rsidP="003B3DCA">
      <w:pPr>
        <w:keepNext/>
        <w:keepLines/>
        <w:rPr>
          <w:iCs/>
        </w:rPr>
      </w:pPr>
      <w:r w:rsidRPr="0091616F">
        <w:rPr>
          <w:rFonts w:cs="Calibri"/>
          <w:iCs/>
          <w:color w:val="222222"/>
          <w:szCs w:val="22"/>
        </w:rPr>
        <w:t>Nelle fasi di redazione del “Rapporto di valutazione tematica 2021”, 5 progetti su 6 risultavano in fase di rendicontazione finale, con l’unica eccezione del progetto IC3, realizzato a Cremona, e che ha avuto alcune difficoltà in fase di avvio (e per questo risultava ancora non concluso).</w:t>
      </w:r>
      <w:r w:rsidRPr="0091616F">
        <w:rPr>
          <w:iCs/>
          <w:szCs w:val="22"/>
        </w:rPr>
        <w:t xml:space="preserve"> I progetti hanno a loro volta contribuito all’avvio diverse start-up, come si enuncerà, a titolo esemplificativo e non esaustivo, nel paragrafo successivo.</w:t>
      </w:r>
    </w:p>
    <w:p w14:paraId="77B8F920" w14:textId="77777777" w:rsidR="003B3DCA" w:rsidRDefault="003B3DCA" w:rsidP="003B3DCA">
      <w:r>
        <w:t xml:space="preserve">I </w:t>
      </w:r>
      <w:r w:rsidRPr="00894AEA">
        <w:rPr>
          <w:b/>
        </w:rPr>
        <w:t>destinatari coinvolti</w:t>
      </w:r>
      <w:r>
        <w:t xml:space="preserve"> sono stati in totale </w:t>
      </w:r>
      <w:r w:rsidRPr="00894AEA">
        <w:rPr>
          <w:b/>
        </w:rPr>
        <w:t>153</w:t>
      </w:r>
      <w:r>
        <w:t>, prevedendo criteri di priorità per giovani (15-29 anni) e donne. Le caratteristiche principali dei beneficiari dei fondi sono:</w:t>
      </w:r>
    </w:p>
    <w:p w14:paraId="0E3A3511" w14:textId="77777777" w:rsidR="003B3DCA" w:rsidRDefault="003B3DCA" w:rsidP="0038676D">
      <w:pPr>
        <w:pStyle w:val="Paragrafoelenco"/>
        <w:numPr>
          <w:ilvl w:val="0"/>
          <w:numId w:val="48"/>
        </w:numPr>
      </w:pPr>
      <w:r w:rsidRPr="00ED4A2E">
        <w:t>nel 68% dei casi son i</w:t>
      </w:r>
      <w:r>
        <w:t>n possesso di un diploma di istruzione terziaria (104 su 153);</w:t>
      </w:r>
    </w:p>
    <w:p w14:paraId="6A128B24" w14:textId="77777777" w:rsidR="003B3DCA" w:rsidRDefault="003B3DCA" w:rsidP="0038676D">
      <w:pPr>
        <w:pStyle w:val="Paragrafoelenco"/>
        <w:numPr>
          <w:ilvl w:val="0"/>
          <w:numId w:val="48"/>
        </w:numPr>
      </w:pPr>
      <w:r>
        <w:t>nel 55% sono giovani disoccupati (85 su 153);</w:t>
      </w:r>
    </w:p>
    <w:p w14:paraId="6470C63B" w14:textId="77777777" w:rsidR="003B3DCA" w:rsidRDefault="003B3DCA" w:rsidP="0038676D">
      <w:pPr>
        <w:pStyle w:val="Paragrafoelenco"/>
        <w:numPr>
          <w:ilvl w:val="0"/>
          <w:numId w:val="48"/>
        </w:numPr>
      </w:pPr>
      <w:r>
        <w:t>il 60% ha fra i 18 e i 29 anni (92 su 153);</w:t>
      </w:r>
    </w:p>
    <w:p w14:paraId="5571C3B0" w14:textId="77777777" w:rsidR="003B3DCA" w:rsidRDefault="003B3DCA" w:rsidP="0038676D">
      <w:pPr>
        <w:pStyle w:val="Paragrafoelenco"/>
        <w:numPr>
          <w:ilvl w:val="0"/>
          <w:numId w:val="48"/>
        </w:numPr>
      </w:pPr>
      <w:r>
        <w:t>il 53% sono donne (91 su 153).</w:t>
      </w:r>
    </w:p>
    <w:p w14:paraId="086D1341" w14:textId="77777777" w:rsidR="00A606B0" w:rsidRDefault="00A606B0" w:rsidP="003B3DCA">
      <w:pPr>
        <w:rPr>
          <w:rFonts w:cstheme="minorHAnsi"/>
        </w:rPr>
      </w:pPr>
    </w:p>
    <w:p w14:paraId="5B884FB2" w14:textId="77777777" w:rsidR="003B3DCA" w:rsidRPr="002740CF" w:rsidRDefault="003B3DCA" w:rsidP="003B3DCA">
      <w:pPr>
        <w:rPr>
          <w:rFonts w:cstheme="minorHAnsi"/>
        </w:rPr>
      </w:pPr>
      <w:r>
        <w:rPr>
          <w:rFonts w:cstheme="minorHAnsi"/>
        </w:rPr>
        <w:t xml:space="preserve">La </w:t>
      </w:r>
      <w:r w:rsidR="00A606B0">
        <w:rPr>
          <w:rFonts w:cstheme="minorHAnsi"/>
        </w:rPr>
        <w:t>Tabella q</w:t>
      </w:r>
      <w:r>
        <w:rPr>
          <w:rFonts w:cstheme="minorHAnsi"/>
        </w:rPr>
        <w:t>ui di seguito riassume più nel dettaglio le caratteristiche dei destinatari.</w:t>
      </w:r>
    </w:p>
    <w:p w14:paraId="17664A84" w14:textId="77777777" w:rsidR="003B3DCA" w:rsidRDefault="003B3DCA" w:rsidP="003B3DCA"/>
    <w:p w14:paraId="4A455E2E" w14:textId="77777777" w:rsidR="003B3DCA" w:rsidRPr="00D75E4C" w:rsidRDefault="0029063E" w:rsidP="0029063E">
      <w:pPr>
        <w:pStyle w:val="Didascalia"/>
        <w:rPr>
          <w:b w:val="0"/>
          <w:bCs/>
          <w:i w:val="0"/>
          <w:iCs w:val="0"/>
          <w:sz w:val="22"/>
          <w:szCs w:val="22"/>
        </w:rPr>
      </w:pPr>
      <w:bookmarkStart w:id="132" w:name="_Toc91081465"/>
      <w:r>
        <w:t xml:space="preserve">Tabella </w:t>
      </w:r>
      <w:r w:rsidR="004E6566">
        <w:fldChar w:fldCharType="begin"/>
      </w:r>
      <w:r>
        <w:instrText xml:space="preserve"> SEQ Tabella \* ARABIC </w:instrText>
      </w:r>
      <w:r w:rsidR="004E6566">
        <w:fldChar w:fldCharType="separate"/>
      </w:r>
      <w:r w:rsidR="00E53D6C">
        <w:rPr>
          <w:noProof/>
        </w:rPr>
        <w:t>39</w:t>
      </w:r>
      <w:r w:rsidR="004E6566">
        <w:fldChar w:fldCharType="end"/>
      </w:r>
      <w:r>
        <w:t xml:space="preserve">. </w:t>
      </w:r>
      <w:r w:rsidRPr="004676E0">
        <w:t>Caratteristiche dei destinatari coinvolti</w:t>
      </w:r>
      <w:bookmarkEnd w:id="132"/>
    </w:p>
    <w:tbl>
      <w:tblPr>
        <w:tblStyle w:val="Tabellagriglia4-colore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0"/>
        <w:gridCol w:w="1665"/>
        <w:gridCol w:w="1353"/>
      </w:tblGrid>
      <w:tr w:rsidR="0029063E" w:rsidRPr="0029063E" w14:paraId="22954132" w14:textId="77777777" w:rsidTr="0029063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tcBorders>
              <w:top w:val="none" w:sz="0" w:space="0" w:color="auto"/>
              <w:left w:val="none" w:sz="0" w:space="0" w:color="auto"/>
              <w:bottom w:val="none" w:sz="0" w:space="0" w:color="auto"/>
              <w:right w:val="none" w:sz="0" w:space="0" w:color="auto"/>
            </w:tcBorders>
            <w:shd w:val="clear" w:color="auto" w:fill="8DBB70" w:themeFill="accent2"/>
            <w:noWrap/>
          </w:tcPr>
          <w:p w14:paraId="623AD556" w14:textId="77777777" w:rsidR="003B3DCA" w:rsidRPr="0029063E" w:rsidRDefault="003B3DCA" w:rsidP="00AF58DF">
            <w:pPr>
              <w:keepNext/>
              <w:keepLines/>
              <w:contextualSpacing/>
              <w:jc w:val="center"/>
              <w:rPr>
                <w:rFonts w:eastAsia="Times New Roman" w:cs="Arial"/>
                <w:b w:val="0"/>
                <w:bCs w:val="0"/>
                <w:color w:val="FFFFFF" w:themeColor="background1"/>
                <w:sz w:val="20"/>
                <w:szCs w:val="20"/>
              </w:rPr>
            </w:pPr>
            <w:r w:rsidRPr="0029063E">
              <w:rPr>
                <w:rFonts w:eastAsia="Times New Roman" w:cs="Arial"/>
                <w:color w:val="FFFFFF" w:themeColor="background1"/>
                <w:sz w:val="20"/>
                <w:szCs w:val="20"/>
              </w:rPr>
              <w:t> </w:t>
            </w:r>
          </w:p>
        </w:tc>
        <w:tc>
          <w:tcPr>
            <w:tcW w:w="1701" w:type="dxa"/>
            <w:tcBorders>
              <w:top w:val="none" w:sz="0" w:space="0" w:color="auto"/>
              <w:left w:val="none" w:sz="0" w:space="0" w:color="auto"/>
              <w:bottom w:val="none" w:sz="0" w:space="0" w:color="auto"/>
              <w:right w:val="none" w:sz="0" w:space="0" w:color="auto"/>
            </w:tcBorders>
            <w:shd w:val="clear" w:color="auto" w:fill="8DBB70" w:themeFill="accent2"/>
            <w:noWrap/>
          </w:tcPr>
          <w:p w14:paraId="06174127" w14:textId="77777777" w:rsidR="003B3DCA" w:rsidRPr="0029063E" w:rsidRDefault="003B3DCA" w:rsidP="00AF58DF">
            <w:pPr>
              <w:keepNext/>
              <w:keepLines/>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themeColor="background1"/>
                <w:sz w:val="20"/>
                <w:szCs w:val="20"/>
              </w:rPr>
            </w:pPr>
            <w:r w:rsidRPr="0029063E">
              <w:rPr>
                <w:rFonts w:eastAsia="Times New Roman" w:cs="Arial"/>
                <w:color w:val="FFFFFF" w:themeColor="background1"/>
                <w:sz w:val="20"/>
                <w:szCs w:val="20"/>
              </w:rPr>
              <w:t>N° destinatari</w:t>
            </w:r>
          </w:p>
        </w:tc>
        <w:tc>
          <w:tcPr>
            <w:tcW w:w="1382" w:type="dxa"/>
            <w:tcBorders>
              <w:top w:val="none" w:sz="0" w:space="0" w:color="auto"/>
              <w:left w:val="none" w:sz="0" w:space="0" w:color="auto"/>
              <w:bottom w:val="none" w:sz="0" w:space="0" w:color="auto"/>
              <w:right w:val="none" w:sz="0" w:space="0" w:color="auto"/>
            </w:tcBorders>
            <w:shd w:val="clear" w:color="auto" w:fill="8DBB70" w:themeFill="accent2"/>
            <w:noWrap/>
          </w:tcPr>
          <w:p w14:paraId="452B20C7" w14:textId="77777777" w:rsidR="003B3DCA" w:rsidRPr="0029063E" w:rsidRDefault="003B3DCA" w:rsidP="00AF58DF">
            <w:pPr>
              <w:keepNext/>
              <w:keepLines/>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themeColor="background1"/>
                <w:sz w:val="20"/>
                <w:szCs w:val="20"/>
              </w:rPr>
            </w:pPr>
            <w:r w:rsidRPr="0029063E">
              <w:rPr>
                <w:rFonts w:eastAsia="Times New Roman" w:cs="Arial"/>
                <w:color w:val="FFFFFF" w:themeColor="background1"/>
                <w:sz w:val="20"/>
                <w:szCs w:val="20"/>
              </w:rPr>
              <w:t>% sul totale</w:t>
            </w:r>
          </w:p>
        </w:tc>
      </w:tr>
      <w:tr w:rsidR="003B3DCA" w:rsidRPr="002740CF" w14:paraId="49780988"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854" w:type="dxa"/>
            <w:gridSpan w:val="3"/>
            <w:shd w:val="clear" w:color="auto" w:fill="auto"/>
            <w:noWrap/>
          </w:tcPr>
          <w:p w14:paraId="52F2D8E7" w14:textId="77777777" w:rsidR="003B3DCA" w:rsidRPr="002740CF" w:rsidRDefault="003B3DCA" w:rsidP="00AF58DF">
            <w:pPr>
              <w:keepNext/>
              <w:keepLines/>
              <w:contextualSpacing/>
              <w:rPr>
                <w:rFonts w:eastAsia="Times New Roman" w:cs="Arial"/>
                <w:color w:val="FFFFFF" w:themeColor="background1"/>
                <w:sz w:val="20"/>
                <w:szCs w:val="20"/>
              </w:rPr>
            </w:pPr>
            <w:r w:rsidRPr="002740CF">
              <w:rPr>
                <w:rFonts w:eastAsia="Times New Roman" w:cs="Arial"/>
                <w:color w:val="000000"/>
                <w:sz w:val="20"/>
                <w:szCs w:val="20"/>
              </w:rPr>
              <w:t>GENERE</w:t>
            </w:r>
          </w:p>
        </w:tc>
      </w:tr>
      <w:tr w:rsidR="003B3DCA" w:rsidRPr="002740CF" w14:paraId="4E178104"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1D128AAA" w14:textId="77777777" w:rsidR="003B3DCA" w:rsidRPr="002740CF" w:rsidRDefault="003B3DCA" w:rsidP="00AF58DF">
            <w:pPr>
              <w:keepNext/>
              <w:keepLines/>
              <w:contextualSpacing/>
              <w:rPr>
                <w:rFonts w:cs="Arial"/>
                <w:b w:val="0"/>
                <w:bCs w:val="0"/>
                <w:sz w:val="20"/>
                <w:szCs w:val="20"/>
              </w:rPr>
            </w:pPr>
            <w:r w:rsidRPr="002740CF">
              <w:rPr>
                <w:rFonts w:eastAsia="Times New Roman" w:cs="Arial"/>
                <w:b w:val="0"/>
                <w:bCs w:val="0"/>
                <w:color w:val="000000"/>
                <w:sz w:val="20"/>
                <w:szCs w:val="20"/>
              </w:rPr>
              <w:t>Donna</w:t>
            </w:r>
          </w:p>
        </w:tc>
        <w:tc>
          <w:tcPr>
            <w:tcW w:w="1701" w:type="dxa"/>
            <w:shd w:val="clear" w:color="auto" w:fill="auto"/>
            <w:noWrap/>
          </w:tcPr>
          <w:p w14:paraId="6B5E5094" w14:textId="77777777" w:rsidR="003B3DCA" w:rsidRPr="002740CF"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2740CF">
              <w:rPr>
                <w:rFonts w:eastAsia="Times New Roman" w:cs="Arial"/>
                <w:color w:val="000000"/>
                <w:sz w:val="20"/>
                <w:szCs w:val="20"/>
              </w:rPr>
              <w:t>81</w:t>
            </w:r>
          </w:p>
        </w:tc>
        <w:tc>
          <w:tcPr>
            <w:tcW w:w="1382" w:type="dxa"/>
            <w:shd w:val="clear" w:color="auto" w:fill="auto"/>
            <w:noWrap/>
          </w:tcPr>
          <w:p w14:paraId="1C464025" w14:textId="77777777" w:rsidR="003B3DCA" w:rsidRPr="002740CF"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Pr>
                <w:rFonts w:eastAsia="Times New Roman" w:cs="Arial"/>
                <w:color w:val="000000"/>
                <w:sz w:val="20"/>
                <w:szCs w:val="20"/>
              </w:rPr>
              <w:t>52,9</w:t>
            </w:r>
          </w:p>
        </w:tc>
      </w:tr>
      <w:tr w:rsidR="003B3DCA" w:rsidRPr="002740CF" w14:paraId="6A0DE7C1"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76BD4B6B" w14:textId="77777777" w:rsidR="003B3DCA" w:rsidRPr="002740CF" w:rsidRDefault="003B3DCA" w:rsidP="00AF58DF">
            <w:pPr>
              <w:keepNext/>
              <w:keepLines/>
              <w:contextualSpacing/>
              <w:rPr>
                <w:rFonts w:cs="Arial"/>
                <w:b w:val="0"/>
                <w:bCs w:val="0"/>
                <w:sz w:val="20"/>
                <w:szCs w:val="20"/>
              </w:rPr>
            </w:pPr>
            <w:r w:rsidRPr="002740CF">
              <w:rPr>
                <w:rFonts w:eastAsia="Times New Roman" w:cs="Arial"/>
                <w:b w:val="0"/>
                <w:bCs w:val="0"/>
                <w:color w:val="000000"/>
                <w:sz w:val="20"/>
                <w:szCs w:val="20"/>
              </w:rPr>
              <w:t>Uomo</w:t>
            </w:r>
          </w:p>
        </w:tc>
        <w:tc>
          <w:tcPr>
            <w:tcW w:w="1701" w:type="dxa"/>
            <w:shd w:val="clear" w:color="auto" w:fill="auto"/>
            <w:noWrap/>
          </w:tcPr>
          <w:p w14:paraId="57034753" w14:textId="77777777" w:rsidR="003B3DCA" w:rsidRPr="002740CF"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740CF">
              <w:rPr>
                <w:rFonts w:eastAsia="Times New Roman" w:cs="Arial"/>
                <w:color w:val="000000"/>
                <w:sz w:val="20"/>
                <w:szCs w:val="20"/>
              </w:rPr>
              <w:t>72</w:t>
            </w:r>
          </w:p>
        </w:tc>
        <w:tc>
          <w:tcPr>
            <w:tcW w:w="1382" w:type="dxa"/>
            <w:shd w:val="clear" w:color="auto" w:fill="auto"/>
            <w:noWrap/>
          </w:tcPr>
          <w:p w14:paraId="33D413F2" w14:textId="77777777" w:rsidR="003B3DCA" w:rsidRPr="002740CF"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Pr>
                <w:rFonts w:eastAsia="Times New Roman" w:cs="Arial"/>
                <w:color w:val="000000"/>
                <w:sz w:val="20"/>
                <w:szCs w:val="20"/>
              </w:rPr>
              <w:t>47,1</w:t>
            </w:r>
          </w:p>
        </w:tc>
      </w:tr>
      <w:tr w:rsidR="003B3DCA" w:rsidRPr="002740CF" w14:paraId="652A4376"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3280C3D6" w14:textId="77777777" w:rsidR="003B3DCA" w:rsidRPr="002740CF" w:rsidRDefault="003B3DCA" w:rsidP="00AF58DF">
            <w:pPr>
              <w:keepNext/>
              <w:keepLines/>
              <w:contextualSpacing/>
              <w:rPr>
                <w:rFonts w:eastAsia="Times New Roman" w:cs="Arial"/>
                <w:b w:val="0"/>
                <w:bCs w:val="0"/>
                <w:color w:val="000000"/>
                <w:sz w:val="20"/>
                <w:szCs w:val="20"/>
              </w:rPr>
            </w:pPr>
            <w:r w:rsidRPr="002740CF">
              <w:rPr>
                <w:rFonts w:eastAsia="Times New Roman" w:cs="Arial"/>
                <w:color w:val="000000"/>
                <w:sz w:val="20"/>
                <w:szCs w:val="20"/>
              </w:rPr>
              <w:t>Età</w:t>
            </w:r>
          </w:p>
        </w:tc>
        <w:tc>
          <w:tcPr>
            <w:tcW w:w="1701" w:type="dxa"/>
            <w:shd w:val="clear" w:color="auto" w:fill="auto"/>
            <w:noWrap/>
          </w:tcPr>
          <w:p w14:paraId="10E5B1BA" w14:textId="77777777" w:rsidR="003B3DCA" w:rsidRPr="002740CF"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p>
        </w:tc>
        <w:tc>
          <w:tcPr>
            <w:tcW w:w="1382" w:type="dxa"/>
            <w:shd w:val="clear" w:color="auto" w:fill="auto"/>
            <w:noWrap/>
          </w:tcPr>
          <w:p w14:paraId="56DFDCE6" w14:textId="77777777" w:rsidR="003B3DCA" w:rsidRPr="002740CF"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C45911"/>
                <w:sz w:val="20"/>
                <w:szCs w:val="20"/>
              </w:rPr>
            </w:pPr>
          </w:p>
        </w:tc>
      </w:tr>
      <w:tr w:rsidR="003B3DCA" w:rsidRPr="002740CF" w14:paraId="2688360C"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216AF2E4" w14:textId="77777777" w:rsidR="003B3DCA" w:rsidRPr="002740CF" w:rsidRDefault="003B3DCA" w:rsidP="00AF58DF">
            <w:pPr>
              <w:keepNext/>
              <w:keepLines/>
              <w:contextualSpacing/>
              <w:rPr>
                <w:rFonts w:eastAsia="Times New Roman" w:cs="Arial"/>
                <w:b w:val="0"/>
                <w:bCs w:val="0"/>
                <w:i/>
                <w:iCs/>
                <w:color w:val="000000"/>
                <w:sz w:val="20"/>
                <w:szCs w:val="20"/>
              </w:rPr>
            </w:pPr>
            <w:r w:rsidRPr="002740CF">
              <w:rPr>
                <w:rFonts w:eastAsia="Times New Roman" w:cs="Arial"/>
                <w:b w:val="0"/>
                <w:bCs w:val="0"/>
                <w:i/>
                <w:iCs/>
                <w:color w:val="000000"/>
                <w:sz w:val="20"/>
                <w:szCs w:val="20"/>
              </w:rPr>
              <w:t>15-29</w:t>
            </w:r>
          </w:p>
        </w:tc>
        <w:tc>
          <w:tcPr>
            <w:tcW w:w="1701" w:type="dxa"/>
            <w:shd w:val="clear" w:color="auto" w:fill="auto"/>
            <w:noWrap/>
          </w:tcPr>
          <w:p w14:paraId="1EF4D352" w14:textId="77777777" w:rsidR="003B3DCA" w:rsidRPr="002740CF"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740CF">
              <w:rPr>
                <w:rFonts w:eastAsia="Times New Roman" w:cs="Arial"/>
                <w:color w:val="000000"/>
                <w:sz w:val="20"/>
                <w:szCs w:val="20"/>
              </w:rPr>
              <w:t>92</w:t>
            </w:r>
          </w:p>
        </w:tc>
        <w:tc>
          <w:tcPr>
            <w:tcW w:w="1382" w:type="dxa"/>
            <w:shd w:val="clear" w:color="auto" w:fill="auto"/>
            <w:noWrap/>
          </w:tcPr>
          <w:p w14:paraId="315BB700" w14:textId="77777777" w:rsidR="003B3DCA" w:rsidRPr="002740CF"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Pr>
                <w:rFonts w:eastAsia="Times New Roman" w:cs="Arial"/>
                <w:color w:val="000000"/>
                <w:sz w:val="20"/>
                <w:szCs w:val="20"/>
              </w:rPr>
              <w:t>60,1</w:t>
            </w:r>
          </w:p>
        </w:tc>
      </w:tr>
      <w:tr w:rsidR="003B3DCA" w:rsidRPr="002740CF" w14:paraId="79EA4E91"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528E22EE" w14:textId="77777777" w:rsidR="003B3DCA" w:rsidRPr="002740CF" w:rsidRDefault="003B3DCA" w:rsidP="00AF58DF">
            <w:pPr>
              <w:keepNext/>
              <w:keepLines/>
              <w:contextualSpacing/>
              <w:rPr>
                <w:rFonts w:eastAsia="Times New Roman" w:cs="Arial"/>
                <w:b w:val="0"/>
                <w:bCs w:val="0"/>
                <w:i/>
                <w:iCs/>
                <w:color w:val="000000"/>
                <w:sz w:val="20"/>
                <w:szCs w:val="20"/>
              </w:rPr>
            </w:pPr>
            <w:r w:rsidRPr="002740CF">
              <w:rPr>
                <w:rFonts w:eastAsia="Times New Roman" w:cs="Arial"/>
                <w:b w:val="0"/>
                <w:bCs w:val="0"/>
                <w:i/>
                <w:iCs/>
                <w:color w:val="000000"/>
                <w:sz w:val="20"/>
                <w:szCs w:val="20"/>
              </w:rPr>
              <w:t>29-54</w:t>
            </w:r>
          </w:p>
        </w:tc>
        <w:tc>
          <w:tcPr>
            <w:tcW w:w="1701" w:type="dxa"/>
            <w:shd w:val="clear" w:color="auto" w:fill="auto"/>
            <w:noWrap/>
          </w:tcPr>
          <w:p w14:paraId="31DEE39F" w14:textId="77777777" w:rsidR="003B3DCA" w:rsidRPr="002740CF"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2740CF">
              <w:rPr>
                <w:rFonts w:eastAsia="Times New Roman" w:cs="Arial"/>
                <w:color w:val="000000"/>
                <w:sz w:val="20"/>
                <w:szCs w:val="20"/>
              </w:rPr>
              <w:t>57</w:t>
            </w:r>
          </w:p>
        </w:tc>
        <w:tc>
          <w:tcPr>
            <w:tcW w:w="1382" w:type="dxa"/>
            <w:shd w:val="clear" w:color="auto" w:fill="auto"/>
            <w:noWrap/>
          </w:tcPr>
          <w:p w14:paraId="4ECF1876" w14:textId="77777777" w:rsidR="003B3DCA" w:rsidRPr="002740CF"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Pr>
                <w:rFonts w:eastAsia="Times New Roman" w:cs="Arial"/>
                <w:color w:val="000000"/>
                <w:sz w:val="20"/>
                <w:szCs w:val="20"/>
              </w:rPr>
              <w:t>37,3</w:t>
            </w:r>
          </w:p>
        </w:tc>
      </w:tr>
      <w:tr w:rsidR="003B3DCA" w:rsidRPr="002740CF" w14:paraId="0A3E02A1"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2CD4F981" w14:textId="77777777" w:rsidR="003B3DCA" w:rsidRPr="002740CF" w:rsidRDefault="003B3DCA" w:rsidP="00AF58DF">
            <w:pPr>
              <w:keepNext/>
              <w:keepLines/>
              <w:contextualSpacing/>
              <w:rPr>
                <w:rFonts w:eastAsia="Times New Roman" w:cs="Arial"/>
                <w:b w:val="0"/>
                <w:bCs w:val="0"/>
                <w:i/>
                <w:iCs/>
                <w:color w:val="000000"/>
                <w:sz w:val="20"/>
                <w:szCs w:val="20"/>
              </w:rPr>
            </w:pPr>
            <w:r w:rsidRPr="002740CF">
              <w:rPr>
                <w:rFonts w:eastAsia="Times New Roman" w:cs="Arial"/>
                <w:b w:val="0"/>
                <w:bCs w:val="0"/>
                <w:i/>
                <w:iCs/>
                <w:color w:val="000000"/>
                <w:sz w:val="20"/>
                <w:szCs w:val="20"/>
              </w:rPr>
              <w:t>&gt; 54</w:t>
            </w:r>
          </w:p>
        </w:tc>
        <w:tc>
          <w:tcPr>
            <w:tcW w:w="1701" w:type="dxa"/>
            <w:shd w:val="clear" w:color="auto" w:fill="auto"/>
            <w:noWrap/>
          </w:tcPr>
          <w:p w14:paraId="017481D7" w14:textId="77777777" w:rsidR="003B3DCA" w:rsidRPr="002740CF"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740CF">
              <w:rPr>
                <w:rFonts w:eastAsia="Times New Roman" w:cs="Arial"/>
                <w:color w:val="000000"/>
                <w:sz w:val="20"/>
                <w:szCs w:val="20"/>
              </w:rPr>
              <w:t>4</w:t>
            </w:r>
          </w:p>
        </w:tc>
        <w:tc>
          <w:tcPr>
            <w:tcW w:w="1382" w:type="dxa"/>
            <w:shd w:val="clear" w:color="auto" w:fill="auto"/>
            <w:noWrap/>
          </w:tcPr>
          <w:p w14:paraId="6DA5BC84" w14:textId="77777777" w:rsidR="003B3DCA" w:rsidRPr="002740CF"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Pr>
                <w:rFonts w:eastAsia="Times New Roman" w:cs="Arial"/>
                <w:color w:val="000000"/>
                <w:sz w:val="20"/>
                <w:szCs w:val="20"/>
              </w:rPr>
              <w:t>2,6</w:t>
            </w:r>
          </w:p>
        </w:tc>
      </w:tr>
      <w:tr w:rsidR="003B3DCA" w:rsidRPr="002740CF" w14:paraId="3CACA9D2"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9854" w:type="dxa"/>
            <w:gridSpan w:val="3"/>
            <w:shd w:val="clear" w:color="auto" w:fill="auto"/>
            <w:noWrap/>
          </w:tcPr>
          <w:p w14:paraId="07F77E15" w14:textId="77777777" w:rsidR="003B3DCA" w:rsidRPr="002740CF" w:rsidRDefault="003B3DCA" w:rsidP="004242C0">
            <w:pPr>
              <w:keepNext/>
              <w:keepLines/>
              <w:contextualSpacing/>
              <w:jc w:val="left"/>
              <w:rPr>
                <w:rFonts w:eastAsia="Times New Roman" w:cs="Arial"/>
                <w:color w:val="000000"/>
                <w:sz w:val="20"/>
                <w:szCs w:val="20"/>
              </w:rPr>
            </w:pPr>
            <w:r w:rsidRPr="002740CF">
              <w:rPr>
                <w:rFonts w:eastAsia="Times New Roman" w:cs="Arial"/>
                <w:color w:val="000000"/>
                <w:sz w:val="20"/>
                <w:szCs w:val="20"/>
              </w:rPr>
              <w:t>STATO OCCUPAZIONALE</w:t>
            </w:r>
          </w:p>
        </w:tc>
      </w:tr>
      <w:tr w:rsidR="003B3DCA" w:rsidRPr="002740CF" w14:paraId="49FE5E82"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46FBADFD" w14:textId="77777777" w:rsidR="003B3DCA" w:rsidRPr="002740CF" w:rsidRDefault="003B3DCA" w:rsidP="00AF58DF">
            <w:pPr>
              <w:keepNext/>
              <w:keepLines/>
              <w:contextualSpacing/>
              <w:rPr>
                <w:rFonts w:eastAsia="Times New Roman" w:cs="Arial"/>
                <w:b w:val="0"/>
                <w:bCs w:val="0"/>
                <w:color w:val="000000"/>
                <w:sz w:val="20"/>
                <w:szCs w:val="20"/>
              </w:rPr>
            </w:pPr>
            <w:r w:rsidRPr="002740CF">
              <w:rPr>
                <w:rFonts w:eastAsia="Times New Roman" w:cs="Arial"/>
                <w:b w:val="0"/>
                <w:bCs w:val="0"/>
                <w:color w:val="000000"/>
                <w:sz w:val="20"/>
                <w:szCs w:val="20"/>
              </w:rPr>
              <w:t>Disoccupati</w:t>
            </w:r>
          </w:p>
        </w:tc>
        <w:tc>
          <w:tcPr>
            <w:tcW w:w="1701" w:type="dxa"/>
            <w:shd w:val="clear" w:color="auto" w:fill="auto"/>
          </w:tcPr>
          <w:p w14:paraId="404E8E70" w14:textId="77777777" w:rsidR="003B3DCA" w:rsidRPr="002740CF"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740CF">
              <w:rPr>
                <w:rFonts w:eastAsia="Times New Roman" w:cs="Arial"/>
                <w:color w:val="000000"/>
                <w:sz w:val="20"/>
                <w:szCs w:val="20"/>
              </w:rPr>
              <w:t>85</w:t>
            </w:r>
          </w:p>
        </w:tc>
        <w:tc>
          <w:tcPr>
            <w:tcW w:w="1382" w:type="dxa"/>
            <w:shd w:val="clear" w:color="auto" w:fill="auto"/>
          </w:tcPr>
          <w:p w14:paraId="20BB3C20" w14:textId="77777777" w:rsidR="003B3DCA" w:rsidRPr="002740CF"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Pr>
                <w:rFonts w:eastAsia="Times New Roman" w:cs="Arial"/>
                <w:color w:val="000000"/>
                <w:sz w:val="20"/>
                <w:szCs w:val="20"/>
              </w:rPr>
              <w:t>55,6</w:t>
            </w:r>
          </w:p>
        </w:tc>
      </w:tr>
      <w:tr w:rsidR="003B3DCA" w:rsidRPr="002740CF" w14:paraId="6E20F97E"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3E7C749F" w14:textId="77777777" w:rsidR="003B3DCA" w:rsidRPr="002740CF" w:rsidRDefault="003B3DCA" w:rsidP="00AF58DF">
            <w:pPr>
              <w:keepNext/>
              <w:keepLines/>
              <w:contextualSpacing/>
              <w:rPr>
                <w:rFonts w:eastAsia="Times New Roman" w:cs="Arial"/>
                <w:b w:val="0"/>
                <w:bCs w:val="0"/>
                <w:color w:val="000000"/>
                <w:sz w:val="20"/>
                <w:szCs w:val="20"/>
              </w:rPr>
            </w:pPr>
            <w:r w:rsidRPr="002740CF">
              <w:rPr>
                <w:rFonts w:eastAsia="Times New Roman" w:cs="Arial"/>
                <w:b w:val="0"/>
                <w:bCs w:val="0"/>
                <w:color w:val="000000"/>
                <w:sz w:val="20"/>
                <w:szCs w:val="20"/>
              </w:rPr>
              <w:t>Inattivi</w:t>
            </w:r>
          </w:p>
        </w:tc>
        <w:tc>
          <w:tcPr>
            <w:tcW w:w="1701" w:type="dxa"/>
            <w:shd w:val="clear" w:color="auto" w:fill="auto"/>
          </w:tcPr>
          <w:p w14:paraId="4792D7F8" w14:textId="77777777" w:rsidR="003B3DCA" w:rsidRPr="002740CF"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Pr>
                <w:rFonts w:eastAsia="Times New Roman" w:cs="Arial"/>
                <w:color w:val="000000"/>
                <w:sz w:val="20"/>
                <w:szCs w:val="20"/>
              </w:rPr>
              <w:t>56</w:t>
            </w:r>
          </w:p>
        </w:tc>
        <w:tc>
          <w:tcPr>
            <w:tcW w:w="1382" w:type="dxa"/>
            <w:shd w:val="clear" w:color="auto" w:fill="auto"/>
          </w:tcPr>
          <w:p w14:paraId="6774279F" w14:textId="77777777" w:rsidR="003B3DCA" w:rsidRPr="002740CF"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Pr>
                <w:rFonts w:eastAsia="Times New Roman" w:cs="Arial"/>
                <w:color w:val="000000"/>
                <w:sz w:val="20"/>
                <w:szCs w:val="20"/>
              </w:rPr>
              <w:t>36,6</w:t>
            </w:r>
          </w:p>
        </w:tc>
      </w:tr>
      <w:tr w:rsidR="003B3DCA" w:rsidRPr="002740CF" w14:paraId="5CA2EE4E"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021044D9" w14:textId="77777777" w:rsidR="003B3DCA" w:rsidRPr="002740CF" w:rsidRDefault="003B3DCA" w:rsidP="00AF58DF">
            <w:pPr>
              <w:keepNext/>
              <w:keepLines/>
              <w:contextualSpacing/>
              <w:rPr>
                <w:rFonts w:eastAsia="Times New Roman" w:cs="Arial"/>
                <w:b w:val="0"/>
                <w:bCs w:val="0"/>
                <w:color w:val="000000"/>
                <w:sz w:val="20"/>
                <w:szCs w:val="20"/>
              </w:rPr>
            </w:pPr>
            <w:r w:rsidRPr="002740CF">
              <w:rPr>
                <w:rFonts w:eastAsia="Times New Roman" w:cs="Arial"/>
                <w:b w:val="0"/>
                <w:bCs w:val="0"/>
                <w:color w:val="000000"/>
                <w:sz w:val="20"/>
                <w:szCs w:val="20"/>
              </w:rPr>
              <w:t>Lavoratori</w:t>
            </w:r>
          </w:p>
        </w:tc>
        <w:tc>
          <w:tcPr>
            <w:tcW w:w="1701" w:type="dxa"/>
            <w:shd w:val="clear" w:color="auto" w:fill="auto"/>
          </w:tcPr>
          <w:p w14:paraId="452DE5DD" w14:textId="77777777" w:rsidR="003B3DCA" w:rsidRPr="002740CF"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Pr>
                <w:rFonts w:eastAsia="Times New Roman" w:cs="Arial"/>
                <w:color w:val="000000"/>
                <w:sz w:val="20"/>
                <w:szCs w:val="20"/>
              </w:rPr>
              <w:t>12</w:t>
            </w:r>
          </w:p>
        </w:tc>
        <w:tc>
          <w:tcPr>
            <w:tcW w:w="1382" w:type="dxa"/>
            <w:shd w:val="clear" w:color="auto" w:fill="auto"/>
          </w:tcPr>
          <w:p w14:paraId="0CD82F80" w14:textId="77777777" w:rsidR="003B3DCA" w:rsidRPr="002740CF"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Pr>
                <w:rFonts w:eastAsia="Times New Roman" w:cs="Arial"/>
                <w:color w:val="000000"/>
                <w:sz w:val="20"/>
                <w:szCs w:val="20"/>
              </w:rPr>
              <w:t>7,8</w:t>
            </w:r>
          </w:p>
        </w:tc>
      </w:tr>
      <w:tr w:rsidR="003B3DCA" w:rsidRPr="002740CF" w14:paraId="32AEA6E5"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9854" w:type="dxa"/>
            <w:gridSpan w:val="3"/>
            <w:shd w:val="clear" w:color="auto" w:fill="auto"/>
            <w:noWrap/>
          </w:tcPr>
          <w:p w14:paraId="719D1800" w14:textId="77777777" w:rsidR="003B3DCA" w:rsidRPr="002740CF" w:rsidRDefault="003B3DCA" w:rsidP="004242C0">
            <w:pPr>
              <w:keepNext/>
              <w:keepLines/>
              <w:contextualSpacing/>
              <w:jc w:val="left"/>
              <w:rPr>
                <w:rFonts w:eastAsia="Times New Roman" w:cs="Arial"/>
                <w:color w:val="C45911"/>
                <w:sz w:val="20"/>
                <w:szCs w:val="20"/>
              </w:rPr>
            </w:pPr>
            <w:r w:rsidRPr="002740CF">
              <w:rPr>
                <w:rFonts w:eastAsia="Times New Roman" w:cs="Arial"/>
                <w:color w:val="000000"/>
                <w:sz w:val="20"/>
                <w:szCs w:val="20"/>
              </w:rPr>
              <w:t>LIVELLO DI ISTRUZIONE</w:t>
            </w:r>
            <w:r>
              <w:rPr>
                <w:rFonts w:eastAsia="Times New Roman" w:cs="Arial"/>
                <w:color w:val="000000"/>
                <w:sz w:val="20"/>
                <w:szCs w:val="20"/>
              </w:rPr>
              <w:t>: DIPLOMA DI ISTRUZIONE</w:t>
            </w:r>
          </w:p>
        </w:tc>
      </w:tr>
      <w:tr w:rsidR="003B3DCA" w:rsidRPr="002740CF" w14:paraId="527906A7"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7145726F" w14:textId="77777777" w:rsidR="003B3DCA" w:rsidRPr="002740CF" w:rsidRDefault="003B3DCA" w:rsidP="00AF58DF">
            <w:pPr>
              <w:keepNext/>
              <w:keepLines/>
              <w:contextualSpacing/>
              <w:rPr>
                <w:rFonts w:eastAsia="Times New Roman" w:cs="Arial"/>
                <w:b w:val="0"/>
                <w:bCs w:val="0"/>
                <w:color w:val="000000"/>
                <w:sz w:val="20"/>
                <w:szCs w:val="20"/>
              </w:rPr>
            </w:pPr>
            <w:r>
              <w:rPr>
                <w:rFonts w:eastAsia="Times New Roman" w:cs="Arial"/>
                <w:b w:val="0"/>
                <w:bCs w:val="0"/>
                <w:color w:val="000000"/>
                <w:sz w:val="20"/>
                <w:szCs w:val="20"/>
              </w:rPr>
              <w:t>Terziaria</w:t>
            </w:r>
          </w:p>
        </w:tc>
        <w:tc>
          <w:tcPr>
            <w:tcW w:w="1701" w:type="dxa"/>
            <w:shd w:val="clear" w:color="auto" w:fill="auto"/>
            <w:noWrap/>
          </w:tcPr>
          <w:p w14:paraId="104404F6" w14:textId="77777777" w:rsidR="003B3DCA" w:rsidRPr="002740CF"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Pr>
                <w:rFonts w:eastAsia="Times New Roman" w:cs="Arial"/>
                <w:color w:val="000000"/>
                <w:sz w:val="20"/>
                <w:szCs w:val="20"/>
              </w:rPr>
              <w:t>104</w:t>
            </w:r>
          </w:p>
        </w:tc>
        <w:tc>
          <w:tcPr>
            <w:tcW w:w="1382" w:type="dxa"/>
            <w:shd w:val="clear" w:color="auto" w:fill="auto"/>
            <w:noWrap/>
          </w:tcPr>
          <w:p w14:paraId="1C7F15EE" w14:textId="77777777" w:rsidR="003B3DCA" w:rsidRPr="002740CF"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Pr>
                <w:rFonts w:eastAsia="Times New Roman" w:cs="Arial"/>
                <w:color w:val="000000"/>
                <w:sz w:val="20"/>
                <w:szCs w:val="20"/>
              </w:rPr>
              <w:t>68</w:t>
            </w:r>
          </w:p>
        </w:tc>
      </w:tr>
      <w:tr w:rsidR="003B3DCA" w:rsidRPr="002740CF" w14:paraId="2465A7A5"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0801218B" w14:textId="77777777" w:rsidR="003B3DCA" w:rsidRPr="002740CF" w:rsidRDefault="003B3DCA" w:rsidP="00AF58DF">
            <w:pPr>
              <w:keepNext/>
              <w:keepLines/>
              <w:contextualSpacing/>
              <w:rPr>
                <w:rFonts w:eastAsia="Times New Roman" w:cs="Arial"/>
                <w:b w:val="0"/>
                <w:bCs w:val="0"/>
                <w:color w:val="000000"/>
                <w:sz w:val="20"/>
                <w:szCs w:val="20"/>
              </w:rPr>
            </w:pPr>
            <w:r>
              <w:rPr>
                <w:rFonts w:eastAsia="Times New Roman" w:cs="Arial"/>
                <w:b w:val="0"/>
                <w:bCs w:val="0"/>
                <w:color w:val="000000"/>
                <w:sz w:val="20"/>
                <w:szCs w:val="20"/>
              </w:rPr>
              <w:t>Secondaria superiore</w:t>
            </w:r>
          </w:p>
        </w:tc>
        <w:tc>
          <w:tcPr>
            <w:tcW w:w="1701" w:type="dxa"/>
            <w:shd w:val="clear" w:color="auto" w:fill="auto"/>
            <w:noWrap/>
          </w:tcPr>
          <w:p w14:paraId="2E70820D" w14:textId="77777777" w:rsidR="003B3DCA" w:rsidRPr="002740CF"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Pr>
                <w:rFonts w:eastAsia="Times New Roman" w:cs="Arial"/>
                <w:color w:val="000000"/>
                <w:sz w:val="20"/>
                <w:szCs w:val="20"/>
              </w:rPr>
              <w:t>46</w:t>
            </w:r>
          </w:p>
        </w:tc>
        <w:tc>
          <w:tcPr>
            <w:tcW w:w="1382" w:type="dxa"/>
            <w:shd w:val="clear" w:color="auto" w:fill="auto"/>
            <w:noWrap/>
          </w:tcPr>
          <w:p w14:paraId="2D39FB2D" w14:textId="77777777" w:rsidR="003B3DCA" w:rsidRPr="002740CF"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Pr>
                <w:rFonts w:eastAsia="Times New Roman" w:cs="Arial"/>
                <w:color w:val="000000"/>
                <w:sz w:val="20"/>
                <w:szCs w:val="20"/>
              </w:rPr>
              <w:t>30</w:t>
            </w:r>
          </w:p>
        </w:tc>
      </w:tr>
      <w:tr w:rsidR="003B3DCA" w:rsidRPr="002740CF" w14:paraId="620E0E89" w14:textId="77777777" w:rsidTr="009E7B4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6ADD248E" w14:textId="77777777" w:rsidR="003B3DCA" w:rsidRPr="002740CF" w:rsidRDefault="003B3DCA" w:rsidP="00AF58DF">
            <w:pPr>
              <w:keepNext/>
              <w:keepLines/>
              <w:contextualSpacing/>
              <w:rPr>
                <w:rFonts w:eastAsia="Times New Roman" w:cs="Arial"/>
                <w:b w:val="0"/>
                <w:bCs w:val="0"/>
                <w:color w:val="000000"/>
                <w:sz w:val="20"/>
                <w:szCs w:val="20"/>
              </w:rPr>
            </w:pPr>
            <w:r>
              <w:rPr>
                <w:rFonts w:eastAsia="Times New Roman" w:cs="Arial"/>
                <w:b w:val="0"/>
                <w:bCs w:val="0"/>
                <w:color w:val="000000"/>
                <w:sz w:val="20"/>
                <w:szCs w:val="20"/>
              </w:rPr>
              <w:t>Secondaria inferiore o primaria</w:t>
            </w:r>
          </w:p>
        </w:tc>
        <w:tc>
          <w:tcPr>
            <w:tcW w:w="1701" w:type="dxa"/>
            <w:shd w:val="clear" w:color="auto" w:fill="auto"/>
            <w:noWrap/>
          </w:tcPr>
          <w:p w14:paraId="40D03D98" w14:textId="77777777" w:rsidR="003B3DCA" w:rsidRPr="002740CF"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Pr>
                <w:rFonts w:eastAsia="Times New Roman" w:cs="Arial"/>
                <w:color w:val="000000"/>
                <w:sz w:val="20"/>
                <w:szCs w:val="20"/>
              </w:rPr>
              <w:t>3</w:t>
            </w:r>
          </w:p>
        </w:tc>
        <w:tc>
          <w:tcPr>
            <w:tcW w:w="1382" w:type="dxa"/>
            <w:shd w:val="clear" w:color="auto" w:fill="auto"/>
            <w:noWrap/>
          </w:tcPr>
          <w:p w14:paraId="0FD7BA2D" w14:textId="77777777" w:rsidR="003B3DCA" w:rsidRPr="002740CF" w:rsidRDefault="003B3DCA" w:rsidP="004242C0">
            <w:pPr>
              <w:keepNext/>
              <w:keepLines/>
              <w:contextualSpacing/>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Pr>
                <w:rFonts w:eastAsia="Times New Roman" w:cs="Arial"/>
                <w:color w:val="000000"/>
                <w:sz w:val="20"/>
                <w:szCs w:val="20"/>
              </w:rPr>
              <w:t>2</w:t>
            </w:r>
          </w:p>
        </w:tc>
      </w:tr>
      <w:tr w:rsidR="003B3DCA" w:rsidRPr="002740CF" w14:paraId="3107A0BA" w14:textId="77777777" w:rsidTr="009E7B46">
        <w:trPr>
          <w:trHeight w:val="20"/>
        </w:trPr>
        <w:tc>
          <w:tcPr>
            <w:cnfStyle w:val="001000000000" w:firstRow="0" w:lastRow="0" w:firstColumn="1" w:lastColumn="0" w:oddVBand="0" w:evenVBand="0" w:oddHBand="0" w:evenHBand="0" w:firstRowFirstColumn="0" w:firstRowLastColumn="0" w:lastRowFirstColumn="0" w:lastRowLastColumn="0"/>
            <w:tcW w:w="6771" w:type="dxa"/>
            <w:shd w:val="clear" w:color="auto" w:fill="auto"/>
            <w:noWrap/>
          </w:tcPr>
          <w:p w14:paraId="505094D4" w14:textId="77777777" w:rsidR="003B3DCA" w:rsidRPr="002740CF" w:rsidRDefault="003B3DCA" w:rsidP="00AF58DF">
            <w:pPr>
              <w:keepNext/>
              <w:keepLines/>
              <w:contextualSpacing/>
              <w:rPr>
                <w:rFonts w:eastAsia="Times New Roman" w:cs="Arial"/>
                <w:color w:val="000000"/>
                <w:sz w:val="20"/>
                <w:szCs w:val="20"/>
              </w:rPr>
            </w:pPr>
            <w:r w:rsidRPr="002740CF">
              <w:rPr>
                <w:rFonts w:eastAsia="Times New Roman" w:cs="Arial"/>
                <w:color w:val="000000"/>
                <w:sz w:val="20"/>
                <w:szCs w:val="20"/>
              </w:rPr>
              <w:t>Totale destinatari</w:t>
            </w:r>
          </w:p>
        </w:tc>
        <w:tc>
          <w:tcPr>
            <w:tcW w:w="1701" w:type="dxa"/>
            <w:shd w:val="clear" w:color="auto" w:fill="auto"/>
            <w:noWrap/>
          </w:tcPr>
          <w:p w14:paraId="3E6A7AE8" w14:textId="77777777" w:rsidR="003B3DCA" w:rsidRPr="002740CF"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2740CF">
              <w:rPr>
                <w:rFonts w:eastAsia="Times New Roman" w:cs="Arial"/>
                <w:b/>
                <w:bCs/>
                <w:color w:val="000000"/>
                <w:sz w:val="20"/>
                <w:szCs w:val="20"/>
              </w:rPr>
              <w:t>153</w:t>
            </w:r>
          </w:p>
        </w:tc>
        <w:tc>
          <w:tcPr>
            <w:tcW w:w="1382" w:type="dxa"/>
            <w:shd w:val="clear" w:color="auto" w:fill="auto"/>
            <w:noWrap/>
          </w:tcPr>
          <w:p w14:paraId="15F9F3B8" w14:textId="77777777" w:rsidR="003B3DCA" w:rsidRPr="002740CF" w:rsidRDefault="003B3DCA" w:rsidP="004242C0">
            <w:pPr>
              <w:keepNext/>
              <w:keepLines/>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2740CF">
              <w:rPr>
                <w:rFonts w:eastAsia="Times New Roman" w:cs="Arial"/>
                <w:b/>
                <w:bCs/>
                <w:color w:val="000000"/>
                <w:sz w:val="20"/>
                <w:szCs w:val="20"/>
              </w:rPr>
              <w:t>100,0%</w:t>
            </w:r>
          </w:p>
        </w:tc>
      </w:tr>
    </w:tbl>
    <w:p w14:paraId="0CADD2F8" w14:textId="77777777" w:rsidR="003B3DCA" w:rsidRDefault="003B3DCA" w:rsidP="00E17935">
      <w:pPr>
        <w:pStyle w:val="Fonte"/>
        <w:rPr>
          <w:rFonts w:cs="Calibri"/>
          <w:color w:val="222222"/>
        </w:rPr>
      </w:pPr>
      <w:r w:rsidRPr="00894AEA">
        <w:t>Fonte: “Rapporto di valutazione tematica 2021”</w:t>
      </w:r>
      <w:r>
        <w:t xml:space="preserve">, </w:t>
      </w:r>
      <w:r w:rsidRPr="009C6A4B">
        <w:rPr>
          <w:rFonts w:cs="Calibri"/>
          <w:color w:val="222222"/>
        </w:rPr>
        <w:t>RTI IRS-COGEA</w:t>
      </w:r>
    </w:p>
    <w:p w14:paraId="03832DF1" w14:textId="77777777" w:rsidR="003B3DCA" w:rsidRDefault="003B3DCA" w:rsidP="003B3DCA">
      <w:pPr>
        <w:rPr>
          <w:u w:val="single"/>
        </w:rPr>
      </w:pPr>
    </w:p>
    <w:p w14:paraId="5A8632B8" w14:textId="77777777" w:rsidR="003B3DCA" w:rsidRPr="003B3DCA" w:rsidRDefault="003B3DCA" w:rsidP="003B3DCA">
      <w:pPr>
        <w:rPr>
          <w:u w:val="single"/>
        </w:rPr>
      </w:pPr>
      <w:r w:rsidRPr="003B3DCA">
        <w:rPr>
          <w:u w:val="single"/>
        </w:rPr>
        <w:t xml:space="preserve">Una prima riflessione valutativa e gli effetti del </w:t>
      </w:r>
      <w:r w:rsidR="0030242F">
        <w:rPr>
          <w:u w:val="single"/>
        </w:rPr>
        <w:t>COVID</w:t>
      </w:r>
      <w:r w:rsidRPr="003B3DCA">
        <w:rPr>
          <w:u w:val="single"/>
        </w:rPr>
        <w:t>-19</w:t>
      </w:r>
    </w:p>
    <w:p w14:paraId="69549136" w14:textId="77777777" w:rsidR="003B3DCA" w:rsidRDefault="003B3DCA" w:rsidP="003B3DCA">
      <w:r>
        <w:t>Alcune prime evidenze sui risultati dei progetti emergono dalla nascita di alcune start-up derivate dai progetti finanziati tramite il Bando. A titolo esemplificativo, il valutatore porta ad esempio due progetti finanziati: ARCHEO UP e il progetto CLIC.</w:t>
      </w:r>
    </w:p>
    <w:p w14:paraId="6C53B2AF" w14:textId="77777777" w:rsidR="003B3DCA" w:rsidRDefault="003B3DCA" w:rsidP="003B3DCA">
      <w:r>
        <w:t>Per quanto concerne il progetto ARCHEO UP, questo ha favorito lo sviluppo di 4 start-up collegate alla valorizzazione dei beni archeologici, come segue:</w:t>
      </w:r>
    </w:p>
    <w:p w14:paraId="61FADD42" w14:textId="77777777" w:rsidR="003B3DCA" w:rsidRDefault="003B3DCA" w:rsidP="0038676D">
      <w:pPr>
        <w:pStyle w:val="Paragrafoelenco"/>
        <w:numPr>
          <w:ilvl w:val="0"/>
          <w:numId w:val="49"/>
        </w:numPr>
      </w:pPr>
      <w:proofErr w:type="spellStart"/>
      <w:r w:rsidRPr="0091616F">
        <w:t>Arkeope</w:t>
      </w:r>
      <w:proofErr w:type="spellEnd"/>
      <w:r w:rsidRPr="0091616F">
        <w:t xml:space="preserve"> – Archeologia e Percorsi: lab</w:t>
      </w:r>
      <w:r>
        <w:t>oratorio di produzione e sviluppo di percorsi di storytelling corredati da disegni realizzati ad hoc, volti alla promozione di musei, gallerie d’arte, parchi e aree archeologiche;</w:t>
      </w:r>
    </w:p>
    <w:p w14:paraId="70070637" w14:textId="77777777" w:rsidR="003B3DCA" w:rsidRDefault="003B3DCA" w:rsidP="0038676D">
      <w:pPr>
        <w:pStyle w:val="Paragrafoelenco"/>
        <w:numPr>
          <w:ilvl w:val="0"/>
          <w:numId w:val="49"/>
        </w:numPr>
      </w:pPr>
      <w:r w:rsidRPr="004B3D31">
        <w:t xml:space="preserve">BEAR – </w:t>
      </w:r>
      <w:proofErr w:type="spellStart"/>
      <w:r w:rsidRPr="004B3D31">
        <w:t>Bio</w:t>
      </w:r>
      <w:proofErr w:type="spellEnd"/>
      <w:r w:rsidRPr="004B3D31">
        <w:t xml:space="preserve"> Environment in </w:t>
      </w:r>
      <w:proofErr w:type="spellStart"/>
      <w:r w:rsidRPr="0091616F">
        <w:t>Archaeological</w:t>
      </w:r>
      <w:proofErr w:type="spellEnd"/>
      <w:r w:rsidRPr="0091616F">
        <w:t xml:space="preserve"> </w:t>
      </w:r>
      <w:proofErr w:type="spellStart"/>
      <w:r w:rsidRPr="0091616F">
        <w:t>Research</w:t>
      </w:r>
      <w:proofErr w:type="spellEnd"/>
      <w:r w:rsidRPr="0091616F">
        <w:t>: start-up che mira alla creazione di apposi</w:t>
      </w:r>
      <w:r>
        <w:t>ti strumenti, quali database di informazioni scientifiche legate allo studio del territorio, a supporto delle indagini archeologiche preventive, di emergenza e di ricerca;</w:t>
      </w:r>
    </w:p>
    <w:p w14:paraId="588652A2" w14:textId="77777777" w:rsidR="003B3DCA" w:rsidRDefault="003B3DCA" w:rsidP="0038676D">
      <w:pPr>
        <w:pStyle w:val="Paragrafoelenco"/>
        <w:numPr>
          <w:ilvl w:val="0"/>
          <w:numId w:val="49"/>
        </w:numPr>
      </w:pPr>
      <w:r>
        <w:t>TRUERAL – Turismo Esperienziale: piattaforma digitale di supporto al turismo lento;</w:t>
      </w:r>
    </w:p>
    <w:p w14:paraId="341CE4FF" w14:textId="77777777" w:rsidR="003B3DCA" w:rsidRDefault="003B3DCA" w:rsidP="0038676D">
      <w:pPr>
        <w:pStyle w:val="Paragrafoelenco"/>
        <w:numPr>
          <w:ilvl w:val="0"/>
          <w:numId w:val="49"/>
        </w:numPr>
      </w:pPr>
      <w:proofErr w:type="spellStart"/>
      <w:r>
        <w:t>DallaAallaD</w:t>
      </w:r>
      <w:proofErr w:type="spellEnd"/>
      <w:r>
        <w:t xml:space="preserve"> – Arte, Beni Culturali, Conservazione, Didattica: start-up volta alla progettazione e implementazione di servizi culturali per Enti pubblici e privati.</w:t>
      </w:r>
    </w:p>
    <w:p w14:paraId="5389E3CD" w14:textId="77777777" w:rsidR="003B3DCA" w:rsidRDefault="003B3DCA" w:rsidP="003B3DCA">
      <w:pPr>
        <w:rPr>
          <w:rFonts w:cstheme="minorHAnsi"/>
        </w:rPr>
      </w:pPr>
      <w:r>
        <w:rPr>
          <w:rFonts w:cstheme="minorHAnsi"/>
        </w:rPr>
        <w:t>Per quanto concerne, invece, il progetto CLIC, come esisto del percorso sono emerse 7 idee di impresa:</w:t>
      </w:r>
    </w:p>
    <w:p w14:paraId="6BF50F27" w14:textId="77777777" w:rsidR="003B3DCA" w:rsidRDefault="003B3DCA" w:rsidP="0038676D">
      <w:pPr>
        <w:pStyle w:val="Paragrafoelenco"/>
        <w:numPr>
          <w:ilvl w:val="0"/>
          <w:numId w:val="50"/>
        </w:numPr>
      </w:pPr>
      <w:r w:rsidRPr="0091616F">
        <w:t>Bike Meet: Progetto in ambito turistico che</w:t>
      </w:r>
      <w:r>
        <w:t xml:space="preserve"> mira alla realizzazione di un fondo d’investimento fra imprese operanti nel cicloturismo e nel noleggio di biciclette, per finanziare progetti di mobilità sostenibile e mettere in comunicazione i vari punti di interesse regionali;</w:t>
      </w:r>
    </w:p>
    <w:p w14:paraId="335349A6" w14:textId="77777777" w:rsidR="003B3DCA" w:rsidRDefault="003B3DCA" w:rsidP="0038676D">
      <w:pPr>
        <w:pStyle w:val="Paragrafoelenco"/>
        <w:numPr>
          <w:ilvl w:val="0"/>
          <w:numId w:val="50"/>
        </w:numPr>
      </w:pPr>
      <w:proofErr w:type="spellStart"/>
      <w:r>
        <w:t>Frattàglia</w:t>
      </w:r>
      <w:proofErr w:type="spellEnd"/>
      <w:r>
        <w:t>: hub di ricerca artistica contemporanea che fornisce spazi, materiali e attrezzature a giovani artisti che vogliono sviluppare i loro progetti creativi;</w:t>
      </w:r>
    </w:p>
    <w:p w14:paraId="1D3D3029" w14:textId="77777777" w:rsidR="003B3DCA" w:rsidRDefault="003B3DCA" w:rsidP="0038676D">
      <w:pPr>
        <w:pStyle w:val="Paragrafoelenco"/>
        <w:numPr>
          <w:ilvl w:val="0"/>
          <w:numId w:val="50"/>
        </w:numPr>
      </w:pPr>
      <w:proofErr w:type="spellStart"/>
      <w:r>
        <w:t>Inesto</w:t>
      </w:r>
      <w:proofErr w:type="spellEnd"/>
      <w:r>
        <w:t>: spazio adibito a “residenze artistiche”, che punta a creare contaminazione culturale fra soggetti del settore culturale;</w:t>
      </w:r>
    </w:p>
    <w:p w14:paraId="4F6D59FA" w14:textId="77777777" w:rsidR="003B3DCA" w:rsidRDefault="003B3DCA" w:rsidP="0038676D">
      <w:pPr>
        <w:pStyle w:val="Paragrafoelenco"/>
        <w:numPr>
          <w:ilvl w:val="0"/>
          <w:numId w:val="50"/>
        </w:numPr>
      </w:pPr>
      <w:proofErr w:type="spellStart"/>
      <w:r>
        <w:t>PostoBello</w:t>
      </w:r>
      <w:proofErr w:type="spellEnd"/>
      <w:r>
        <w:t>: proposta di streaming nell’ambito dell’intrattenimento e della divulgazione culturale, allo scopo di incentivare un turismo consapevole, attraverso un uso intelligente della rete;</w:t>
      </w:r>
    </w:p>
    <w:p w14:paraId="3121B7CB" w14:textId="77777777" w:rsidR="003B3DCA" w:rsidRDefault="003B3DCA" w:rsidP="0038676D">
      <w:pPr>
        <w:pStyle w:val="Paragrafoelenco"/>
        <w:numPr>
          <w:ilvl w:val="0"/>
          <w:numId w:val="50"/>
        </w:numPr>
      </w:pPr>
      <w:proofErr w:type="spellStart"/>
      <w:r>
        <w:t>Relabo</w:t>
      </w:r>
      <w:proofErr w:type="spellEnd"/>
      <w:r>
        <w:t>: progetto di arte contemporanea che, tramite laboratori e residenze per artisti, mira a trasferire competenze artistiche alla comunità;</w:t>
      </w:r>
    </w:p>
    <w:p w14:paraId="7594B6C4" w14:textId="77777777" w:rsidR="003B3DCA" w:rsidRDefault="003B3DCA" w:rsidP="0038676D">
      <w:pPr>
        <w:pStyle w:val="Paragrafoelenco"/>
        <w:numPr>
          <w:ilvl w:val="0"/>
          <w:numId w:val="50"/>
        </w:numPr>
      </w:pPr>
      <w:r w:rsidRPr="003460D0">
        <w:t xml:space="preserve">Start-hop!: accademia online </w:t>
      </w:r>
      <w:r w:rsidRPr="0091616F">
        <w:t>dedicata al ma</w:t>
      </w:r>
      <w:r w:rsidRPr="003460D0">
        <w:t>rketing per start</w:t>
      </w:r>
      <w:r w:rsidRPr="0091616F">
        <w:t>-up e giovani imprenditori</w:t>
      </w:r>
      <w:r>
        <w:t>;</w:t>
      </w:r>
    </w:p>
    <w:p w14:paraId="65347D1B" w14:textId="77777777" w:rsidR="003B3DCA" w:rsidRPr="003460D0" w:rsidRDefault="003B3DCA" w:rsidP="0038676D">
      <w:pPr>
        <w:pStyle w:val="Paragrafoelenco"/>
        <w:numPr>
          <w:ilvl w:val="0"/>
          <w:numId w:val="50"/>
        </w:numPr>
      </w:pPr>
      <w:r w:rsidRPr="00E17935">
        <w:rPr>
          <w:szCs w:val="24"/>
          <w:lang w:eastAsia="it-IT"/>
        </w:rPr>
        <w:t>VG-rise: piattaforma di crowdfunding dedicata ai videogiochi, che punta a mettere in contatto i giocatori con gli sviluppatori.</w:t>
      </w:r>
    </w:p>
    <w:p w14:paraId="29B0510C" w14:textId="77777777" w:rsidR="003B3DCA" w:rsidRDefault="003B3DCA" w:rsidP="003B3DCA">
      <w:r>
        <w:t xml:space="preserve">Tuttavia, come accennato in premessa, </w:t>
      </w:r>
      <w:r w:rsidRPr="00894AEA">
        <w:rPr>
          <w:b/>
        </w:rPr>
        <w:t xml:space="preserve">non esistono </w:t>
      </w:r>
      <w:r>
        <w:rPr>
          <w:b/>
        </w:rPr>
        <w:t xml:space="preserve">ancora </w:t>
      </w:r>
      <w:r w:rsidRPr="00894AEA">
        <w:rPr>
          <w:b/>
        </w:rPr>
        <w:t xml:space="preserve">sufficienti dati per </w:t>
      </w:r>
      <w:r>
        <w:rPr>
          <w:b/>
        </w:rPr>
        <w:t>valutare</w:t>
      </w:r>
      <w:r w:rsidRPr="00894AEA">
        <w:rPr>
          <w:b/>
        </w:rPr>
        <w:t xml:space="preserve"> il livello di efficacia dell’intervento</w:t>
      </w:r>
      <w:r>
        <w:t xml:space="preserve">, anche in virtù della sua </w:t>
      </w:r>
      <w:r w:rsidRPr="00894AEA">
        <w:rPr>
          <w:b/>
        </w:rPr>
        <w:t>natura sperimentale</w:t>
      </w:r>
      <w:r>
        <w:t>, che non ha consentito una comparazione con dati di annualità precedenti, nonché dell’</w:t>
      </w:r>
      <w:r w:rsidRPr="00894AEA">
        <w:rPr>
          <w:b/>
        </w:rPr>
        <w:t>avvento della crisi pandemica</w:t>
      </w:r>
      <w:r>
        <w:t>, che ha notevolmente rallentato e costretto a ripensare gli interventi finanziati.</w:t>
      </w:r>
    </w:p>
    <w:p w14:paraId="6C2203D6" w14:textId="77777777" w:rsidR="003B3DCA" w:rsidRDefault="003B3DCA" w:rsidP="003B3DCA">
      <w:r>
        <w:t xml:space="preserve">Infatti, la </w:t>
      </w:r>
      <w:r w:rsidRPr="00A311BA">
        <w:rPr>
          <w:b/>
        </w:rPr>
        <w:t xml:space="preserve">pandemia dovuta al </w:t>
      </w:r>
      <w:r w:rsidR="0030242F">
        <w:rPr>
          <w:b/>
        </w:rPr>
        <w:t>COVID</w:t>
      </w:r>
      <w:r w:rsidRPr="00A311BA">
        <w:rPr>
          <w:b/>
        </w:rPr>
        <w:t>-19</w:t>
      </w:r>
      <w:r>
        <w:t xml:space="preserve"> ha, sia a giudizio dei beneficiari che dei responsabili della misura, negativamente impattato sull’implementazione dell’intervento, rendendo necessaria una rimodulazione dei progetti. Le </w:t>
      </w:r>
      <w:r w:rsidRPr="00A311BA">
        <w:rPr>
          <w:b/>
        </w:rPr>
        <w:t>principali criticità</w:t>
      </w:r>
      <w:r>
        <w:t xml:space="preserve"> riscontrate sono state le seguenti:</w:t>
      </w:r>
    </w:p>
    <w:p w14:paraId="6FFA17B5" w14:textId="77777777" w:rsidR="003B3DCA" w:rsidRDefault="003B3DCA" w:rsidP="0038676D">
      <w:pPr>
        <w:pStyle w:val="Paragrafoelenco"/>
        <w:numPr>
          <w:ilvl w:val="0"/>
          <w:numId w:val="51"/>
        </w:numPr>
      </w:pPr>
      <w:r w:rsidRPr="00D372C1">
        <w:t xml:space="preserve">il </w:t>
      </w:r>
      <w:r w:rsidRPr="00E17935">
        <w:rPr>
          <w:b/>
          <w:bCs/>
        </w:rPr>
        <w:t>blocco della formazione in presenza</w:t>
      </w:r>
      <w:r>
        <w:t xml:space="preserve">, che ha reso necessaria l’erogazione di formazione a distanza (FAD). Tale necessità ha comportato l’esigenza di </w:t>
      </w:r>
      <w:r w:rsidRPr="00E17935">
        <w:rPr>
          <w:b/>
        </w:rPr>
        <w:t>ripensare e riprogettare</w:t>
      </w:r>
      <w:r>
        <w:t xml:space="preserve">, da parte dei beneficiari, </w:t>
      </w:r>
      <w:r w:rsidRPr="00E17935">
        <w:rPr>
          <w:b/>
        </w:rPr>
        <w:t>tutte le attività previste e procedere alla predisposizione di piattaforme telematiche ad hoc</w:t>
      </w:r>
      <w:r>
        <w:t>. La FAD ha allo stesso tempo limitato la possibilità di aggregazione e di lavoro “in team”, che era parte integrante della misura stessa;</w:t>
      </w:r>
    </w:p>
    <w:p w14:paraId="686C7B67" w14:textId="77777777" w:rsidR="003B3DCA" w:rsidRPr="00E17935" w:rsidRDefault="003B3DCA" w:rsidP="0038676D">
      <w:pPr>
        <w:pStyle w:val="Paragrafoelenco"/>
        <w:numPr>
          <w:ilvl w:val="0"/>
          <w:numId w:val="51"/>
        </w:numPr>
        <w:rPr>
          <w:b/>
          <w:bCs/>
        </w:rPr>
      </w:pPr>
      <w:r w:rsidRPr="00E17935">
        <w:rPr>
          <w:b/>
          <w:bCs/>
        </w:rPr>
        <w:t>l’impossibilità di svolgere lo stage all’estero</w:t>
      </w:r>
      <w:r w:rsidRPr="00C72FEE">
        <w:t xml:space="preserve">, </w:t>
      </w:r>
      <w:r>
        <w:t>che è stato sostituito da attività alternative quali FAD, project work con tutor qualificati, e, quando possibile, stage in Italia;</w:t>
      </w:r>
    </w:p>
    <w:p w14:paraId="24C719FA" w14:textId="77777777" w:rsidR="003B3DCA" w:rsidRPr="00E17935" w:rsidRDefault="003B3DCA" w:rsidP="0038676D">
      <w:pPr>
        <w:pStyle w:val="Paragrafoelenco"/>
        <w:numPr>
          <w:ilvl w:val="0"/>
          <w:numId w:val="51"/>
        </w:numPr>
        <w:rPr>
          <w:b/>
          <w:bCs/>
        </w:rPr>
      </w:pPr>
      <w:r w:rsidRPr="00E17935">
        <w:rPr>
          <w:b/>
          <w:bCs/>
        </w:rPr>
        <w:t>si è reso necessario ampliare l’arco temporale degli interventi da 12 a 18 mesi</w:t>
      </w:r>
      <w:r>
        <w:t>, per consentire lo svolgimento e la conclusione delle attività, i cui tempi di esecuzione sono stati notevolmente rallentati dalle restrizioni dovute alla pandemia:</w:t>
      </w:r>
    </w:p>
    <w:p w14:paraId="053C5375" w14:textId="77777777" w:rsidR="003B3DCA" w:rsidRPr="00E17935" w:rsidRDefault="003B3DCA" w:rsidP="0038676D">
      <w:pPr>
        <w:pStyle w:val="Paragrafoelenco"/>
        <w:numPr>
          <w:ilvl w:val="0"/>
          <w:numId w:val="51"/>
        </w:numPr>
        <w:rPr>
          <w:b/>
          <w:bCs/>
        </w:rPr>
      </w:pPr>
      <w:r w:rsidRPr="00E17935">
        <w:rPr>
          <w:b/>
          <w:bCs/>
        </w:rPr>
        <w:t>la chiusura di attività culturali, a causa della pandemia, ha notevolmente influito sulla motivazione dei partecipanti</w:t>
      </w:r>
      <w:r>
        <w:t>, per i quali si proporranno dei laboratori motivazionali anche a conclusione dei percorsi progettuali.</w:t>
      </w:r>
    </w:p>
    <w:p w14:paraId="765A557D" w14:textId="77777777" w:rsidR="003B3DCA" w:rsidRDefault="003B3DCA" w:rsidP="003B3DCA">
      <w:pPr>
        <w:rPr>
          <w:rFonts w:cstheme="minorHAnsi"/>
        </w:rPr>
      </w:pPr>
      <w:r>
        <w:rPr>
          <w:rFonts w:cstheme="minorHAnsi"/>
        </w:rPr>
        <w:t xml:space="preserve">Nonostante queste criticità, l’analisi condotta ha fatto emergere anche </w:t>
      </w:r>
      <w:r w:rsidRPr="00A311BA">
        <w:rPr>
          <w:rFonts w:cstheme="minorHAnsi"/>
          <w:b/>
        </w:rPr>
        <w:t>lati positivi e opportunità per i beneficiari</w:t>
      </w:r>
      <w:r>
        <w:rPr>
          <w:rFonts w:cstheme="minorHAnsi"/>
        </w:rPr>
        <w:t>, fra cui:</w:t>
      </w:r>
    </w:p>
    <w:p w14:paraId="028EA023" w14:textId="77777777" w:rsidR="003B3DCA" w:rsidRDefault="003B3DCA" w:rsidP="0038676D">
      <w:pPr>
        <w:pStyle w:val="Paragrafoelenco"/>
        <w:numPr>
          <w:ilvl w:val="0"/>
          <w:numId w:val="52"/>
        </w:numPr>
      </w:pPr>
      <w:r w:rsidRPr="00816DD5">
        <w:t xml:space="preserve">la </w:t>
      </w:r>
      <w:r w:rsidRPr="00E17935">
        <w:rPr>
          <w:b/>
        </w:rPr>
        <w:t>facilità di accedere alla formazione, erogata in FAD</w:t>
      </w:r>
      <w:r>
        <w:t>, per coloro che si erano allontanati da Milano e dalla sede delle attività di progetto;</w:t>
      </w:r>
    </w:p>
    <w:p w14:paraId="34A21EC8" w14:textId="77777777" w:rsidR="003B3DCA" w:rsidRDefault="003B3DCA" w:rsidP="0038676D">
      <w:pPr>
        <w:pStyle w:val="Paragrafoelenco"/>
        <w:numPr>
          <w:ilvl w:val="0"/>
          <w:numId w:val="52"/>
        </w:numPr>
      </w:pPr>
      <w:r>
        <w:t>l’</w:t>
      </w:r>
      <w:r w:rsidRPr="00E17935">
        <w:rPr>
          <w:b/>
        </w:rPr>
        <w:t xml:space="preserve">arricchimento del percorso, grazie ai nuovi contatti </w:t>
      </w:r>
      <w:r>
        <w:t>e al coinvolgimento di enti e istituzioni del settore;</w:t>
      </w:r>
    </w:p>
    <w:p w14:paraId="4A839DBF" w14:textId="77777777" w:rsidR="003B3DCA" w:rsidRDefault="003B3DCA" w:rsidP="0038676D">
      <w:pPr>
        <w:pStyle w:val="Paragrafoelenco"/>
        <w:numPr>
          <w:ilvl w:val="0"/>
          <w:numId w:val="52"/>
        </w:numPr>
      </w:pPr>
      <w:r w:rsidRPr="00816DD5">
        <w:t xml:space="preserve">il </w:t>
      </w:r>
      <w:r w:rsidRPr="00E17935">
        <w:rPr>
          <w:b/>
        </w:rPr>
        <w:t>team building</w:t>
      </w:r>
      <w:r w:rsidRPr="00816DD5">
        <w:t xml:space="preserve"> che si è sv</w:t>
      </w:r>
      <w:r>
        <w:t>iluppato per superare le difficoltà di implementazione delle attività;</w:t>
      </w:r>
    </w:p>
    <w:p w14:paraId="364796FB" w14:textId="77777777" w:rsidR="003B3DCA" w:rsidRDefault="003B3DCA" w:rsidP="0038676D">
      <w:pPr>
        <w:pStyle w:val="Paragrafoelenco"/>
        <w:numPr>
          <w:ilvl w:val="0"/>
          <w:numId w:val="52"/>
        </w:numPr>
      </w:pPr>
      <w:r>
        <w:t xml:space="preserve">il riconoscimento del </w:t>
      </w:r>
      <w:r w:rsidRPr="00E17935">
        <w:rPr>
          <w:b/>
        </w:rPr>
        <w:t>valore della misura e la richiesta di un suo prosieguo</w:t>
      </w:r>
      <w:r>
        <w:t xml:space="preserve"> (e perfezionamento) in futuro;</w:t>
      </w:r>
    </w:p>
    <w:p w14:paraId="7377F8EB" w14:textId="77777777" w:rsidR="003B3DCA" w:rsidRDefault="003B3DCA" w:rsidP="0038676D">
      <w:pPr>
        <w:pStyle w:val="Paragrafoelenco"/>
        <w:numPr>
          <w:ilvl w:val="0"/>
          <w:numId w:val="52"/>
        </w:numPr>
      </w:pPr>
      <w:r>
        <w:t>l’</w:t>
      </w:r>
      <w:r w:rsidRPr="00E17935">
        <w:rPr>
          <w:b/>
        </w:rPr>
        <w:t>attività di mentoring</w:t>
      </w:r>
      <w:r>
        <w:t>, che potrebbe essere anticipata (e non più fornita solo nell’ultimo modulo formativo) ed estesa anche ai partecipanti che non arrivano ad aprire una impresa/partita iva, al fine di supportarli in una valutazione delle concrete prospettive di sviluppo dell’idea imprenditoriale;</w:t>
      </w:r>
    </w:p>
    <w:p w14:paraId="5C953220" w14:textId="77777777" w:rsidR="003B3DCA" w:rsidRDefault="003B3DCA" w:rsidP="0038676D">
      <w:pPr>
        <w:pStyle w:val="Paragrafoelenco"/>
        <w:numPr>
          <w:ilvl w:val="0"/>
          <w:numId w:val="52"/>
        </w:numPr>
      </w:pPr>
      <w:r>
        <w:t xml:space="preserve">il </w:t>
      </w:r>
      <w:r w:rsidRPr="00E17935">
        <w:rPr>
          <w:b/>
        </w:rPr>
        <w:t>coinvolgimento dell’incubatore certificato</w:t>
      </w:r>
      <w:r>
        <w:t>, il cui ruolo potrebbe essere in futuro maggiormente valorizzato, e attivato già da una fase iniziale del percorso.</w:t>
      </w:r>
    </w:p>
    <w:p w14:paraId="62B0DF0C" w14:textId="77777777" w:rsidR="003B3DCA" w:rsidRDefault="003B3DCA" w:rsidP="003B3DCA">
      <w:pPr>
        <w:rPr>
          <w:rFonts w:cstheme="minorHAnsi"/>
        </w:rPr>
      </w:pPr>
      <w:r w:rsidRPr="00DD10D2">
        <w:rPr>
          <w:rFonts w:cstheme="minorHAnsi"/>
          <w:b/>
        </w:rPr>
        <w:t>Ulteriori elementi di riflessione</w:t>
      </w:r>
      <w:r>
        <w:rPr>
          <w:rFonts w:cstheme="minorHAnsi"/>
        </w:rPr>
        <w:t xml:space="preserve"> sono emersi dal confronto con i beneficiari, i quali, pur esprimendo un giudizio positivo sulla misura, hanno evidenziato che </w:t>
      </w:r>
      <w:r w:rsidRPr="00DD10D2">
        <w:rPr>
          <w:rFonts w:cstheme="minorHAnsi"/>
          <w:b/>
        </w:rPr>
        <w:t>vi è una durata e una consequenzialità dei moduli troppo rigida</w:t>
      </w:r>
      <w:r>
        <w:rPr>
          <w:rFonts w:cstheme="minorHAnsi"/>
        </w:rPr>
        <w:t xml:space="preserve">, sovente una </w:t>
      </w:r>
      <w:r w:rsidRPr="00DD10D2">
        <w:rPr>
          <w:rFonts w:cstheme="minorHAnsi"/>
          <w:b/>
        </w:rPr>
        <w:t>difficoltà di valorizzazione degli spazi pubblici destinati ad ospitare le start-up</w:t>
      </w:r>
      <w:r>
        <w:rPr>
          <w:rFonts w:cstheme="minorHAnsi"/>
        </w:rPr>
        <w:t xml:space="preserve">, nonché la </w:t>
      </w:r>
      <w:r w:rsidRPr="00DD10D2">
        <w:rPr>
          <w:rFonts w:cstheme="minorHAnsi"/>
          <w:b/>
        </w:rPr>
        <w:t xml:space="preserve">necessità di erogare in regime </w:t>
      </w:r>
      <w:r w:rsidRPr="00DD10D2">
        <w:rPr>
          <w:rFonts w:cstheme="minorHAnsi"/>
          <w:b/>
          <w:i/>
          <w:iCs/>
        </w:rPr>
        <w:t xml:space="preserve">de </w:t>
      </w:r>
      <w:proofErr w:type="spellStart"/>
      <w:r w:rsidRPr="00DD10D2">
        <w:rPr>
          <w:rFonts w:cstheme="minorHAnsi"/>
          <w:b/>
          <w:i/>
          <w:iCs/>
        </w:rPr>
        <w:t>minimis</w:t>
      </w:r>
      <w:proofErr w:type="spellEnd"/>
      <w:r w:rsidRPr="00DD10D2">
        <w:rPr>
          <w:rFonts w:cstheme="minorHAnsi"/>
          <w:b/>
        </w:rPr>
        <w:t xml:space="preserve"> esclusivamente ai partecipanti che costituivano un’impresa (o aprivano una partita iva)</w:t>
      </w:r>
      <w:r w:rsidRPr="00DD10D2">
        <w:rPr>
          <w:rFonts w:cstheme="minorHAnsi"/>
        </w:rPr>
        <w:t>.</w:t>
      </w:r>
    </w:p>
    <w:p w14:paraId="3669BF01" w14:textId="77777777" w:rsidR="00EC5907" w:rsidRDefault="00EC5907" w:rsidP="003B3DCA">
      <w:pPr>
        <w:rPr>
          <w:rFonts w:cstheme="minorHAnsi"/>
        </w:rPr>
      </w:pPr>
    </w:p>
    <w:p w14:paraId="11D15592" w14:textId="77777777" w:rsidR="005F40F4" w:rsidRDefault="005F40F4" w:rsidP="00282A60">
      <w:pPr>
        <w:rPr>
          <w:highlight w:val="yellow"/>
        </w:rPr>
      </w:pPr>
    </w:p>
    <w:p w14:paraId="26CC6B1A" w14:textId="77777777" w:rsidR="003B3DCA" w:rsidRDefault="003B3DCA">
      <w:pPr>
        <w:spacing w:after="320" w:line="300" w:lineRule="auto"/>
        <w:jc w:val="left"/>
        <w:rPr>
          <w:highlight w:val="yellow"/>
        </w:rPr>
      </w:pPr>
      <w:r>
        <w:rPr>
          <w:highlight w:val="yellow"/>
        </w:rPr>
        <w:br w:type="page"/>
      </w:r>
    </w:p>
    <w:p w14:paraId="0B358C9B" w14:textId="77777777" w:rsidR="005F40F4" w:rsidRPr="002800B4" w:rsidRDefault="005F40F4" w:rsidP="00282A60">
      <w:pPr>
        <w:rPr>
          <w:highlight w:val="yellow"/>
        </w:rPr>
      </w:pPr>
    </w:p>
    <w:p w14:paraId="205FC6B7" w14:textId="77777777" w:rsidR="00282A60" w:rsidRPr="00BF3994" w:rsidRDefault="00282A60" w:rsidP="00B27AA3">
      <w:pPr>
        <w:pStyle w:val="Titolo3"/>
      </w:pPr>
      <w:bookmarkStart w:id="133" w:name="_Toc91081416"/>
      <w:r w:rsidRPr="00BF3994">
        <w:t>Principali risultati della valutazione FEASR</w:t>
      </w:r>
      <w:bookmarkEnd w:id="133"/>
    </w:p>
    <w:p w14:paraId="15571AFF" w14:textId="77777777" w:rsidR="00282A60" w:rsidRPr="00BF3994" w:rsidRDefault="00282A60" w:rsidP="00282A60"/>
    <w:p w14:paraId="49B36B2C" w14:textId="77777777" w:rsidR="005F40F4" w:rsidRPr="00BF3994" w:rsidRDefault="005F40F4" w:rsidP="00EC5907">
      <w:pPr>
        <w:pStyle w:val="Titolo4"/>
      </w:pPr>
      <w:r w:rsidRPr="00BF3994">
        <w:t>Introduzione: interventi FEASR oggetto di approfondimento </w:t>
      </w:r>
    </w:p>
    <w:p w14:paraId="03235C37" w14:textId="77777777" w:rsidR="005F40F4" w:rsidRPr="00BF3994" w:rsidRDefault="005F40F4" w:rsidP="005F40F4">
      <w:pPr>
        <w:widowControl w:val="0"/>
        <w:autoSpaceDE w:val="0"/>
        <w:autoSpaceDN w:val="0"/>
        <w:adjustRightInd w:val="0"/>
        <w:rPr>
          <w:szCs w:val="22"/>
        </w:rPr>
      </w:pPr>
      <w:r w:rsidRPr="00BF3994" w:rsidDel="004B7600">
        <w:rPr>
          <w:b/>
          <w:bCs/>
          <w:szCs w:val="22"/>
        </w:rPr>
        <w:t xml:space="preserve"> </w:t>
      </w:r>
    </w:p>
    <w:p w14:paraId="7E956CAA" w14:textId="77777777" w:rsidR="005F40F4" w:rsidRDefault="00E32236" w:rsidP="005F40F4">
      <w:pPr>
        <w:widowControl w:val="0"/>
        <w:autoSpaceDE w:val="0"/>
        <w:autoSpaceDN w:val="0"/>
        <w:adjustRightInd w:val="0"/>
        <w:rPr>
          <w:szCs w:val="22"/>
        </w:rPr>
      </w:pPr>
      <w:r w:rsidRPr="00BF3994">
        <w:rPr>
          <w:szCs w:val="22"/>
        </w:rPr>
        <w:t>L</w:t>
      </w:r>
      <w:r w:rsidR="005F40F4" w:rsidRPr="00BF3994">
        <w:rPr>
          <w:szCs w:val="22"/>
        </w:rPr>
        <w:t xml:space="preserve">’obiettivo </w:t>
      </w:r>
      <w:r w:rsidRPr="00BF3994">
        <w:rPr>
          <w:szCs w:val="22"/>
        </w:rPr>
        <w:t xml:space="preserve">della valutazione è stato quello </w:t>
      </w:r>
      <w:r w:rsidR="005F40F4" w:rsidRPr="00BF3994">
        <w:rPr>
          <w:szCs w:val="22"/>
        </w:rPr>
        <w:t>di comprendere</w:t>
      </w:r>
      <w:r w:rsidR="005F40F4">
        <w:rPr>
          <w:szCs w:val="22"/>
        </w:rPr>
        <w:t xml:space="preserve"> in che misura il PSR ha contribuito a migliorare la competitività del settore agricolo attraverso l’analisi delle Tipologie di Operazione 6.1.01 </w:t>
      </w:r>
      <w:r>
        <w:rPr>
          <w:szCs w:val="22"/>
        </w:rPr>
        <w:t>“</w:t>
      </w:r>
      <w:r w:rsidR="005F40F4">
        <w:rPr>
          <w:szCs w:val="22"/>
        </w:rPr>
        <w:t>ricambio generazionale</w:t>
      </w:r>
      <w:r>
        <w:rPr>
          <w:szCs w:val="22"/>
        </w:rPr>
        <w:t>”</w:t>
      </w:r>
      <w:r w:rsidR="005F40F4">
        <w:rPr>
          <w:szCs w:val="22"/>
        </w:rPr>
        <w:t xml:space="preserve"> e 4.1.01 </w:t>
      </w:r>
      <w:r>
        <w:rPr>
          <w:szCs w:val="22"/>
        </w:rPr>
        <w:t>“</w:t>
      </w:r>
      <w:r w:rsidR="005F40F4">
        <w:rPr>
          <w:szCs w:val="22"/>
        </w:rPr>
        <w:t>investimenti nelle aziende agricole</w:t>
      </w:r>
      <w:r>
        <w:rPr>
          <w:szCs w:val="22"/>
        </w:rPr>
        <w:t>”</w:t>
      </w:r>
      <w:r w:rsidR="005F40F4">
        <w:rPr>
          <w:szCs w:val="22"/>
        </w:rPr>
        <w:t>.</w:t>
      </w:r>
    </w:p>
    <w:p w14:paraId="4576A8ED" w14:textId="77777777" w:rsidR="005F40F4" w:rsidRDefault="005F40F4" w:rsidP="005F40F4">
      <w:pPr>
        <w:widowControl w:val="0"/>
        <w:autoSpaceDE w:val="0"/>
        <w:autoSpaceDN w:val="0"/>
        <w:adjustRightInd w:val="0"/>
        <w:rPr>
          <w:szCs w:val="22"/>
        </w:rPr>
      </w:pPr>
      <w:r>
        <w:rPr>
          <w:szCs w:val="22"/>
        </w:rPr>
        <w:t>Attraverso la 6.1.01 “Incentivi per la costituzione di nuove aziende agricole da parte di giovani agricoltori” il PSR ha promosso il ricambio generazionale nel settore agricolo lombardo favorendo l’insediamento di giovani imprenditori agricoli sia in zone non svantaggiate (contributo di 20.000€) che in zone svantaggiate di montagna (contributo di 30.000 €) previa presentazione ed attuazione di un Piano Aziendale da completarsi entro 5 anni dall’erogazione del contributo. Sono stati emessi tre bandi (2015, 2018, 2019) per un totale di 39mln di€.</w:t>
      </w:r>
    </w:p>
    <w:p w14:paraId="743B5D8B" w14:textId="77777777" w:rsidR="00E20AC0" w:rsidRDefault="00E20AC0" w:rsidP="005F40F4">
      <w:pPr>
        <w:widowControl w:val="0"/>
        <w:autoSpaceDE w:val="0"/>
        <w:autoSpaceDN w:val="0"/>
        <w:adjustRightInd w:val="0"/>
        <w:rPr>
          <w:szCs w:val="22"/>
        </w:rPr>
      </w:pPr>
    </w:p>
    <w:p w14:paraId="24808859" w14:textId="41146313" w:rsidR="005F40F4" w:rsidRPr="004242C0" w:rsidRDefault="005F40F4" w:rsidP="005F40F4">
      <w:pPr>
        <w:widowControl w:val="0"/>
        <w:autoSpaceDE w:val="0"/>
        <w:autoSpaceDN w:val="0"/>
        <w:adjustRightInd w:val="0"/>
        <w:rPr>
          <w:szCs w:val="22"/>
        </w:rPr>
      </w:pPr>
      <w:r>
        <w:rPr>
          <w:szCs w:val="22"/>
        </w:rPr>
        <w:t xml:space="preserve">Attraverso la 4.1.01 “Incentivi per investimenti per la redditività, competitività e sostenibilità delle aziende agricole” il PSR ha incentivato gli investimenti nelle aziende agricole lombarde con un sostegno, erogato in conto capitale, volto alla costruzione e/o ammodernamento di edifici rurali e manufatti, impianti di colture arboree e arbustive specializzate pluriennali, realizzazione e/o ammodernamento degli impianti di trasformazione, commercializzazione e vendita diretta dei prodotti aziendali, acquisto di mezzi per la vendita diretta, acquisto di impianti, macchine e </w:t>
      </w:r>
      <w:r w:rsidRPr="004242C0">
        <w:rPr>
          <w:szCs w:val="22"/>
        </w:rPr>
        <w:t xml:space="preserve">attrezzature innovative o di applicazioni e programmi informatici. </w:t>
      </w:r>
      <w:r w:rsidR="004E6566" w:rsidRPr="004242C0">
        <w:rPr>
          <w:szCs w:val="22"/>
        </w:rPr>
        <w:t>Sono stati emessi quattro bandi (2014, 2015, 2016, 2018) per complessivi 225 mln di €,. Al 31 dicembre 2020, 688aziende avevano concluso -609</w:t>
      </w:r>
      <w:r w:rsidR="006A7837" w:rsidRPr="004242C0">
        <w:rPr>
          <w:szCs w:val="22"/>
        </w:rPr>
        <w:t xml:space="preserve"> </w:t>
      </w:r>
      <w:r w:rsidR="004E6566" w:rsidRPr="004242C0">
        <w:rPr>
          <w:szCs w:val="22"/>
        </w:rPr>
        <w:t xml:space="preserve">interventi investendo per domanda in media 593.732 € </w:t>
      </w:r>
      <w:r w:rsidRPr="004242C0">
        <w:rPr>
          <w:szCs w:val="22"/>
        </w:rPr>
        <w:t xml:space="preserve">Il settore zootecnico è stato quello che ha ottenuto il maggior numero di finanziamenti per domanda (57%), e le aziende di minori dimensioni quelle più propense ad investire. </w:t>
      </w:r>
    </w:p>
    <w:p w14:paraId="71FB72B4" w14:textId="77777777" w:rsidR="00E20AC0" w:rsidRPr="004242C0" w:rsidRDefault="00E20AC0" w:rsidP="005F40F4">
      <w:pPr>
        <w:widowControl w:val="0"/>
        <w:autoSpaceDE w:val="0"/>
        <w:autoSpaceDN w:val="0"/>
        <w:adjustRightInd w:val="0"/>
        <w:rPr>
          <w:szCs w:val="22"/>
        </w:rPr>
      </w:pPr>
    </w:p>
    <w:p w14:paraId="566C6251" w14:textId="77777777" w:rsidR="005F40F4" w:rsidRPr="004242C0" w:rsidRDefault="005F40F4" w:rsidP="005F40F4">
      <w:pPr>
        <w:widowControl w:val="0"/>
        <w:autoSpaceDE w:val="0"/>
        <w:autoSpaceDN w:val="0"/>
        <w:adjustRightInd w:val="0"/>
        <w:rPr>
          <w:szCs w:val="22"/>
        </w:rPr>
      </w:pPr>
      <w:r w:rsidRPr="004242C0">
        <w:rPr>
          <w:szCs w:val="22"/>
        </w:rPr>
        <w:t>I beneficiari hanno concluso i propri interventi entro il 2018, mentre il Valutatore ha raccolto le informazioni per condurre la propria analisi tra la fine del 2020 e l’inizio del 2021 (pertanto i dati rilevati si riferiscono all’anno contabile 2019). Nei questionari utilizzati è stata introdotta una sezione volta a comprendere l’impatto della pandemia da COVID-19.</w:t>
      </w:r>
    </w:p>
    <w:p w14:paraId="1704B23E" w14:textId="77777777" w:rsidR="005F40F4" w:rsidRPr="004242C0" w:rsidRDefault="005F40F4" w:rsidP="005F40F4">
      <w:pPr>
        <w:widowControl w:val="0"/>
        <w:autoSpaceDE w:val="0"/>
        <w:autoSpaceDN w:val="0"/>
        <w:adjustRightInd w:val="0"/>
        <w:rPr>
          <w:szCs w:val="22"/>
        </w:rPr>
      </w:pPr>
    </w:p>
    <w:p w14:paraId="2A36AED2" w14:textId="77777777" w:rsidR="005F40F4" w:rsidRPr="004242C0" w:rsidRDefault="005F40F4" w:rsidP="005F40F4">
      <w:pPr>
        <w:widowControl w:val="0"/>
        <w:autoSpaceDE w:val="0"/>
        <w:autoSpaceDN w:val="0"/>
        <w:adjustRightInd w:val="0"/>
        <w:rPr>
          <w:szCs w:val="22"/>
        </w:rPr>
      </w:pPr>
    </w:p>
    <w:p w14:paraId="0EDD6DE8" w14:textId="77777777" w:rsidR="005F40F4" w:rsidRPr="004242C0" w:rsidRDefault="00E32236" w:rsidP="00EC5907">
      <w:pPr>
        <w:pStyle w:val="Titolo4"/>
      </w:pPr>
      <w:r w:rsidRPr="004242C0">
        <w:t>Analisi e metodi utilizzati</w:t>
      </w:r>
    </w:p>
    <w:p w14:paraId="5FCE18EC" w14:textId="77777777" w:rsidR="005F40F4" w:rsidRPr="004242C0" w:rsidRDefault="005F40F4" w:rsidP="005F40F4">
      <w:pPr>
        <w:widowControl w:val="0"/>
        <w:autoSpaceDE w:val="0"/>
        <w:autoSpaceDN w:val="0"/>
        <w:adjustRightInd w:val="0"/>
        <w:rPr>
          <w:szCs w:val="22"/>
        </w:rPr>
      </w:pPr>
    </w:p>
    <w:p w14:paraId="009F060E" w14:textId="4629AB9D" w:rsidR="005F40F4" w:rsidRDefault="005F40F4" w:rsidP="005F40F4">
      <w:pPr>
        <w:widowControl w:val="0"/>
        <w:autoSpaceDE w:val="0"/>
        <w:autoSpaceDN w:val="0"/>
        <w:adjustRightInd w:val="0"/>
        <w:rPr>
          <w:szCs w:val="22"/>
        </w:rPr>
      </w:pPr>
      <w:r w:rsidRPr="004242C0">
        <w:rPr>
          <w:szCs w:val="22"/>
        </w:rPr>
        <w:t xml:space="preserve">L’analisi si basa sulle indagini dirette condotte dal Valutatore, che hanno interessato n. 25 giovani agricoltori neo insediati </w:t>
      </w:r>
      <w:r w:rsidR="008A1703" w:rsidRPr="004242C0">
        <w:rPr>
          <w:szCs w:val="22"/>
        </w:rPr>
        <w:t>“</w:t>
      </w:r>
      <w:r w:rsidRPr="004242C0">
        <w:rPr>
          <w:szCs w:val="22"/>
        </w:rPr>
        <w:t>rappresentativi</w:t>
      </w:r>
      <w:r w:rsidR="008A1703" w:rsidRPr="004242C0">
        <w:rPr>
          <w:szCs w:val="22"/>
        </w:rPr>
        <w:t>”</w:t>
      </w:r>
      <w:r w:rsidRPr="004242C0">
        <w:rPr>
          <w:szCs w:val="22"/>
        </w:rPr>
        <w:t xml:space="preserve"> di n</w:t>
      </w:r>
      <w:r w:rsidR="004E6566" w:rsidRPr="004242C0">
        <w:rPr>
          <w:szCs w:val="22"/>
        </w:rPr>
        <w:t xml:space="preserve">. 236 </w:t>
      </w:r>
      <w:r w:rsidRPr="004242C0">
        <w:rPr>
          <w:szCs w:val="22"/>
        </w:rPr>
        <w:t>giovani beneficiari che han concluso il loro Piano Aziendale entro il 31/12/2018. La principale finalità valutativa è stata quella di integrare</w:t>
      </w:r>
      <w:r>
        <w:rPr>
          <w:szCs w:val="22"/>
        </w:rPr>
        <w:t xml:space="preserve"> le informazioni secondarie ricavabili dal sistema di monitoraggio regionale SISCO con informazioni raccolte direttamente presso i beneficiari degli interventi.</w:t>
      </w:r>
    </w:p>
    <w:p w14:paraId="6FB80546" w14:textId="77777777" w:rsidR="005F40F4" w:rsidRDefault="005F40F4" w:rsidP="005F40F4">
      <w:pPr>
        <w:widowControl w:val="0"/>
        <w:autoSpaceDE w:val="0"/>
        <w:autoSpaceDN w:val="0"/>
        <w:adjustRightInd w:val="0"/>
        <w:rPr>
          <w:szCs w:val="22"/>
        </w:rPr>
      </w:pPr>
      <w:r>
        <w:rPr>
          <w:szCs w:val="22"/>
        </w:rPr>
        <w:t xml:space="preserve">Per quanto riguarda il TO 6.1.01 “Incentivi per la costituzione di nuove aziende agricole da parte di giovani agricoltori”, sono stati analizzati dei gruppi (o “strati”) con carattere comune (“fattore di stratificazione”), secondo comparto di riferimento (Zootecnia da latte o da carne, Vitivinicolo, Cereali, Ortofrutta, Avicunicolo, Florovivaismo, Miele, Altri), distinti per classe di dimensione economica (&lt;25 </w:t>
      </w:r>
      <w:r w:rsidRPr="00772FB6">
        <w:rPr>
          <w:szCs w:val="22"/>
        </w:rPr>
        <w:t>mila euro, 25-50 mila euro, 50-100 mila euro, &gt;100 mila euro), in conformità con le classi CREA (Consiglio per la ricerca in agricoltura e l’analisi dell’economia agraria) per la Rete di Informazione Contabile Agricola (RICA), al fine di poter confrontare i risultati rilevati dal Valutatore con quelli contenuti nella banca dati RICA (analisi controfattuale). Fattore cardine è stata considerata la dimensione economica delle aziende beneficiarie, espressa in</w:t>
      </w:r>
      <w:r>
        <w:rPr>
          <w:szCs w:val="22"/>
        </w:rPr>
        <w:t xml:space="preserve"> termini di Produzione Standard (PS).</w:t>
      </w:r>
    </w:p>
    <w:p w14:paraId="01AF457F" w14:textId="77777777" w:rsidR="005F40F4" w:rsidRDefault="005F40F4" w:rsidP="005F40F4">
      <w:pPr>
        <w:widowControl w:val="0"/>
        <w:autoSpaceDE w:val="0"/>
        <w:autoSpaceDN w:val="0"/>
        <w:adjustRightInd w:val="0"/>
        <w:rPr>
          <w:szCs w:val="22"/>
        </w:rPr>
      </w:pPr>
      <w:r>
        <w:rPr>
          <w:szCs w:val="22"/>
        </w:rPr>
        <w:t>Per quanto riguarda il TO 4.1.01, invece, L’analisi si basa sulle indagini dirette condotte dal Valutatore su n. 276 beneficiari del TO 4.1.01 appartenenti alla FA 2A che hanno concluso i loro investimenti aziendali entro il 31/12/2018 rilevando così nel 2020 i risultati raggiunti dalle aziende un anno dopo la conclusione degli investimenti.</w:t>
      </w:r>
    </w:p>
    <w:p w14:paraId="3C09C9EA" w14:textId="77777777" w:rsidR="00E20AC0" w:rsidRDefault="00E20AC0" w:rsidP="005F40F4">
      <w:pPr>
        <w:widowControl w:val="0"/>
        <w:autoSpaceDE w:val="0"/>
        <w:autoSpaceDN w:val="0"/>
        <w:adjustRightInd w:val="0"/>
        <w:rPr>
          <w:szCs w:val="22"/>
        </w:rPr>
      </w:pPr>
    </w:p>
    <w:p w14:paraId="5E93F95D" w14:textId="77777777" w:rsidR="005F40F4" w:rsidRDefault="00E32236" w:rsidP="005F40F4">
      <w:pPr>
        <w:widowControl w:val="0"/>
        <w:autoSpaceDE w:val="0"/>
        <w:autoSpaceDN w:val="0"/>
        <w:adjustRightInd w:val="0"/>
        <w:rPr>
          <w:szCs w:val="22"/>
        </w:rPr>
      </w:pPr>
      <w:r>
        <w:rPr>
          <w:szCs w:val="22"/>
        </w:rPr>
        <w:t>Anche in questo caso l</w:t>
      </w:r>
      <w:r w:rsidR="005F40F4">
        <w:rPr>
          <w:szCs w:val="22"/>
        </w:rPr>
        <w:t xml:space="preserve">a principale finalità è stata quella di integrare le informazioni secondarie ricavabili dal sistema di monitoraggio regionale SISCO con informazioni raccolte direttamente presso i beneficiari degli interventi. </w:t>
      </w:r>
      <w:r>
        <w:rPr>
          <w:szCs w:val="22"/>
        </w:rPr>
        <w:t xml:space="preserve">Come per il TO 6.1.01, </w:t>
      </w:r>
      <w:r w:rsidR="005F40F4">
        <w:rPr>
          <w:szCs w:val="22"/>
        </w:rPr>
        <w:t>sono stati analizzati dei gruppi (o “strati”) con carattere comune (“fattore di stratificazione”), secondo comparto di riferimento  e distinti per classe di dimensione economica al fine di poter confrontare i risultati rilevati dal Valutatore con quelli contenuti nella banca dati RICA (controfattuale).</w:t>
      </w:r>
    </w:p>
    <w:p w14:paraId="6DD25014" w14:textId="77777777" w:rsidR="005F40F4" w:rsidRDefault="005F40F4" w:rsidP="005F40F4">
      <w:pPr>
        <w:widowControl w:val="0"/>
        <w:autoSpaceDE w:val="0"/>
        <w:autoSpaceDN w:val="0"/>
        <w:adjustRightInd w:val="0"/>
        <w:rPr>
          <w:szCs w:val="22"/>
        </w:rPr>
      </w:pPr>
      <w:r>
        <w:rPr>
          <w:szCs w:val="22"/>
        </w:rPr>
        <w:t xml:space="preserve">Le indagini sono state condotte con metodologia CAPI (Computer </w:t>
      </w:r>
      <w:proofErr w:type="spellStart"/>
      <w:r>
        <w:rPr>
          <w:szCs w:val="22"/>
        </w:rPr>
        <w:t>Assisted</w:t>
      </w:r>
      <w:proofErr w:type="spellEnd"/>
      <w:r>
        <w:rPr>
          <w:szCs w:val="22"/>
        </w:rPr>
        <w:t xml:space="preserve"> Personal </w:t>
      </w:r>
      <w:proofErr w:type="spellStart"/>
      <w:r>
        <w:rPr>
          <w:szCs w:val="22"/>
        </w:rPr>
        <w:t>Interviewing</w:t>
      </w:r>
      <w:proofErr w:type="spellEnd"/>
      <w:r>
        <w:rPr>
          <w:szCs w:val="22"/>
        </w:rPr>
        <w:t>) tra novembre 2020 e gennaio 2021; nel corso delle indagini i tecnici rilevatori han somministrato ai beneficiari un questionario che</w:t>
      </w:r>
      <w:r w:rsidR="00E32236">
        <w:rPr>
          <w:szCs w:val="22"/>
        </w:rPr>
        <w:t xml:space="preserve"> si concentra su</w:t>
      </w:r>
      <w:r>
        <w:rPr>
          <w:szCs w:val="22"/>
        </w:rPr>
        <w:t xml:space="preserve"> quattro aspetti: </w:t>
      </w:r>
    </w:p>
    <w:p w14:paraId="385713AA" w14:textId="77777777" w:rsidR="005F40F4" w:rsidRPr="00456825" w:rsidRDefault="005F40F4" w:rsidP="0038676D">
      <w:pPr>
        <w:pStyle w:val="Paragrafoelenco"/>
        <w:widowControl w:val="0"/>
        <w:numPr>
          <w:ilvl w:val="0"/>
          <w:numId w:val="34"/>
        </w:numPr>
        <w:autoSpaceDE w:val="0"/>
        <w:autoSpaceDN w:val="0"/>
        <w:adjustRightInd w:val="0"/>
        <w:rPr>
          <w:szCs w:val="22"/>
        </w:rPr>
      </w:pPr>
      <w:r w:rsidRPr="00456825">
        <w:rPr>
          <w:szCs w:val="22"/>
        </w:rPr>
        <w:t xml:space="preserve">Caratteristiche dei beneficiari; </w:t>
      </w:r>
    </w:p>
    <w:p w14:paraId="7F9A3918" w14:textId="77777777" w:rsidR="005F40F4" w:rsidRPr="00456825" w:rsidRDefault="005F40F4" w:rsidP="0038676D">
      <w:pPr>
        <w:pStyle w:val="Paragrafoelenco"/>
        <w:widowControl w:val="0"/>
        <w:numPr>
          <w:ilvl w:val="0"/>
          <w:numId w:val="34"/>
        </w:numPr>
        <w:autoSpaceDE w:val="0"/>
        <w:autoSpaceDN w:val="0"/>
        <w:adjustRightInd w:val="0"/>
        <w:rPr>
          <w:szCs w:val="22"/>
        </w:rPr>
      </w:pPr>
      <w:r w:rsidRPr="00456825">
        <w:rPr>
          <w:szCs w:val="22"/>
        </w:rPr>
        <w:t xml:space="preserve">Partecipazione ai corsi di formazione promossi (per 6.1.01) o </w:t>
      </w:r>
      <w:r w:rsidR="00E32236">
        <w:rPr>
          <w:szCs w:val="22"/>
        </w:rPr>
        <w:t>r</w:t>
      </w:r>
      <w:r w:rsidRPr="00456825">
        <w:rPr>
          <w:szCs w:val="22"/>
        </w:rPr>
        <w:t>icadute degli investimenti relativamente a canali commerciali, filiera, qualità delle produzioni, innovazione, aspetti ambientali (per 4.1.01);</w:t>
      </w:r>
    </w:p>
    <w:p w14:paraId="5A8D53D7" w14:textId="77777777" w:rsidR="005F40F4" w:rsidRPr="00456825" w:rsidRDefault="005F40F4" w:rsidP="0038676D">
      <w:pPr>
        <w:pStyle w:val="Paragrafoelenco"/>
        <w:widowControl w:val="0"/>
        <w:numPr>
          <w:ilvl w:val="0"/>
          <w:numId w:val="34"/>
        </w:numPr>
        <w:autoSpaceDE w:val="0"/>
        <w:autoSpaceDN w:val="0"/>
        <w:adjustRightInd w:val="0"/>
        <w:rPr>
          <w:szCs w:val="22"/>
        </w:rPr>
      </w:pPr>
      <w:r w:rsidRPr="00456825">
        <w:rPr>
          <w:szCs w:val="22"/>
        </w:rPr>
        <w:t xml:space="preserve">Risultati economici raggiunti; </w:t>
      </w:r>
    </w:p>
    <w:p w14:paraId="7AD63E56" w14:textId="77777777" w:rsidR="005F40F4" w:rsidRPr="00456825" w:rsidRDefault="005F40F4" w:rsidP="0038676D">
      <w:pPr>
        <w:pStyle w:val="Paragrafoelenco"/>
        <w:widowControl w:val="0"/>
        <w:numPr>
          <w:ilvl w:val="0"/>
          <w:numId w:val="34"/>
        </w:numPr>
        <w:autoSpaceDE w:val="0"/>
        <w:autoSpaceDN w:val="0"/>
        <w:adjustRightInd w:val="0"/>
        <w:rPr>
          <w:szCs w:val="22"/>
        </w:rPr>
      </w:pPr>
      <w:r w:rsidRPr="00456825">
        <w:rPr>
          <w:szCs w:val="22"/>
        </w:rPr>
        <w:t xml:space="preserve">Conoscenza del PSR da parte dei giovani ed aspettative future. </w:t>
      </w:r>
    </w:p>
    <w:p w14:paraId="08226447" w14:textId="77777777" w:rsidR="005F40F4" w:rsidRDefault="005F40F4" w:rsidP="005F40F4">
      <w:pPr>
        <w:widowControl w:val="0"/>
        <w:autoSpaceDE w:val="0"/>
        <w:autoSpaceDN w:val="0"/>
        <w:adjustRightInd w:val="0"/>
        <w:rPr>
          <w:szCs w:val="22"/>
        </w:rPr>
      </w:pPr>
    </w:p>
    <w:p w14:paraId="2A6DB529" w14:textId="77777777" w:rsidR="00BF3994" w:rsidRDefault="00BF3994" w:rsidP="005F40F4">
      <w:pPr>
        <w:widowControl w:val="0"/>
        <w:autoSpaceDE w:val="0"/>
        <w:autoSpaceDN w:val="0"/>
        <w:adjustRightInd w:val="0"/>
        <w:rPr>
          <w:szCs w:val="22"/>
        </w:rPr>
      </w:pPr>
    </w:p>
    <w:p w14:paraId="4DCBB6AB" w14:textId="77777777" w:rsidR="005F40F4" w:rsidRPr="00456825" w:rsidRDefault="005F40F4" w:rsidP="00EC5907">
      <w:pPr>
        <w:pStyle w:val="Titolo4"/>
      </w:pPr>
      <w:r w:rsidRPr="00456825">
        <w:t>Risultati della valutazione degli interventi per l’imprenditorialità</w:t>
      </w:r>
    </w:p>
    <w:p w14:paraId="1B2B909F" w14:textId="77777777" w:rsidR="005F40F4" w:rsidRDefault="005F40F4" w:rsidP="005F40F4">
      <w:pPr>
        <w:widowControl w:val="0"/>
        <w:autoSpaceDE w:val="0"/>
        <w:autoSpaceDN w:val="0"/>
        <w:adjustRightInd w:val="0"/>
        <w:rPr>
          <w:szCs w:val="22"/>
        </w:rPr>
      </w:pPr>
    </w:p>
    <w:p w14:paraId="7157D6B6" w14:textId="77777777" w:rsidR="005F40F4" w:rsidRDefault="005F40F4" w:rsidP="005F40F4">
      <w:pPr>
        <w:widowControl w:val="0"/>
        <w:autoSpaceDE w:val="0"/>
        <w:autoSpaceDN w:val="0"/>
        <w:adjustRightInd w:val="0"/>
        <w:rPr>
          <w:szCs w:val="22"/>
        </w:rPr>
      </w:pPr>
      <w:r>
        <w:rPr>
          <w:szCs w:val="22"/>
        </w:rPr>
        <w:t>Gli interventi del PSR in favore dei giovani (neo</w:t>
      </w:r>
      <w:r w:rsidR="00513021">
        <w:rPr>
          <w:szCs w:val="22"/>
        </w:rPr>
        <w:t>-</w:t>
      </w:r>
      <w:r>
        <w:rPr>
          <w:szCs w:val="22"/>
        </w:rPr>
        <w:t>insediatisi) hanno premiato aziende con una SAU (Superficie Agricola Utilizzata) dalle dimensioni fisiche superiori al dato di contesto regionale (41,97 ha vs 30,73 ha) ma con PS (</w:t>
      </w:r>
      <w:r w:rsidR="00513021">
        <w:rPr>
          <w:szCs w:val="22"/>
        </w:rPr>
        <w:t>p</w:t>
      </w:r>
      <w:r>
        <w:rPr>
          <w:szCs w:val="22"/>
        </w:rPr>
        <w:t xml:space="preserve">roduzione standard) inferiore (69.227 € vs 322.862 €). Ciò in quanto il PSR, come definito dai bandi del TO 6.1.01, favoriva la partecipazione di aziende “estensive” (con un rapporto PS/SAU inferiore alla media regionale) premiando in special modo quelle operanti in contesti montani. </w:t>
      </w:r>
    </w:p>
    <w:p w14:paraId="51D4F1BD" w14:textId="77777777" w:rsidR="005F40F4" w:rsidRDefault="005F40F4" w:rsidP="005F40F4">
      <w:pPr>
        <w:widowControl w:val="0"/>
        <w:autoSpaceDE w:val="0"/>
        <w:autoSpaceDN w:val="0"/>
        <w:adjustRightInd w:val="0"/>
        <w:rPr>
          <w:szCs w:val="22"/>
        </w:rPr>
      </w:pPr>
      <w:r>
        <w:rPr>
          <w:szCs w:val="22"/>
        </w:rPr>
        <w:t xml:space="preserve">Colpisce l’aspetto anagrafico sommato a quello culturale: a fronte di un’età media di 26,5 anni la scolarizzazione di grado superiore è dell’80% (68% diploma di scuola media superiore e 12% laurea), con un 24% del totale che ha compiuto studi attinenti al settore agricolo. </w:t>
      </w:r>
    </w:p>
    <w:p w14:paraId="714AAF9B" w14:textId="77777777" w:rsidR="005F40F4" w:rsidRDefault="005F40F4" w:rsidP="005F40F4">
      <w:pPr>
        <w:widowControl w:val="0"/>
        <w:autoSpaceDE w:val="0"/>
        <w:autoSpaceDN w:val="0"/>
        <w:adjustRightInd w:val="0"/>
        <w:rPr>
          <w:szCs w:val="22"/>
        </w:rPr>
      </w:pPr>
      <w:r>
        <w:rPr>
          <w:szCs w:val="22"/>
        </w:rPr>
        <w:t>Il subentro in attività esistenti riguarda il 56% dei casi, per successione ad attività familiari, quindi spesso con la volontà di proseguire l’attività di famiglia (43% dei casi) o per affitto di aziende già avviate (29% dei casi); ad ogni modo la decisione di insediarsi è stata quasi sempre una scelta personale legata alla volontà di  adottare uno stile di vita differente e più raramente alla mancanza di alternative occupazionali.</w:t>
      </w:r>
    </w:p>
    <w:p w14:paraId="593FC63E" w14:textId="77777777" w:rsidR="005F40F4" w:rsidRDefault="005F40F4" w:rsidP="005F40F4">
      <w:pPr>
        <w:widowControl w:val="0"/>
        <w:autoSpaceDE w:val="0"/>
        <w:autoSpaceDN w:val="0"/>
        <w:adjustRightInd w:val="0"/>
        <w:rPr>
          <w:szCs w:val="22"/>
        </w:rPr>
      </w:pPr>
      <w:r>
        <w:rPr>
          <w:szCs w:val="22"/>
        </w:rPr>
        <w:t xml:space="preserve">L’accesso al PSR, il cui premio è stato ritenuto adeguato dal 60% dei giovani, ha influenzato la scelta di insediarsi nel 44% dei casi, senza che questi abbiano avuto difficoltà ad accedervi (salvo integrarlo con altri investimenti). L’obbligatorietà della presentazione di un </w:t>
      </w:r>
      <w:r w:rsidR="00513021">
        <w:rPr>
          <w:szCs w:val="22"/>
        </w:rPr>
        <w:t>p</w:t>
      </w:r>
      <w:r>
        <w:rPr>
          <w:szCs w:val="22"/>
        </w:rPr>
        <w:t xml:space="preserve">iano aziendale, poi, non è stata un limite: questo è stato valutato uno strumento utile nella risoluzione delle problematiche aziendali dal 60% dei beneficiari (solo per il 28% è poco rilevante). Gli obiettivi principali sono stati il miglioramento della gestione economica ed agronomica dell’azienda (60%), il miglioramento della sostenibilità ambientale (48%) e gli interventi relativi alla produzione o ai sistemi di produzione (44%). I settori più attrattivi </w:t>
      </w:r>
      <w:r w:rsidR="00513021">
        <w:rPr>
          <w:szCs w:val="22"/>
        </w:rPr>
        <w:t xml:space="preserve">sono risultati </w:t>
      </w:r>
      <w:r>
        <w:rPr>
          <w:szCs w:val="22"/>
        </w:rPr>
        <w:t xml:space="preserve">lo zootecnico (32%) ed il cerealicolo (24%) seguiti dall’ortofrutticolo e dal vitivinicolo (entrambi al 12%). </w:t>
      </w:r>
    </w:p>
    <w:p w14:paraId="7EA518F4" w14:textId="77777777" w:rsidR="005F40F4" w:rsidRDefault="005F40F4" w:rsidP="005F40F4">
      <w:pPr>
        <w:widowControl w:val="0"/>
        <w:autoSpaceDE w:val="0"/>
        <w:autoSpaceDN w:val="0"/>
        <w:adjustRightInd w:val="0"/>
        <w:rPr>
          <w:szCs w:val="22"/>
        </w:rPr>
      </w:pPr>
    </w:p>
    <w:p w14:paraId="1EBB4014" w14:textId="77777777" w:rsidR="005F40F4" w:rsidRDefault="005F40F4" w:rsidP="005F40F4">
      <w:pPr>
        <w:widowControl w:val="0"/>
        <w:autoSpaceDE w:val="0"/>
        <w:autoSpaceDN w:val="0"/>
        <w:adjustRightInd w:val="0"/>
        <w:rPr>
          <w:szCs w:val="22"/>
        </w:rPr>
      </w:pPr>
      <w:r>
        <w:rPr>
          <w:szCs w:val="22"/>
        </w:rPr>
        <w:t xml:space="preserve">Per ciò che concerne la partecipazione dei giovani ai corsi di formazione promossi dal PSR, va chiarito che il TO 1.1.01 prevedeva uno o più corsi di formazione, che solo il 10% dei giovani ha attivato, focalizzandosi sugli aspetti tecnico economici (44% dei casi), sugli adempimenti normativi (32% dei casi), sui sistemi innovativi di produzione (32% dei casi), sui sistemi di gestione delle risorse idriche, dei fertilizzanti e dei pesticidi (28% dei casi). Per il 40% degli intervistati le tematiche proposte soddisfacevano i fabbisogni formativi. </w:t>
      </w:r>
    </w:p>
    <w:p w14:paraId="1096076D" w14:textId="77777777" w:rsidR="005F40F4" w:rsidRDefault="005F40F4" w:rsidP="005F40F4">
      <w:pPr>
        <w:widowControl w:val="0"/>
        <w:autoSpaceDE w:val="0"/>
        <w:autoSpaceDN w:val="0"/>
        <w:adjustRightInd w:val="0"/>
        <w:rPr>
          <w:szCs w:val="22"/>
        </w:rPr>
      </w:pPr>
      <w:r>
        <w:rPr>
          <w:szCs w:val="22"/>
        </w:rPr>
        <w:t xml:space="preserve">Interessante, in assenza di obbligatorietà, che il 68% dei giovani abbia attivato altri interventi del PSR: il 47% il TO 13.1.01 “Indennità compensativa nelle aree svantaggiate di montagna”, il 23,5% il TO 10.1.04 “Agricoltura conservativa”, il 17,6% il TO 4.1.01 “Incentivi per investimenti per la redditività, competitività e sostenibilità delle aziende agricole”. </w:t>
      </w:r>
    </w:p>
    <w:p w14:paraId="66A79100" w14:textId="77777777" w:rsidR="005F40F4" w:rsidRDefault="005F40F4" w:rsidP="005F40F4">
      <w:pPr>
        <w:widowControl w:val="0"/>
        <w:autoSpaceDE w:val="0"/>
        <w:autoSpaceDN w:val="0"/>
        <w:adjustRightInd w:val="0"/>
        <w:rPr>
          <w:szCs w:val="22"/>
        </w:rPr>
      </w:pPr>
    </w:p>
    <w:p w14:paraId="457293E0" w14:textId="77777777" w:rsidR="005F40F4" w:rsidRDefault="005F40F4" w:rsidP="005F40F4">
      <w:pPr>
        <w:widowControl w:val="0"/>
        <w:autoSpaceDE w:val="0"/>
        <w:autoSpaceDN w:val="0"/>
        <w:adjustRightInd w:val="0"/>
        <w:rPr>
          <w:szCs w:val="22"/>
        </w:rPr>
      </w:pPr>
      <w:r>
        <w:rPr>
          <w:szCs w:val="22"/>
        </w:rPr>
        <w:t>Relativamente alla comunicazione del PSR e all’utilizzo delle tecnologie informatiche da parte dei giovani neo</w:t>
      </w:r>
      <w:r w:rsidR="00513021">
        <w:rPr>
          <w:szCs w:val="22"/>
        </w:rPr>
        <w:t>-</w:t>
      </w:r>
      <w:r>
        <w:rPr>
          <w:szCs w:val="22"/>
        </w:rPr>
        <w:t xml:space="preserve">insediati, sembrano essere le </w:t>
      </w:r>
      <w:r w:rsidR="00513021">
        <w:rPr>
          <w:szCs w:val="22"/>
        </w:rPr>
        <w:t>o</w:t>
      </w:r>
      <w:r>
        <w:rPr>
          <w:szCs w:val="22"/>
        </w:rPr>
        <w:t xml:space="preserve">rganizzazioni professionali (64%) ed i canali non istituzionali regionali a diffonderne la conoscenza; i mezzi della Regione devono, quindi rafforzare, la comunicazione istituzionale, specie in considerazione del fatto che, come rilevato, tutti i giovani dispongono di un PC e di un collegamento ad </w:t>
      </w:r>
      <w:r w:rsidR="00513021">
        <w:rPr>
          <w:szCs w:val="22"/>
        </w:rPr>
        <w:t>I</w:t>
      </w:r>
      <w:r>
        <w:rPr>
          <w:szCs w:val="22"/>
        </w:rPr>
        <w:t xml:space="preserve">nternet in azienda, sebbene questi mezzi vengano utilizzati soprattutto per verificare la presenza di nuovi prodotti o nuove tecniche, e mai per la commercializzazione dei loro prodotti o per acquistare beni e servizi funzionali all’attività, per cui </w:t>
      </w:r>
      <w:r w:rsidR="00513021">
        <w:rPr>
          <w:szCs w:val="22"/>
        </w:rPr>
        <w:t xml:space="preserve">si </w:t>
      </w:r>
      <w:r>
        <w:rPr>
          <w:szCs w:val="22"/>
        </w:rPr>
        <w:t xml:space="preserve">preferiscono i canali tradizionali. </w:t>
      </w:r>
    </w:p>
    <w:p w14:paraId="579FE146" w14:textId="77777777" w:rsidR="005F40F4" w:rsidRDefault="005F40F4" w:rsidP="005F40F4">
      <w:pPr>
        <w:widowControl w:val="0"/>
        <w:autoSpaceDE w:val="0"/>
        <w:autoSpaceDN w:val="0"/>
        <w:adjustRightInd w:val="0"/>
        <w:rPr>
          <w:szCs w:val="22"/>
        </w:rPr>
      </w:pPr>
      <w:r>
        <w:rPr>
          <w:szCs w:val="22"/>
        </w:rPr>
        <w:t>Sebbene utilizzino i social network e nel 50% dei casi abbiano un profilo aziendale Facebook, il 64% dei giovani ritiene questi mezzi non rilevanti per lo sviluppo aziendale.</w:t>
      </w:r>
    </w:p>
    <w:p w14:paraId="2B921FA9" w14:textId="77777777" w:rsidR="005F40F4" w:rsidRDefault="005F40F4" w:rsidP="005F40F4">
      <w:pPr>
        <w:widowControl w:val="0"/>
        <w:autoSpaceDE w:val="0"/>
        <w:autoSpaceDN w:val="0"/>
        <w:adjustRightInd w:val="0"/>
        <w:rPr>
          <w:szCs w:val="22"/>
        </w:rPr>
      </w:pPr>
    </w:p>
    <w:p w14:paraId="1FD55915" w14:textId="77777777" w:rsidR="005F40F4" w:rsidRDefault="005F40F4" w:rsidP="005F40F4">
      <w:pPr>
        <w:widowControl w:val="0"/>
        <w:autoSpaceDE w:val="0"/>
        <w:autoSpaceDN w:val="0"/>
        <w:adjustRightInd w:val="0"/>
        <w:rPr>
          <w:szCs w:val="22"/>
        </w:rPr>
      </w:pPr>
      <w:r>
        <w:rPr>
          <w:szCs w:val="22"/>
        </w:rPr>
        <w:t>Per quanto concerne il TO 4.1.01, l’età media nelle aziende beneficiarie è più contenuta rispetto alla media regionale: il 16,3% ha meno di 40 anni (vs 10,7%), il 57,2% ha tra i 40 e i 60 anni (vs 54,6%), il 26,5% ha un’età uguale o superiore ai 60 anni (vs 34,7%</w:t>
      </w:r>
      <w:r w:rsidR="00513021">
        <w:rPr>
          <w:szCs w:val="22"/>
        </w:rPr>
        <w:t>)</w:t>
      </w:r>
      <w:r>
        <w:rPr>
          <w:szCs w:val="22"/>
        </w:rPr>
        <w:t>. Il 69,8% degli imprenditori è diplomato (43,4%) o laureato (26,4%), ed il 26,4% ha una formazione a indirizzo agrario.</w:t>
      </w:r>
    </w:p>
    <w:p w14:paraId="56C7476E" w14:textId="77777777" w:rsidR="005F40F4" w:rsidRDefault="005F40F4" w:rsidP="005F40F4">
      <w:pPr>
        <w:widowControl w:val="0"/>
        <w:autoSpaceDE w:val="0"/>
        <w:autoSpaceDN w:val="0"/>
        <w:adjustRightInd w:val="0"/>
        <w:rPr>
          <w:szCs w:val="22"/>
        </w:rPr>
      </w:pPr>
      <w:r>
        <w:rPr>
          <w:szCs w:val="22"/>
        </w:rPr>
        <w:t xml:space="preserve">Successivamente all’intervento, nelle varie aziende agricole, la SAU è aumentata dell’11,6%, ricorrendo sia all’acquisto (+18%) </w:t>
      </w:r>
      <w:r w:rsidR="00513021">
        <w:rPr>
          <w:szCs w:val="22"/>
        </w:rPr>
        <w:t>che</w:t>
      </w:r>
      <w:r>
        <w:rPr>
          <w:szCs w:val="22"/>
        </w:rPr>
        <w:t xml:space="preserve"> all’affitto di terreni (+10,9%). Parallelamente è cresciuto il numero di occupati, dipendenti fissi e salariati avventizi, mentre è diminuito il lavoro fornito dai coadiuvanti familiari.</w:t>
      </w:r>
    </w:p>
    <w:p w14:paraId="360C27C5" w14:textId="77777777" w:rsidR="005F40F4" w:rsidRDefault="005F40F4" w:rsidP="005F40F4">
      <w:pPr>
        <w:widowControl w:val="0"/>
        <w:autoSpaceDE w:val="0"/>
        <w:autoSpaceDN w:val="0"/>
        <w:adjustRightInd w:val="0"/>
        <w:rPr>
          <w:szCs w:val="22"/>
        </w:rPr>
      </w:pPr>
      <w:r>
        <w:rPr>
          <w:szCs w:val="22"/>
        </w:rPr>
        <w:t>Il mercato di riferimento principale resta quello nazionale (86% della produzione)</w:t>
      </w:r>
      <w:r w:rsidR="00513021">
        <w:rPr>
          <w:szCs w:val="22"/>
        </w:rPr>
        <w:t>. I</w:t>
      </w:r>
      <w:r>
        <w:rPr>
          <w:szCs w:val="22"/>
        </w:rPr>
        <w:t>l 92,5% delle aziende commercializza il prodotto tal quale, e solo il 9,5% realizza (in tutto o in parte) trasformazione e confezionamento. Gli investimenti sono stati realizzati per il 66% nel settore zootecnico e per il 26,4% nel settore cerealicolo; una componente marginale ha optato per la combinazione settoriale (zootecnia/cereali o cereali/ortofrutta</w:t>
      </w:r>
      <w:r w:rsidR="00513021">
        <w:rPr>
          <w:szCs w:val="22"/>
        </w:rPr>
        <w:t>)</w:t>
      </w:r>
      <w:r>
        <w:rPr>
          <w:szCs w:val="22"/>
        </w:rPr>
        <w:t>.</w:t>
      </w:r>
    </w:p>
    <w:p w14:paraId="0B5E7E1F" w14:textId="77777777" w:rsidR="005F40F4" w:rsidRDefault="005F40F4" w:rsidP="005F40F4">
      <w:pPr>
        <w:widowControl w:val="0"/>
        <w:autoSpaceDE w:val="0"/>
        <w:autoSpaceDN w:val="0"/>
        <w:adjustRightInd w:val="0"/>
        <w:rPr>
          <w:szCs w:val="22"/>
        </w:rPr>
      </w:pPr>
      <w:r>
        <w:rPr>
          <w:szCs w:val="22"/>
        </w:rPr>
        <w:t>Le finalità che hanno spinto ad aderire al PSR sono state quelle di migliorare gli aspetti ambientali della propria azienda attraverso interventi di ammodernamento delle strutture aziendali (stoccaggio, trasformazione e commercializzazione dei prodotti per il 62,3% delle aziende) e l’acquisto di macchine e attrezzature (26,4%).</w:t>
      </w:r>
    </w:p>
    <w:p w14:paraId="43191EAA" w14:textId="77777777" w:rsidR="005F40F4" w:rsidRDefault="005F40F4" w:rsidP="005F40F4">
      <w:pPr>
        <w:widowControl w:val="0"/>
        <w:autoSpaceDE w:val="0"/>
        <w:autoSpaceDN w:val="0"/>
        <w:adjustRightInd w:val="0"/>
        <w:rPr>
          <w:szCs w:val="22"/>
        </w:rPr>
      </w:pPr>
      <w:r>
        <w:rPr>
          <w:szCs w:val="22"/>
        </w:rPr>
        <w:t xml:space="preserve">La scelta di aderire al PSR è frutto di decisione personale nel 58% dei casi, ma per il 25% dei beneficiari è stata necessaria la consulenza di un tecnico, specie nell’approntare un </w:t>
      </w:r>
      <w:r w:rsidR="00513021">
        <w:rPr>
          <w:szCs w:val="22"/>
        </w:rPr>
        <w:t>p</w:t>
      </w:r>
      <w:r>
        <w:rPr>
          <w:szCs w:val="22"/>
        </w:rPr>
        <w:t xml:space="preserve">iano aziendale, strumento riconosciuto al 57% come utile a definire gli investimenti. Infine, il PSR è stato cruciale nella realizzazione degli investimenti, e, sebbene le aziende beneficiarie abbiano fruito di ulteriori risorse, nel 70% dei casi sfrutteranno altre Misure del PSR.  </w:t>
      </w:r>
    </w:p>
    <w:p w14:paraId="35BA2A76" w14:textId="77777777" w:rsidR="005F40F4" w:rsidRDefault="005F40F4" w:rsidP="005F40F4">
      <w:pPr>
        <w:widowControl w:val="0"/>
        <w:autoSpaceDE w:val="0"/>
        <w:autoSpaceDN w:val="0"/>
        <w:adjustRightInd w:val="0"/>
        <w:rPr>
          <w:szCs w:val="22"/>
        </w:rPr>
      </w:pPr>
      <w:r>
        <w:rPr>
          <w:szCs w:val="22"/>
        </w:rPr>
        <w:t xml:space="preserve">Il 67,9% degli imprenditori conosce e giudica efficace la comunicazione istituzionale della Regione sul PSR, sebbene il 74,7% sia venuto a conoscenza del PSR attraverso la comunicazione non istituzionale (al 59,3% l’informazione è passata attraverso le </w:t>
      </w:r>
      <w:r w:rsidR="00513021">
        <w:rPr>
          <w:szCs w:val="22"/>
        </w:rPr>
        <w:t>o</w:t>
      </w:r>
      <w:r>
        <w:rPr>
          <w:szCs w:val="22"/>
        </w:rPr>
        <w:t>rganizzazioni professionali). Ciò nonostante quasi tutti gli intervistati dispongono di un PC, rete internet e profili social aziendali (mezzi che comunque non son ritenuti utili allo sviluppo aziendale).</w:t>
      </w:r>
    </w:p>
    <w:p w14:paraId="41FBCE61" w14:textId="77777777" w:rsidR="005F40F4" w:rsidRDefault="005F40F4" w:rsidP="005F40F4">
      <w:pPr>
        <w:widowControl w:val="0"/>
        <w:autoSpaceDE w:val="0"/>
        <w:autoSpaceDN w:val="0"/>
        <w:adjustRightInd w:val="0"/>
        <w:rPr>
          <w:szCs w:val="22"/>
        </w:rPr>
      </w:pPr>
      <w:r>
        <w:rPr>
          <w:szCs w:val="22"/>
        </w:rPr>
        <w:t>Da ultimo, la metà dei beneficiari ha segnalato difficoltà a produrre la documentazione tecnica da allegare alla domanda, a presentare la domanda di saldo e segnalato elevati tempi di attesa per l’erogazione del contributo (14,8%). In una scala da 1 a 10</w:t>
      </w:r>
      <w:r w:rsidR="00513021">
        <w:rPr>
          <w:szCs w:val="22"/>
        </w:rPr>
        <w:t>,</w:t>
      </w:r>
      <w:r>
        <w:rPr>
          <w:szCs w:val="22"/>
        </w:rPr>
        <w:t xml:space="preserve"> l’operato dell’Amministrazione regionale è stato valutato appena vicino alla sufficienza (voto 5,7). </w:t>
      </w:r>
    </w:p>
    <w:p w14:paraId="74292D16" w14:textId="77777777" w:rsidR="005F40F4" w:rsidRDefault="005F40F4" w:rsidP="005F40F4">
      <w:pPr>
        <w:widowControl w:val="0"/>
        <w:autoSpaceDE w:val="0"/>
        <w:autoSpaceDN w:val="0"/>
        <w:adjustRightInd w:val="0"/>
        <w:rPr>
          <w:szCs w:val="22"/>
        </w:rPr>
      </w:pPr>
    </w:p>
    <w:p w14:paraId="6AB39AA1" w14:textId="77777777" w:rsidR="005F40F4" w:rsidRDefault="005F40F4" w:rsidP="005F40F4">
      <w:pPr>
        <w:widowControl w:val="0"/>
        <w:autoSpaceDE w:val="0"/>
        <w:autoSpaceDN w:val="0"/>
        <w:adjustRightInd w:val="0"/>
        <w:rPr>
          <w:szCs w:val="22"/>
        </w:rPr>
      </w:pPr>
      <w:r>
        <w:rPr>
          <w:szCs w:val="22"/>
        </w:rPr>
        <w:t>Relativamente ai risultati economici raggiunti dai giovani neo</w:t>
      </w:r>
      <w:r w:rsidR="00513021">
        <w:rPr>
          <w:szCs w:val="22"/>
        </w:rPr>
        <w:t>-</w:t>
      </w:r>
      <w:r>
        <w:rPr>
          <w:szCs w:val="22"/>
        </w:rPr>
        <w:t xml:space="preserve">insediati, il PSR ha favorito in special modo le aziende medio-piccole (31%), che nel campione RICA pesano per il 18% a vantaggio di quelle piccole (42%). La SAU aziendale è aumentata mediamente del 60%, più attraverso l’acquisto che l’affitto. </w:t>
      </w:r>
    </w:p>
    <w:p w14:paraId="073FF339" w14:textId="77777777" w:rsidR="005F40F4" w:rsidRDefault="005F40F4" w:rsidP="005F40F4">
      <w:pPr>
        <w:widowControl w:val="0"/>
        <w:autoSpaceDE w:val="0"/>
        <w:autoSpaceDN w:val="0"/>
        <w:adjustRightInd w:val="0"/>
        <w:rPr>
          <w:szCs w:val="22"/>
        </w:rPr>
      </w:pPr>
      <w:r>
        <w:rPr>
          <w:szCs w:val="22"/>
        </w:rPr>
        <w:t>Presso i giovani neo</w:t>
      </w:r>
      <w:r w:rsidR="00513021">
        <w:rPr>
          <w:szCs w:val="22"/>
        </w:rPr>
        <w:t>-</w:t>
      </w:r>
      <w:r>
        <w:rPr>
          <w:szCs w:val="22"/>
        </w:rPr>
        <w:t>insediati</w:t>
      </w:r>
      <w:r w:rsidR="00513021">
        <w:rPr>
          <w:szCs w:val="22"/>
        </w:rPr>
        <w:t>,</w:t>
      </w:r>
      <w:r>
        <w:rPr>
          <w:szCs w:val="22"/>
        </w:rPr>
        <w:t xml:space="preserve"> la Produzione agricola è cresciuta dell’82,4% passando da una media di 36.458 €/azienda a 66.487 €/azienda. La produttività del lavoro, calcolata come rapporto fra il valore della produzione agricola e le unità di lavoro annuale (ULA) impiegate, è aumentata del 56,8%; ciò grazie all’impegno da parte dei giovani imprenditori beneficiari (basti pensare che il campione RICA vede ridursi la produttività del 13,1%) ed alla crescita dell’occupazione (+16,3%), e nonostante il sensibile aumento dei costi del lavoro (+61%) e dei costi di produzione (+49%).</w:t>
      </w:r>
    </w:p>
    <w:p w14:paraId="3B62984A" w14:textId="77777777" w:rsidR="005F40F4" w:rsidRDefault="005F40F4" w:rsidP="005F40F4">
      <w:pPr>
        <w:widowControl w:val="0"/>
        <w:autoSpaceDE w:val="0"/>
        <w:autoSpaceDN w:val="0"/>
        <w:adjustRightInd w:val="0"/>
        <w:rPr>
          <w:szCs w:val="22"/>
        </w:rPr>
      </w:pPr>
      <w:r>
        <w:rPr>
          <w:szCs w:val="22"/>
        </w:rPr>
        <w:t>A differenza dei giovani beneficiari, le aziende agricole che hanno avuto accesso al TO 4.1.01 hanno dimensioni economiche (espresse in Produzione Standard – PS) che, secondo la stessa classificazione utilizzata dalla RICA, sono mediamente elevate: al 34% oltre 1mln di PS, al 32% fra 100.000 e 500.000 di PS, al 21% 500.000 ed 1 mln di PS.</w:t>
      </w:r>
    </w:p>
    <w:p w14:paraId="50792CC4" w14:textId="77777777" w:rsidR="005F40F4" w:rsidRDefault="005F40F4" w:rsidP="005F40F4">
      <w:pPr>
        <w:widowControl w:val="0"/>
        <w:autoSpaceDE w:val="0"/>
        <w:autoSpaceDN w:val="0"/>
        <w:adjustRightInd w:val="0"/>
        <w:rPr>
          <w:szCs w:val="22"/>
        </w:rPr>
      </w:pPr>
      <w:r>
        <w:rPr>
          <w:szCs w:val="22"/>
        </w:rPr>
        <w:t xml:space="preserve">Grazie al PSR, la SAU aziendale è cresciuta mediamente del 12%; più attraverso l’affitto che l’acquisto, sebbene nel 45% dei casi la SAU resti invariata. La produzione agricola è cresciuta del 14% (da 891.268 €/azienda a 1.016.489 €/azienda); specie nelle aziende agricole medio-grandi (+25,9%). La </w:t>
      </w:r>
      <w:r w:rsidR="0077478E">
        <w:rPr>
          <w:szCs w:val="22"/>
        </w:rPr>
        <w:t xml:space="preserve">maggiore </w:t>
      </w:r>
      <w:r>
        <w:rPr>
          <w:szCs w:val="22"/>
        </w:rPr>
        <w:t>crescita della produzione si è avuta nei settori minori (+265%), nel vitivinicolo (+57,1%) ma anche nella zootecnica da latte (+32,2%); ciò grazie alla crescita del valore dei prodotti venduti dopo trasformazione in azienda e/o vendita diretta.</w:t>
      </w:r>
    </w:p>
    <w:p w14:paraId="53B74BE5" w14:textId="77777777" w:rsidR="005F40F4" w:rsidRDefault="005F40F4" w:rsidP="005F40F4">
      <w:pPr>
        <w:widowControl w:val="0"/>
        <w:autoSpaceDE w:val="0"/>
        <w:autoSpaceDN w:val="0"/>
        <w:adjustRightInd w:val="0"/>
        <w:rPr>
          <w:szCs w:val="22"/>
        </w:rPr>
      </w:pPr>
      <w:r>
        <w:rPr>
          <w:szCs w:val="22"/>
        </w:rPr>
        <w:t>Parallelamente si son ridotti i costi per gli allevamenti (-3,9%), forse grazie all’ammodernamento delle strutture e degli impianti produttivi. Aumentano i costi complessivi del lavoro del 15,5% per un incremento di +0,6 occupati/azienda.</w:t>
      </w:r>
    </w:p>
    <w:p w14:paraId="39E77139" w14:textId="77777777" w:rsidR="005F40F4" w:rsidRDefault="005F40F4" w:rsidP="005F40F4">
      <w:pPr>
        <w:widowControl w:val="0"/>
        <w:autoSpaceDE w:val="0"/>
        <w:autoSpaceDN w:val="0"/>
        <w:adjustRightInd w:val="0"/>
        <w:rPr>
          <w:szCs w:val="22"/>
        </w:rPr>
      </w:pPr>
      <w:r>
        <w:rPr>
          <w:szCs w:val="22"/>
        </w:rPr>
        <w:t>Da rilevare che mentre il conto economico delle aziende beneficiarie del PSR (TO 4.4.01) vede tutte le voci in positivo e si distingue per l’aumento sia del valore aggiunto (39,4%) che del reddito netto (66,7%), in quelle del campione RICA riaggregato entrambe le voci si riducono al 17,2% ed 8,8%. Allo stesso modo mentre fra i beneficiari del PSR aumenta del 4,8% la produttività del lavoro, nel campione RICA si riduce dell’11,6%.</w:t>
      </w:r>
    </w:p>
    <w:p w14:paraId="7EEF7A29" w14:textId="77777777" w:rsidR="005F40F4" w:rsidRDefault="005F40F4" w:rsidP="005F40F4">
      <w:pPr>
        <w:widowControl w:val="0"/>
        <w:autoSpaceDE w:val="0"/>
        <w:autoSpaceDN w:val="0"/>
        <w:adjustRightInd w:val="0"/>
        <w:rPr>
          <w:szCs w:val="22"/>
        </w:rPr>
      </w:pPr>
      <w:r>
        <w:rPr>
          <w:szCs w:val="22"/>
        </w:rPr>
        <w:t>Giova rilevare che il 58,3% delle aziende aderisce ad organizzazioni di mercato, il 22,6% aderisce a più di una organizzazione ed il 34% delle aziende aderisce a cooperative agricole e loro consorzi. Grazie agli investimenti realizzati il 26,4% delle aziende ha migliorato i rapporti all’interno della filiera produttiva di riferimento ed il 9,5% ha dichiarato di aver diversificato i canali commerciali vendendo i propri prodotti direttamente in azienda, e/o presso mercati locali, meno esportando all’estero o attraverso l’e-commerce. Internet viene utilizzato solamente da poco più di 1/3 dei beneficiari per la commercializzazione o per creare nuove opportunità commerciali.</w:t>
      </w:r>
    </w:p>
    <w:p w14:paraId="442E6AA9" w14:textId="77777777" w:rsidR="005F40F4" w:rsidRDefault="005F40F4" w:rsidP="005F40F4">
      <w:pPr>
        <w:widowControl w:val="0"/>
        <w:autoSpaceDE w:val="0"/>
        <w:autoSpaceDN w:val="0"/>
        <w:adjustRightInd w:val="0"/>
        <w:rPr>
          <w:szCs w:val="22"/>
        </w:rPr>
      </w:pPr>
      <w:r>
        <w:rPr>
          <w:szCs w:val="22"/>
        </w:rPr>
        <w:t>L’11,3% beneficiari ha visto la propria produzione riconosciuta da marchi di qualità; il 7,5% del totale ha aderito all’</w:t>
      </w:r>
      <w:r w:rsidR="0077478E">
        <w:rPr>
          <w:szCs w:val="22"/>
        </w:rPr>
        <w:t>a</w:t>
      </w:r>
      <w:r>
        <w:rPr>
          <w:szCs w:val="22"/>
        </w:rPr>
        <w:t xml:space="preserve">gricoltura biologica ed alle denominazioni di origine DOP/IGP. Il restante 3,8% ha adottato i sistemi DOC/DOCG/IGT Vini e Sistema di qualità nazionale zootecnia. L’incidenza della PLV soggetta a sistemi di qualità è passata in media dal 63,3% al 77% </w:t>
      </w:r>
    </w:p>
    <w:p w14:paraId="43BEA14C" w14:textId="77777777" w:rsidR="005F40F4" w:rsidRDefault="005F40F4" w:rsidP="005F40F4">
      <w:pPr>
        <w:widowControl w:val="0"/>
        <w:autoSpaceDE w:val="0"/>
        <w:autoSpaceDN w:val="0"/>
        <w:adjustRightInd w:val="0"/>
        <w:rPr>
          <w:szCs w:val="22"/>
        </w:rPr>
      </w:pPr>
      <w:r>
        <w:rPr>
          <w:szCs w:val="22"/>
        </w:rPr>
        <w:t xml:space="preserve">Il PSR ha, inoltre, facilitato le aziende nell’introduzione di innovazioni, grazie alle quali, secondo il 96,6% degli intervistati, sono migliorate sia le performance economiche, sia quelle ambientali della propria azienda. Le innovazioni sono state introdotte dal 54,7% degli imprenditori appartenenti per lo più alla zootecnia da carne e dei cereali (34% delle aziende totali). </w:t>
      </w:r>
    </w:p>
    <w:p w14:paraId="033EBA87" w14:textId="77777777" w:rsidR="005F40F4" w:rsidRDefault="005F40F4" w:rsidP="005F40F4">
      <w:pPr>
        <w:widowControl w:val="0"/>
        <w:autoSpaceDE w:val="0"/>
        <w:autoSpaceDN w:val="0"/>
        <w:adjustRightInd w:val="0"/>
        <w:rPr>
          <w:szCs w:val="22"/>
        </w:rPr>
      </w:pPr>
      <w:r>
        <w:rPr>
          <w:szCs w:val="22"/>
        </w:rPr>
        <w:t>Nell’80,6% dei casi tali innovazioni hanno riguardato l’adozione di nuove tecniche: nel 55,6% dei casi le aziende hanno abbandonato le tecniche di produzione convenzionali per dedicarsi a tecniche più rispettose dell’ambiente. Nel 13,9% dei casi le innovazioni hanno invece riguardato l’introduzione di nuovi prodotti, sia introducendo processi di trasformazione dei prodotti aziendali sia variando le colture e gli allevamenti praticati.</w:t>
      </w:r>
    </w:p>
    <w:p w14:paraId="18867F53" w14:textId="77777777" w:rsidR="005F40F4" w:rsidRDefault="005F40F4" w:rsidP="005F40F4">
      <w:pPr>
        <w:widowControl w:val="0"/>
        <w:autoSpaceDE w:val="0"/>
        <w:autoSpaceDN w:val="0"/>
        <w:adjustRightInd w:val="0"/>
        <w:rPr>
          <w:szCs w:val="22"/>
        </w:rPr>
      </w:pPr>
      <w:r>
        <w:rPr>
          <w:szCs w:val="22"/>
        </w:rPr>
        <w:t>Infine, per la quasi totalità degli intervistati gli investimenti hanno contribuito a migliorare almeno un aspetto ambientale:</w:t>
      </w:r>
    </w:p>
    <w:p w14:paraId="7ACF420E" w14:textId="77777777" w:rsidR="005F40F4" w:rsidRDefault="005F40F4" w:rsidP="0038676D">
      <w:pPr>
        <w:pStyle w:val="Paragrafoelenco"/>
        <w:widowControl w:val="0"/>
        <w:numPr>
          <w:ilvl w:val="0"/>
          <w:numId w:val="35"/>
        </w:numPr>
        <w:autoSpaceDE w:val="0"/>
        <w:autoSpaceDN w:val="0"/>
        <w:adjustRightInd w:val="0"/>
        <w:rPr>
          <w:szCs w:val="22"/>
        </w:rPr>
      </w:pPr>
      <w:r w:rsidRPr="00456825">
        <w:rPr>
          <w:szCs w:val="22"/>
        </w:rPr>
        <w:t>per il 62,5% l’aspetto energetico (minori consumi, maggiore efficienza)</w:t>
      </w:r>
      <w:r>
        <w:rPr>
          <w:szCs w:val="22"/>
        </w:rPr>
        <w:t>;</w:t>
      </w:r>
    </w:p>
    <w:p w14:paraId="7C261F0C" w14:textId="77777777" w:rsidR="005F40F4" w:rsidRDefault="005F40F4" w:rsidP="0038676D">
      <w:pPr>
        <w:pStyle w:val="Paragrafoelenco"/>
        <w:widowControl w:val="0"/>
        <w:numPr>
          <w:ilvl w:val="0"/>
          <w:numId w:val="35"/>
        </w:numPr>
        <w:autoSpaceDE w:val="0"/>
        <w:autoSpaceDN w:val="0"/>
        <w:adjustRightInd w:val="0"/>
        <w:rPr>
          <w:szCs w:val="22"/>
        </w:rPr>
      </w:pPr>
      <w:r w:rsidRPr="00456825">
        <w:rPr>
          <w:szCs w:val="22"/>
        </w:rPr>
        <w:t>per il 45,8% l’adozione di tecniche di agricoltura conservativa</w:t>
      </w:r>
      <w:r>
        <w:rPr>
          <w:szCs w:val="22"/>
        </w:rPr>
        <w:t>;</w:t>
      </w:r>
    </w:p>
    <w:p w14:paraId="5D821B40" w14:textId="77777777" w:rsidR="005F40F4" w:rsidRDefault="005F40F4" w:rsidP="0038676D">
      <w:pPr>
        <w:pStyle w:val="Paragrafoelenco"/>
        <w:widowControl w:val="0"/>
        <w:numPr>
          <w:ilvl w:val="0"/>
          <w:numId w:val="35"/>
        </w:numPr>
        <w:autoSpaceDE w:val="0"/>
        <w:autoSpaceDN w:val="0"/>
        <w:adjustRightInd w:val="0"/>
        <w:rPr>
          <w:szCs w:val="22"/>
        </w:rPr>
      </w:pPr>
      <w:r w:rsidRPr="00456825">
        <w:rPr>
          <w:szCs w:val="22"/>
        </w:rPr>
        <w:t xml:space="preserve">per il 35% il miglioramento e la riduzione dei trattamenti fitosanitari. </w:t>
      </w:r>
    </w:p>
    <w:p w14:paraId="635C44E2" w14:textId="77777777" w:rsidR="005F40F4" w:rsidRPr="00456825" w:rsidRDefault="005F40F4" w:rsidP="005F40F4">
      <w:pPr>
        <w:widowControl w:val="0"/>
        <w:autoSpaceDE w:val="0"/>
        <w:autoSpaceDN w:val="0"/>
        <w:adjustRightInd w:val="0"/>
        <w:rPr>
          <w:szCs w:val="22"/>
        </w:rPr>
      </w:pPr>
    </w:p>
    <w:p w14:paraId="65CB7BC0" w14:textId="77777777" w:rsidR="005F40F4" w:rsidRPr="00456825" w:rsidRDefault="005F40F4" w:rsidP="005F40F4">
      <w:pPr>
        <w:widowControl w:val="0"/>
        <w:autoSpaceDE w:val="0"/>
        <w:autoSpaceDN w:val="0"/>
        <w:adjustRightInd w:val="0"/>
        <w:rPr>
          <w:szCs w:val="22"/>
        </w:rPr>
      </w:pPr>
      <w:r w:rsidRPr="00456825">
        <w:rPr>
          <w:szCs w:val="22"/>
        </w:rPr>
        <w:t>La leva che spinge i beneficiari a mostrare attenzione all’impatto ambientale è legata per il 34,8% alla riduzione dei costi di produzione, per il 26,1% alla necessità di ridurre il consumo di risorse naturali, per il 21,7% alla sicurezza sul lavoro, per il 10,9% ad ottenere un punteggio più alto in graduatoria, e solo per il 6,5% a migliorare la reputazione dell’azienda e quindi la visibilità sociale.</w:t>
      </w:r>
    </w:p>
    <w:p w14:paraId="4A5752EF" w14:textId="77777777" w:rsidR="005F40F4" w:rsidRDefault="005F40F4" w:rsidP="005F40F4">
      <w:pPr>
        <w:widowControl w:val="0"/>
        <w:autoSpaceDE w:val="0"/>
        <w:autoSpaceDN w:val="0"/>
        <w:adjustRightInd w:val="0"/>
        <w:rPr>
          <w:szCs w:val="22"/>
        </w:rPr>
      </w:pPr>
    </w:p>
    <w:p w14:paraId="13158108" w14:textId="77777777" w:rsidR="005F40F4" w:rsidRDefault="005F40F4" w:rsidP="005F40F4">
      <w:pPr>
        <w:widowControl w:val="0"/>
        <w:autoSpaceDE w:val="0"/>
        <w:autoSpaceDN w:val="0"/>
        <w:adjustRightInd w:val="0"/>
        <w:rPr>
          <w:szCs w:val="22"/>
        </w:rPr>
      </w:pPr>
      <w:r>
        <w:rPr>
          <w:szCs w:val="22"/>
        </w:rPr>
        <w:t xml:space="preserve">Il COVID-19 ha avuto ripercussioni sull’attività produttiva del 53,8% delle aziende beneficiarie. Fra gli effetti più rilevanti la riduzione del fatturato (46,2%), l’aumento dei costi (20,5%), la difficoltà nel reperire la manodopera (per l’8% delle aziende beneficiarie, valore inferiore a quello del 27% registrato da Unioncamere sul suo panel di aziende). Ciononostante, la resilienza del comparto agroalimentare regionale rispetto ad altri settori economici ha di fatto limitato gli effetti negativi della pandemia e garantito la sicurezza alimentare della popolazione fin dall’inizio della pandemia. Allo stato attuale, a fronte di una crisi sanitaria ancora irrisolta e della conseguente crisi economica il ruolo dell’agroalimentare risulta strategico non solo per il suo fine naturale -la produzione di derrate alimentari- ma anche per la ripresa di altri settori produttivi. </w:t>
      </w:r>
    </w:p>
    <w:p w14:paraId="3B03BA17" w14:textId="77777777" w:rsidR="005F40F4" w:rsidRDefault="005F40F4" w:rsidP="005F40F4">
      <w:pPr>
        <w:widowControl w:val="0"/>
        <w:autoSpaceDE w:val="0"/>
        <w:autoSpaceDN w:val="0"/>
        <w:adjustRightInd w:val="0"/>
        <w:rPr>
          <w:szCs w:val="22"/>
        </w:rPr>
      </w:pPr>
    </w:p>
    <w:p w14:paraId="1906E850" w14:textId="77777777" w:rsidR="005F40F4" w:rsidRPr="00772FB6" w:rsidRDefault="005F40F4" w:rsidP="005F40F4">
      <w:pPr>
        <w:widowControl w:val="0"/>
        <w:autoSpaceDE w:val="0"/>
        <w:autoSpaceDN w:val="0"/>
        <w:adjustRightInd w:val="0"/>
        <w:rPr>
          <w:szCs w:val="22"/>
        </w:rPr>
      </w:pPr>
      <w:r>
        <w:rPr>
          <w:szCs w:val="22"/>
        </w:rPr>
        <w:t>Per quanto riguarda la risposta delle aziende agricole beneficiarie del PSR all’emergenza sanitaria, il 63,6% delle aziende ha immediatamente reagito alle conseguenze della pandemia cambiando o diversificando i canali commerciali, mentre il 27,3% ha modificato le proprie dimensioni e/o l’ordinamento produttivo. Solo il 9,1% si è orientato verso sistemi di qualità.</w:t>
      </w:r>
      <w:r w:rsidR="00E20AC0">
        <w:rPr>
          <w:szCs w:val="22"/>
        </w:rPr>
        <w:t xml:space="preserve"> </w:t>
      </w:r>
      <w:r>
        <w:rPr>
          <w:szCs w:val="22"/>
        </w:rPr>
        <w:t>Nella commercializzazione i cambiamenti han</w:t>
      </w:r>
      <w:r w:rsidR="0077478E">
        <w:rPr>
          <w:szCs w:val="22"/>
        </w:rPr>
        <w:t>no</w:t>
      </w:r>
      <w:r>
        <w:rPr>
          <w:szCs w:val="22"/>
        </w:rPr>
        <w:t xml:space="preserve"> riguardato l’implementazione della vendita diretta con consegna a domicilio oppure on line (e-commerce), ma anche la creazione di relazioni commerciali con la GDO e l’Horeca.</w:t>
      </w:r>
      <w:r w:rsidR="00E20AC0">
        <w:rPr>
          <w:szCs w:val="22"/>
        </w:rPr>
        <w:t xml:space="preserve"> </w:t>
      </w:r>
      <w:r>
        <w:rPr>
          <w:szCs w:val="22"/>
        </w:rPr>
        <w:t xml:space="preserve">In un contesto che sembra non aver minato l’ottimismo rispetto al futuro, secondo il 96% dei beneficiari la pandemia non avrebbe inficiato l’efficacia dell’investimento, che si è configurato, nell’8% dei casi, come un ulteriore sostegno capace di contenere gli effetti negativi della pandemia sulle attività aziendali, permettendo loro di strutturarsi meglio (si pensi all’organizzazione degli spazi aziendali per la gestione della manodopera e dello stoccaggio), di introdurre </w:t>
      </w:r>
      <w:r w:rsidRPr="00772FB6">
        <w:rPr>
          <w:szCs w:val="22"/>
        </w:rPr>
        <w:t xml:space="preserve">innovazioni e migliorare la sicurezza e la produttività del lavoro. </w:t>
      </w:r>
    </w:p>
    <w:p w14:paraId="390B0461" w14:textId="77777777" w:rsidR="005F40F4" w:rsidRPr="00772FB6" w:rsidRDefault="005F40F4" w:rsidP="005F40F4">
      <w:pPr>
        <w:widowControl w:val="0"/>
        <w:autoSpaceDE w:val="0"/>
        <w:autoSpaceDN w:val="0"/>
        <w:adjustRightInd w:val="0"/>
        <w:rPr>
          <w:szCs w:val="22"/>
        </w:rPr>
      </w:pPr>
      <w:r w:rsidRPr="00772FB6">
        <w:rPr>
          <w:szCs w:val="22"/>
        </w:rPr>
        <w:t xml:space="preserve">Nonostante l’incertezza del momento (meno sentita in aziende del settore avicunicolo e ortofrutticolo, più in quelle del comparto florovivaistico e nella zootecnica da carne), la percezione è quella di una fase transitoria cui seguirà un periodo di ripresa che i beneficiari potranno affrontare meglio dal punto di vista strutturale e organizzativo. </w:t>
      </w:r>
    </w:p>
    <w:p w14:paraId="76B3C35E" w14:textId="77777777" w:rsidR="005F40F4" w:rsidRPr="00772FB6" w:rsidRDefault="005F40F4" w:rsidP="005F40F4">
      <w:pPr>
        <w:widowControl w:val="0"/>
        <w:autoSpaceDE w:val="0"/>
        <w:autoSpaceDN w:val="0"/>
        <w:adjustRightInd w:val="0"/>
        <w:rPr>
          <w:szCs w:val="22"/>
        </w:rPr>
      </w:pPr>
    </w:p>
    <w:p w14:paraId="695AEDF3" w14:textId="77777777" w:rsidR="00F343FF" w:rsidRPr="00772FB6" w:rsidRDefault="000F16BE" w:rsidP="000F16BE">
      <w:pPr>
        <w:widowControl w:val="0"/>
        <w:autoSpaceDE w:val="0"/>
        <w:autoSpaceDN w:val="0"/>
        <w:adjustRightInd w:val="0"/>
        <w:rPr>
          <w:szCs w:val="22"/>
        </w:rPr>
      </w:pPr>
      <w:r w:rsidRPr="00772FB6">
        <w:rPr>
          <w:szCs w:val="22"/>
        </w:rPr>
        <w:t xml:space="preserve">In definitiva, in base all’evidenza raccolta nella valutazione annuale, </w:t>
      </w:r>
      <w:r w:rsidR="00F343FF" w:rsidRPr="00772FB6">
        <w:rPr>
          <w:szCs w:val="22"/>
        </w:rPr>
        <w:t>il PSR ha favorito il ricambio generazionale in agricoltura grazie al TO 6.1.01 raggiungendo alla fine del 2020 un grado di efficacia rispetto all’obiettivo di far insediare n. 1.155 giovani agricoltori del 58,2%</w:t>
      </w:r>
      <w:r w:rsidRPr="00772FB6">
        <w:rPr>
          <w:szCs w:val="22"/>
        </w:rPr>
        <w:t>. È stata b</w:t>
      </w:r>
      <w:r w:rsidR="00F343FF" w:rsidRPr="00772FB6">
        <w:rPr>
          <w:szCs w:val="22"/>
        </w:rPr>
        <w:t>uona la propensione dei giovani ad attivare altre misure del PSR; solo una minoranza di essi ha, però, attivato il TO 1.1.01 nonostante la maggior parte dei giovani abbia manifestato un fabbisogno formativo su diverse tematiche di rilievo</w:t>
      </w:r>
      <w:r w:rsidRPr="00772FB6">
        <w:rPr>
          <w:szCs w:val="22"/>
        </w:rPr>
        <w:t>. A</w:t>
      </w:r>
      <w:r w:rsidR="00F343FF" w:rsidRPr="00772FB6">
        <w:rPr>
          <w:szCs w:val="22"/>
        </w:rPr>
        <w:t xml:space="preserve"> seguito dell’insediamento aumenta l’occupazione aziendale complessiva del 16,3%</w:t>
      </w:r>
      <w:r w:rsidRPr="00772FB6">
        <w:rPr>
          <w:szCs w:val="22"/>
        </w:rPr>
        <w:t xml:space="preserve">. </w:t>
      </w:r>
    </w:p>
    <w:p w14:paraId="60676668" w14:textId="77777777" w:rsidR="00F343FF" w:rsidRPr="00772FB6" w:rsidRDefault="000F16BE" w:rsidP="000F16BE">
      <w:pPr>
        <w:widowControl w:val="0"/>
        <w:autoSpaceDE w:val="0"/>
        <w:autoSpaceDN w:val="0"/>
        <w:adjustRightInd w:val="0"/>
        <w:rPr>
          <w:szCs w:val="22"/>
        </w:rPr>
      </w:pPr>
      <w:r w:rsidRPr="00772FB6">
        <w:rPr>
          <w:szCs w:val="22"/>
        </w:rPr>
        <w:t>I</w:t>
      </w:r>
      <w:r w:rsidR="00F343FF" w:rsidRPr="00772FB6">
        <w:rPr>
          <w:szCs w:val="22"/>
        </w:rPr>
        <w:t xml:space="preserve"> Piani aziendali realizzati dai giovani hanno permesso di conseguire obiettivi di competitività grazie ad un miglioramento di tutte le voci del conto economico, compresa la produttività del lavoro (+56,8%); accanto al miglioramento delle performance economiche vi è anche quello delle performance ambientali che caratterizza il 48% dei Piani aziendali presentati dai giovani imprenditori. </w:t>
      </w:r>
    </w:p>
    <w:p w14:paraId="79D08988" w14:textId="77777777" w:rsidR="00F343FF" w:rsidRPr="00772FB6" w:rsidRDefault="00F343FF" w:rsidP="00F343FF">
      <w:pPr>
        <w:widowControl w:val="0"/>
        <w:autoSpaceDE w:val="0"/>
        <w:autoSpaceDN w:val="0"/>
        <w:adjustRightInd w:val="0"/>
        <w:rPr>
          <w:szCs w:val="22"/>
        </w:rPr>
      </w:pPr>
    </w:p>
    <w:p w14:paraId="503919DF" w14:textId="77777777" w:rsidR="00F343FF" w:rsidRPr="00772FB6" w:rsidRDefault="00F343FF" w:rsidP="000F16BE">
      <w:pPr>
        <w:widowControl w:val="0"/>
        <w:autoSpaceDE w:val="0"/>
        <w:autoSpaceDN w:val="0"/>
        <w:adjustRightInd w:val="0"/>
        <w:rPr>
          <w:szCs w:val="22"/>
        </w:rPr>
      </w:pPr>
      <w:r w:rsidRPr="00772FB6">
        <w:rPr>
          <w:szCs w:val="22"/>
        </w:rPr>
        <w:t>il PSR ha sostenuto gli investimenti di ammodernamento e ristrutturazione nelle aziende agricole raggiungendo alla fine del 2020 un grado di efficacia rispetto dell’obiettivo di finanziare n. 1.200 aziende agricole del 46,2%</w:t>
      </w:r>
      <w:r w:rsidR="000F16BE" w:rsidRPr="00772FB6">
        <w:rPr>
          <w:szCs w:val="22"/>
        </w:rPr>
        <w:t>. L</w:t>
      </w:r>
      <w:r w:rsidRPr="00772FB6">
        <w:rPr>
          <w:szCs w:val="22"/>
        </w:rPr>
        <w:t>e aziende agricole beneficiarie del TO 4.1.01, appartenenti soprattutto ai settori zootecnico e cerealicolo, si caratterizzano per una forte propensione ad investire realizzando ulteriori investimenti oltre a quelli finanziati dal PSR (in media 200 mila euro/azienda); ciononostante il contributo del PSR è risultato uno stimolo importante alla realizzazione degli investimenti in quanto in assenza del contributo il 15% non avrebbe realizzato affatto l’investimento e il 45% lo avrebbe realizzato, ma riducendo mediamente del 36% il volume finanziario dell’intervento.</w:t>
      </w:r>
      <w:r w:rsidR="00E20AC0">
        <w:rPr>
          <w:szCs w:val="22"/>
        </w:rPr>
        <w:t xml:space="preserve"> </w:t>
      </w:r>
      <w:r w:rsidR="000F16BE" w:rsidRPr="00772FB6">
        <w:rPr>
          <w:szCs w:val="22"/>
        </w:rPr>
        <w:t>A</w:t>
      </w:r>
      <w:r w:rsidRPr="00772FB6">
        <w:rPr>
          <w:szCs w:val="22"/>
        </w:rPr>
        <w:t xml:space="preserve"> seguito degli investimenti aumenta mediamente l’occupazione nelle aziende agricole beneficiarie di +0,6 occupati/azienda soprattutto grazie alla crescita dei dipendenti fissi (+21,3%) e dei salariati avventizi (29,2%); si evidenzia inoltre una riduzione dell’intensità di lavoro (ore lavorate/risorse impiegate) segno di un miglioramento dell’efficienza dei processi produttivi a seguito della realizzazione degli investimenti. </w:t>
      </w:r>
      <w:r w:rsidR="000F16BE" w:rsidRPr="00772FB6">
        <w:rPr>
          <w:szCs w:val="22"/>
        </w:rPr>
        <w:t>N</w:t>
      </w:r>
      <w:r w:rsidRPr="00772FB6">
        <w:rPr>
          <w:szCs w:val="22"/>
        </w:rPr>
        <w:t xml:space="preserve">onostante una situazione di contesto regionale tra il 2014 e 2018 non positiva soprattutto per le aziende di dimensioni economiche medio-piccole, gli investimenti nelle aziende agricole hanno migliorato la competitività delle aziende agricole in termini di valore aggiunto (+15,5%), reddito netto (+66,2%) e produttività del lavoro (+4,8%); il valore netto dell’indicatore R2 è stato stimato pari a 25.817 euro/ULA. </w:t>
      </w:r>
    </w:p>
    <w:p w14:paraId="39A25668" w14:textId="77777777" w:rsidR="00F343FF" w:rsidRPr="00772FB6" w:rsidRDefault="000F16BE" w:rsidP="000F16BE">
      <w:pPr>
        <w:widowControl w:val="0"/>
        <w:autoSpaceDE w:val="0"/>
        <w:autoSpaceDN w:val="0"/>
        <w:adjustRightInd w:val="0"/>
        <w:rPr>
          <w:szCs w:val="22"/>
        </w:rPr>
      </w:pPr>
      <w:r w:rsidRPr="00772FB6">
        <w:rPr>
          <w:szCs w:val="22"/>
        </w:rPr>
        <w:t>Gl</w:t>
      </w:r>
      <w:r w:rsidR="00F343FF" w:rsidRPr="00772FB6">
        <w:rPr>
          <w:szCs w:val="22"/>
        </w:rPr>
        <w:t>i investimenti hanno consentito di introdurre innovazioni di processo nelle aziende e di ottenere, accanto ad un efficientamento dei processi produttivi, una riduzione dell’impatto ambientale dell’attività agricola supportato da motivazioni non solo di carattere economico, ma anche prettamente ambiental</w:t>
      </w:r>
      <w:r w:rsidRPr="00772FB6">
        <w:rPr>
          <w:szCs w:val="22"/>
        </w:rPr>
        <w:t>i</w:t>
      </w:r>
      <w:r w:rsidR="00F343FF" w:rsidRPr="00772FB6">
        <w:rPr>
          <w:szCs w:val="22"/>
        </w:rPr>
        <w:t xml:space="preserve">. Il 50,9% dei beneficiari ha dichiarato di aver incontrato problemi per l’ottenimento del contributo pubblico (TO 4.1.01) legati in particolare alla complessità nell’ottenimento della documentazione tecnica da allegare alla domanda di aiuto. </w:t>
      </w:r>
    </w:p>
    <w:p w14:paraId="23D997D1" w14:textId="77777777" w:rsidR="000F16BE" w:rsidRPr="00772FB6" w:rsidRDefault="000F16BE" w:rsidP="000F16BE">
      <w:pPr>
        <w:widowControl w:val="0"/>
        <w:autoSpaceDE w:val="0"/>
        <w:autoSpaceDN w:val="0"/>
        <w:adjustRightInd w:val="0"/>
        <w:rPr>
          <w:szCs w:val="22"/>
        </w:rPr>
      </w:pPr>
    </w:p>
    <w:p w14:paraId="6DA20411" w14:textId="77777777" w:rsidR="005F40F4" w:rsidRPr="00772FB6" w:rsidRDefault="000F16BE" w:rsidP="00C92E11">
      <w:pPr>
        <w:widowControl w:val="0"/>
        <w:autoSpaceDE w:val="0"/>
        <w:autoSpaceDN w:val="0"/>
        <w:adjustRightInd w:val="0"/>
        <w:rPr>
          <w:szCs w:val="22"/>
        </w:rPr>
      </w:pPr>
      <w:r w:rsidRPr="00772FB6">
        <w:rPr>
          <w:szCs w:val="22"/>
        </w:rPr>
        <w:t>Le</w:t>
      </w:r>
      <w:r w:rsidR="00F343FF" w:rsidRPr="00772FB6">
        <w:rPr>
          <w:szCs w:val="22"/>
        </w:rPr>
        <w:t xml:space="preserve"> informazioni rilevate presso le aziende agricole beneficiarie del PSR evidenziano che la pandemia da COVID-19 ha avuto delle ricadute riducendo in alcuni casi il fatturato (più frequentemente tra il 10 e il 30%) e aumentando i costi di produzione (più frequentemente tra il 10-20%), unitamente ad alcune difficoltà nel reperimento della manodopera; tali effetti possono aver in parte impattato sui buoni risultati socio-economici rilevati dal Valutatore riferiti al 2019 (ante COVID</w:t>
      </w:r>
      <w:r w:rsidR="0030242F">
        <w:rPr>
          <w:szCs w:val="22"/>
        </w:rPr>
        <w:t>-19</w:t>
      </w:r>
      <w:r w:rsidR="00F343FF" w:rsidRPr="00772FB6">
        <w:rPr>
          <w:szCs w:val="22"/>
        </w:rPr>
        <w:t>).</w:t>
      </w:r>
      <w:r w:rsidR="00C92E11" w:rsidRPr="00772FB6">
        <w:rPr>
          <w:szCs w:val="22"/>
        </w:rPr>
        <w:t xml:space="preserve"> </w:t>
      </w:r>
      <w:r w:rsidR="00F343FF" w:rsidRPr="00772FB6">
        <w:rPr>
          <w:szCs w:val="22"/>
        </w:rPr>
        <w:t>Nonostante il COVID-19, secondo la percezione dei beneficiari, l’efficacia degli interventi realizzati grazie al PSR non sembra essere stata compromessa o vanificata, ma anzi si rileva una maggior capacità di queste aziende di affrontare l’attuale periodo grazie ad una struttura aziendale più solida e resiliente che potrà fornire loro un vantaggio competitivo nei prossimi anni.</w:t>
      </w:r>
    </w:p>
    <w:p w14:paraId="7B82E387" w14:textId="77777777" w:rsidR="005F40F4" w:rsidRPr="00772FB6" w:rsidRDefault="005F40F4" w:rsidP="00282A60"/>
    <w:p w14:paraId="675FACD9" w14:textId="77777777" w:rsidR="00282A60" w:rsidRPr="00772FB6" w:rsidRDefault="00282A60" w:rsidP="00B27AA3">
      <w:pPr>
        <w:pStyle w:val="Titolo2"/>
      </w:pPr>
      <w:bookmarkStart w:id="134" w:name="_Toc91081417"/>
      <w:r w:rsidRPr="00772FB6">
        <w:t xml:space="preserve">Considerazioni trasversali sulle </w:t>
      </w:r>
      <w:r w:rsidR="00443C1C" w:rsidRPr="00772FB6">
        <w:t>pari opportunità</w:t>
      </w:r>
      <w:bookmarkEnd w:id="134"/>
      <w:r w:rsidRPr="00772FB6">
        <w:t xml:space="preserve"> </w:t>
      </w:r>
    </w:p>
    <w:p w14:paraId="5C76F5F2" w14:textId="77777777" w:rsidR="00B4132E" w:rsidRPr="00772FB6" w:rsidRDefault="00B4132E" w:rsidP="00282A60"/>
    <w:p w14:paraId="5AC61B15" w14:textId="77777777" w:rsidR="00EA3339" w:rsidRPr="00772FB6" w:rsidRDefault="00EA3339" w:rsidP="00EA3339">
      <w:pPr>
        <w:rPr>
          <w:b/>
          <w:bCs/>
        </w:rPr>
      </w:pPr>
      <w:r w:rsidRPr="00772FB6">
        <w:rPr>
          <w:b/>
          <w:bCs/>
        </w:rPr>
        <w:t>Inclusione del principio orizzontale relativo alla promozione della parità fra uomini e donne</w:t>
      </w:r>
    </w:p>
    <w:p w14:paraId="7D09CA1E" w14:textId="77777777" w:rsidR="00EA3339" w:rsidRDefault="00EA3339" w:rsidP="00EA3339">
      <w:r w:rsidRPr="00772FB6">
        <w:t>La tematica della parità di genere risulta particolarmente rilevante per il contesto economico Lombardo che nel 2020 presentava una percentuale di imprese a prevalenza femminile (19,4%) inferiore alla media nazionale del 22,7%. Questo dato è stato in parte influenzato dall’impatto particolarmente negativo della pandemia di COVID-19 sul sistema imprenditoriale femminile Lombardo, il quale ha registrato il maggior calo di iscrizioni di imprese femminili in Italia. Per rispondere alle disposizioni contenute nell’art.7 del Regolamento (UE) 1303/2013 e alle esigenze del territorio, il Piano di rafforzamento amministrativo di Regione Lombardia (DGR. N.3017/2015 e DGR n.4390/2015) ha istituito l’Autorità Pari opportunità, la quale ha il compito di integrare</w:t>
      </w:r>
      <w:r>
        <w:t xml:space="preserve"> la prospettiva di genere e di qualsiasi altra discriminazione in tutte le fasi di programmazione e attuazioni dei programmi FESR e FSE.</w:t>
      </w:r>
    </w:p>
    <w:p w14:paraId="7B9BEAC3" w14:textId="77777777" w:rsidR="00E20AC0" w:rsidRDefault="00E20AC0" w:rsidP="00EA3339"/>
    <w:p w14:paraId="278A4370" w14:textId="77777777" w:rsidR="00EA3339" w:rsidRDefault="00EA3339" w:rsidP="00EA3339">
      <w:r>
        <w:t>Il principio orizzontale della parità di genere viene integrato all’interno della fase di selezione dei beneficiari sotto forma di criteri di premialità volti a incentivare il coinvolgimento delle donne nei progetti cofinanziati dal FESR. Fino ad ora questi criteri sono stati applicati in quattro bandi regionali relativi alle azioni: 3.B.1.2; 3.B.2.3; 1.B.1.1 e 3.C.1.1. Come riportato nella tabella successiva i criteri, così come l’entità dei premi, differiscono per ciascun bando, il che impedisce una comparazione. Anche la percentuale delle imprese che hanno ricevuto una premialità varia da un massimo del 32% per l’azione 3.B.2.3 “S</w:t>
      </w:r>
      <w:r w:rsidRPr="00301037">
        <w:t>ostegno alla competitività delle strutture ricettive alberghiere e delle strutture ricettive all’aria aperta</w:t>
      </w:r>
      <w:r>
        <w:t xml:space="preserve">” ad un minimo del 11,5% per l’azione 3.c.1.1 </w:t>
      </w:r>
      <w:r w:rsidRPr="00701494">
        <w:t>riguardante le agevolazioni Lombarde per la valorizzazione degli investimenti aziendali “</w:t>
      </w:r>
      <w:r>
        <w:t>A</w:t>
      </w:r>
      <w:r w:rsidRPr="00701494">
        <w:t>l via”</w:t>
      </w:r>
      <w:r>
        <w:t xml:space="preserve">.  È utile riportare che nell’ambito dell’azione 3.c.1.1. la percentuale di imprese femminili sul totale delle imprese richiedenti risultava pari a 9% mentre la percentuale delle imprese femminili sul totale delle imprese ammesse al finanziamento risultava pari a 11,5%. Questo potrebbe suggerire che il criterio di premialità abbia effettivamente contribuito a un lieve miglioramento della parità di genere nella fase di selezione dei progetti. Tuttavia, sulla base dei dati disponibili e senza analisi specifiche non è possibile comprendere in che misura i criteri premianti funzionano nel senso che risultano determinanti rispetto al miglioramento della parità di genere. </w:t>
      </w:r>
    </w:p>
    <w:p w14:paraId="7E49D841" w14:textId="77777777" w:rsidR="0029063E" w:rsidRDefault="0029063E" w:rsidP="00EA3339"/>
    <w:p w14:paraId="71FA3B22" w14:textId="77777777" w:rsidR="00E20AC0" w:rsidRPr="00772FB6" w:rsidRDefault="00E20AC0" w:rsidP="00E20AC0">
      <w:r>
        <w:t xml:space="preserve">In conclusione, sebbene si possa riconoscere il merito alla Regione Lombardia di aver introdotto criteri relativamente </w:t>
      </w:r>
      <w:r w:rsidRPr="00772FB6">
        <w:t xml:space="preserve">facili da applicare che sembrano aver incentivato, benché in diversa misura, la partecipazione delle imprese femminili nei programmi cofinanziati dal FESR, sarebbe auspicabile comprendere l’efficacia dei criteri di selezione utilizzati, ossia in che misura la premialità abbia effettivamente contribuito alla selezione di imprese femminili tra i beneficiari e incentivato la loro partecipazione nei progetti del FESR. </w:t>
      </w:r>
    </w:p>
    <w:p w14:paraId="27BB7B91" w14:textId="77777777" w:rsidR="00E20AC0" w:rsidRDefault="00E20AC0" w:rsidP="00E20AC0">
      <w:r w:rsidRPr="00772FB6">
        <w:t>Un altro aspetto importante è quello di utilizzare un criterio standardizzato e unitario per tutte le misure, che possa essere verificato in maniera automatizzata così da snellire il processo di selezione e rendere comparabili i risultati dell’applicazione dei criteri finalizzati a favorire il rispetto del principio orizzontale. Per far fronte a questa esigenza l’Autorità pari opportunità, nell’ambito dell’azione 3.B.2.3, ha creato e testato con successo un sistema in grado di verificare in maniera automatizzata se il candidato possieda o meno i requisiti necessari per l’ottenimento della premialità. Appare quindi</w:t>
      </w:r>
      <w:r>
        <w:t xml:space="preserve"> necessario continuare a lavorare in questa direzione, definendo un criterio comune, a partire da quello già proposto dall’Autorità Pari opportunità, che sia compatibile con il sistema per la verifica automatizzata dei criteri di premialità.</w:t>
      </w:r>
    </w:p>
    <w:p w14:paraId="5E803906" w14:textId="77777777" w:rsidR="00E20AC0" w:rsidRDefault="00E20AC0" w:rsidP="00EA3339"/>
    <w:p w14:paraId="781882BA" w14:textId="77777777" w:rsidR="0029063E" w:rsidRPr="00701494" w:rsidRDefault="0029063E" w:rsidP="0029063E">
      <w:pPr>
        <w:pStyle w:val="Didascalia"/>
      </w:pPr>
      <w:bookmarkStart w:id="135" w:name="_Toc91081466"/>
      <w:r>
        <w:t xml:space="preserve">Tabella </w:t>
      </w:r>
      <w:r w:rsidR="004E6566">
        <w:fldChar w:fldCharType="begin"/>
      </w:r>
      <w:r>
        <w:instrText xml:space="preserve"> SEQ Tabella \* ARABIC </w:instrText>
      </w:r>
      <w:r w:rsidR="004E6566">
        <w:fldChar w:fldCharType="separate"/>
      </w:r>
      <w:r w:rsidR="00E53D6C">
        <w:rPr>
          <w:noProof/>
        </w:rPr>
        <w:t>40</w:t>
      </w:r>
      <w:r w:rsidR="004E6566">
        <w:fldChar w:fldCharType="end"/>
      </w:r>
      <w:r>
        <w:t xml:space="preserve">. </w:t>
      </w:r>
      <w:r w:rsidRPr="003D04CC">
        <w:t>criteri di premialità volti a incentivare il coinvolgimento delle donne nei progetti cofinanziati dal FESR</w:t>
      </w:r>
      <w:bookmarkEnd w:id="135"/>
    </w:p>
    <w:tbl>
      <w:tblPr>
        <w:tblStyle w:val="Grigliatabella"/>
        <w:tblW w:w="0" w:type="auto"/>
        <w:tblLook w:val="04A0" w:firstRow="1" w:lastRow="0" w:firstColumn="1" w:lastColumn="0" w:noHBand="0" w:noVBand="1"/>
      </w:tblPr>
      <w:tblGrid>
        <w:gridCol w:w="724"/>
        <w:gridCol w:w="4800"/>
        <w:gridCol w:w="1984"/>
        <w:gridCol w:w="2120"/>
      </w:tblGrid>
      <w:tr w:rsidR="0029063E" w:rsidRPr="0029063E" w14:paraId="14BC1AB8" w14:textId="77777777" w:rsidTr="00E20AC0">
        <w:tc>
          <w:tcPr>
            <w:tcW w:w="724" w:type="dxa"/>
            <w:shd w:val="clear" w:color="auto" w:fill="8DBB70" w:themeFill="accent2"/>
          </w:tcPr>
          <w:p w14:paraId="5F5C1AD2" w14:textId="77777777" w:rsidR="00EA3339" w:rsidRPr="0029063E" w:rsidRDefault="00EA3339" w:rsidP="00AF58DF">
            <w:pPr>
              <w:rPr>
                <w:b/>
                <w:bCs/>
                <w:color w:val="FFFFFF" w:themeColor="background1"/>
                <w:sz w:val="18"/>
                <w:szCs w:val="18"/>
              </w:rPr>
            </w:pPr>
            <w:r w:rsidRPr="0029063E">
              <w:rPr>
                <w:b/>
                <w:bCs/>
                <w:color w:val="FFFFFF" w:themeColor="background1"/>
                <w:sz w:val="18"/>
                <w:szCs w:val="18"/>
              </w:rPr>
              <w:t>Bando</w:t>
            </w:r>
          </w:p>
        </w:tc>
        <w:tc>
          <w:tcPr>
            <w:tcW w:w="4800" w:type="dxa"/>
            <w:shd w:val="clear" w:color="auto" w:fill="8DBB70" w:themeFill="accent2"/>
          </w:tcPr>
          <w:p w14:paraId="6B7DD0DD" w14:textId="77777777" w:rsidR="00EA3339" w:rsidRPr="0029063E" w:rsidRDefault="00EA3339" w:rsidP="00AF58DF">
            <w:pPr>
              <w:rPr>
                <w:b/>
                <w:bCs/>
                <w:color w:val="FFFFFF" w:themeColor="background1"/>
                <w:sz w:val="18"/>
                <w:szCs w:val="18"/>
              </w:rPr>
            </w:pPr>
            <w:r w:rsidRPr="0029063E">
              <w:rPr>
                <w:b/>
                <w:bCs/>
                <w:color w:val="FFFFFF" w:themeColor="background1"/>
                <w:sz w:val="18"/>
                <w:szCs w:val="18"/>
              </w:rPr>
              <w:t>Criterio</w:t>
            </w:r>
          </w:p>
        </w:tc>
        <w:tc>
          <w:tcPr>
            <w:tcW w:w="1984" w:type="dxa"/>
            <w:shd w:val="clear" w:color="auto" w:fill="8DBB70" w:themeFill="accent2"/>
          </w:tcPr>
          <w:p w14:paraId="54C2A1AC" w14:textId="77777777" w:rsidR="00EA3339" w:rsidRPr="0029063E" w:rsidRDefault="00EA3339" w:rsidP="00AF58DF">
            <w:pPr>
              <w:rPr>
                <w:b/>
                <w:bCs/>
                <w:color w:val="FFFFFF" w:themeColor="background1"/>
                <w:sz w:val="18"/>
                <w:szCs w:val="18"/>
              </w:rPr>
            </w:pPr>
            <w:r w:rsidRPr="0029063E">
              <w:rPr>
                <w:b/>
                <w:bCs/>
                <w:color w:val="FFFFFF" w:themeColor="background1"/>
                <w:sz w:val="18"/>
                <w:szCs w:val="18"/>
              </w:rPr>
              <w:t>Premio</w:t>
            </w:r>
          </w:p>
        </w:tc>
        <w:tc>
          <w:tcPr>
            <w:tcW w:w="2120" w:type="dxa"/>
            <w:shd w:val="clear" w:color="auto" w:fill="8DBB70" w:themeFill="accent2"/>
          </w:tcPr>
          <w:p w14:paraId="49C13932" w14:textId="77777777" w:rsidR="00EA3339" w:rsidRPr="0029063E" w:rsidRDefault="00EA3339" w:rsidP="00AF58DF">
            <w:pPr>
              <w:rPr>
                <w:b/>
                <w:bCs/>
                <w:color w:val="FFFFFF" w:themeColor="background1"/>
                <w:sz w:val="18"/>
                <w:szCs w:val="18"/>
              </w:rPr>
            </w:pPr>
            <w:r w:rsidRPr="0029063E">
              <w:rPr>
                <w:b/>
                <w:bCs/>
                <w:color w:val="FFFFFF" w:themeColor="background1"/>
                <w:sz w:val="18"/>
                <w:szCs w:val="18"/>
              </w:rPr>
              <w:t>Imprese con premialità/ totale beneficiari (%)</w:t>
            </w:r>
          </w:p>
        </w:tc>
      </w:tr>
      <w:tr w:rsidR="00EA3339" w:rsidRPr="009E7B46" w14:paraId="01C89D33" w14:textId="77777777" w:rsidTr="00E20AC0">
        <w:tc>
          <w:tcPr>
            <w:tcW w:w="724" w:type="dxa"/>
          </w:tcPr>
          <w:p w14:paraId="0F59B95F" w14:textId="77777777" w:rsidR="00EA3339" w:rsidRPr="009E7B46" w:rsidRDefault="00EA3339" w:rsidP="00AF58DF">
            <w:pPr>
              <w:rPr>
                <w:sz w:val="18"/>
                <w:szCs w:val="18"/>
              </w:rPr>
            </w:pPr>
            <w:r w:rsidRPr="009E7B46">
              <w:rPr>
                <w:sz w:val="18"/>
                <w:szCs w:val="18"/>
              </w:rPr>
              <w:t>Asse III azione 3.B.1.2</w:t>
            </w:r>
          </w:p>
        </w:tc>
        <w:tc>
          <w:tcPr>
            <w:tcW w:w="4800" w:type="dxa"/>
          </w:tcPr>
          <w:p w14:paraId="002931A8" w14:textId="77777777" w:rsidR="00EA3339" w:rsidRPr="009E7B46" w:rsidRDefault="00EA3339" w:rsidP="00AF58DF">
            <w:pPr>
              <w:rPr>
                <w:sz w:val="18"/>
                <w:szCs w:val="18"/>
              </w:rPr>
            </w:pPr>
            <w:r w:rsidRPr="009E7B46">
              <w:rPr>
                <w:sz w:val="18"/>
                <w:szCs w:val="18"/>
              </w:rPr>
              <w:t>Imprese con una componente femminile maggioritaria in termini di partecipazione societaria e/o finanziaria al capitale sociale. Saranno considerati il numero di soci di genere femminile, in caso di società di persone, e le quote di capitale sociale detenute da soci di genere femminile, in caso di società di capitali.</w:t>
            </w:r>
          </w:p>
        </w:tc>
        <w:tc>
          <w:tcPr>
            <w:tcW w:w="1984" w:type="dxa"/>
          </w:tcPr>
          <w:p w14:paraId="476299BA" w14:textId="77777777" w:rsidR="00EA3339" w:rsidRPr="009E7B46" w:rsidRDefault="00EA3339" w:rsidP="00AF58DF">
            <w:pPr>
              <w:rPr>
                <w:sz w:val="18"/>
                <w:szCs w:val="18"/>
              </w:rPr>
            </w:pPr>
            <w:r w:rsidRPr="009E7B46">
              <w:rPr>
                <w:sz w:val="18"/>
                <w:szCs w:val="18"/>
              </w:rPr>
              <w:t>5 punti che concorrono al raggiungimento del punteggio minimo richiesto per l’ammissione all’agevolazione</w:t>
            </w:r>
          </w:p>
        </w:tc>
        <w:tc>
          <w:tcPr>
            <w:tcW w:w="2120" w:type="dxa"/>
          </w:tcPr>
          <w:p w14:paraId="2CB0480B" w14:textId="77777777" w:rsidR="00EA3339" w:rsidRPr="009E7B46" w:rsidRDefault="00EA3339" w:rsidP="004242C0">
            <w:pPr>
              <w:jc w:val="right"/>
              <w:rPr>
                <w:sz w:val="18"/>
                <w:szCs w:val="18"/>
              </w:rPr>
            </w:pPr>
            <w:r w:rsidRPr="009E7B46">
              <w:rPr>
                <w:sz w:val="18"/>
                <w:szCs w:val="18"/>
              </w:rPr>
              <w:t xml:space="preserve">19,7% </w:t>
            </w:r>
          </w:p>
        </w:tc>
      </w:tr>
      <w:tr w:rsidR="00EA3339" w:rsidRPr="009E7B46" w14:paraId="075827AD" w14:textId="77777777" w:rsidTr="00E20AC0">
        <w:tc>
          <w:tcPr>
            <w:tcW w:w="724" w:type="dxa"/>
          </w:tcPr>
          <w:p w14:paraId="084360C8" w14:textId="77777777" w:rsidR="00EA3339" w:rsidRPr="009E7B46" w:rsidRDefault="00EA3339" w:rsidP="00AF58DF">
            <w:pPr>
              <w:rPr>
                <w:sz w:val="18"/>
                <w:szCs w:val="18"/>
              </w:rPr>
            </w:pPr>
            <w:r w:rsidRPr="009E7B46">
              <w:rPr>
                <w:sz w:val="18"/>
                <w:szCs w:val="18"/>
              </w:rPr>
              <w:t xml:space="preserve">Asse III </w:t>
            </w:r>
            <w:bookmarkStart w:id="136" w:name="_Hlk77760952"/>
            <w:r w:rsidRPr="009E7B46">
              <w:rPr>
                <w:sz w:val="18"/>
                <w:szCs w:val="18"/>
              </w:rPr>
              <w:t>azione 3.B.2.3</w:t>
            </w:r>
            <w:bookmarkEnd w:id="136"/>
          </w:p>
        </w:tc>
        <w:tc>
          <w:tcPr>
            <w:tcW w:w="4800" w:type="dxa"/>
          </w:tcPr>
          <w:p w14:paraId="1BE4956E" w14:textId="77777777" w:rsidR="00EA3339" w:rsidRPr="009E7B46" w:rsidRDefault="00EA3339" w:rsidP="00AF58DF">
            <w:pPr>
              <w:rPr>
                <w:sz w:val="18"/>
                <w:szCs w:val="18"/>
              </w:rPr>
            </w:pPr>
            <w:r w:rsidRPr="009E7B46">
              <w:rPr>
                <w:sz w:val="18"/>
                <w:szCs w:val="18"/>
              </w:rPr>
              <w:t xml:space="preserve">Rilevanza (≥ 50%) della componente femminile all’interno della compagine societaria del soggetto richiedente alla data di pubblicazione sul BURL del bando; </w:t>
            </w:r>
          </w:p>
          <w:p w14:paraId="2B454CFB" w14:textId="77777777" w:rsidR="00EA3339" w:rsidRPr="009E7B46" w:rsidRDefault="00EA3339" w:rsidP="00AF58DF">
            <w:pPr>
              <w:rPr>
                <w:sz w:val="18"/>
                <w:szCs w:val="18"/>
              </w:rPr>
            </w:pPr>
          </w:p>
        </w:tc>
        <w:tc>
          <w:tcPr>
            <w:tcW w:w="1984" w:type="dxa"/>
          </w:tcPr>
          <w:p w14:paraId="1CA71456" w14:textId="77777777" w:rsidR="00EA3339" w:rsidRPr="009E7B46" w:rsidRDefault="00EA3339" w:rsidP="00AF58DF">
            <w:pPr>
              <w:rPr>
                <w:sz w:val="18"/>
                <w:szCs w:val="18"/>
              </w:rPr>
            </w:pPr>
            <w:r w:rsidRPr="009E7B46">
              <w:rPr>
                <w:sz w:val="18"/>
                <w:szCs w:val="18"/>
              </w:rPr>
              <w:t>1 punto attribuibile esclusivamente se il progetto raggiunge un punteggio minimo di 16 punti su 30</w:t>
            </w:r>
          </w:p>
        </w:tc>
        <w:tc>
          <w:tcPr>
            <w:tcW w:w="2120" w:type="dxa"/>
          </w:tcPr>
          <w:p w14:paraId="50C3EC96" w14:textId="77777777" w:rsidR="00EA3339" w:rsidRPr="009E7B46" w:rsidRDefault="00EA3339" w:rsidP="004242C0">
            <w:pPr>
              <w:jc w:val="right"/>
              <w:rPr>
                <w:sz w:val="18"/>
                <w:szCs w:val="18"/>
              </w:rPr>
            </w:pPr>
            <w:r w:rsidRPr="009E7B46">
              <w:rPr>
                <w:sz w:val="18"/>
                <w:szCs w:val="18"/>
              </w:rPr>
              <w:t>32%</w:t>
            </w:r>
          </w:p>
        </w:tc>
      </w:tr>
      <w:tr w:rsidR="00EA3339" w:rsidRPr="009E7B46" w14:paraId="206654BD" w14:textId="77777777" w:rsidTr="00E20AC0">
        <w:tc>
          <w:tcPr>
            <w:tcW w:w="724" w:type="dxa"/>
          </w:tcPr>
          <w:p w14:paraId="5BF6C64D" w14:textId="77777777" w:rsidR="00EA3339" w:rsidRPr="009E7B46" w:rsidRDefault="00EA3339" w:rsidP="00AF58DF">
            <w:pPr>
              <w:rPr>
                <w:sz w:val="18"/>
                <w:szCs w:val="18"/>
              </w:rPr>
            </w:pPr>
            <w:r w:rsidRPr="009E7B46">
              <w:rPr>
                <w:sz w:val="18"/>
                <w:szCs w:val="18"/>
              </w:rPr>
              <w:t xml:space="preserve">Asse I azione 1.B.1.1 </w:t>
            </w:r>
          </w:p>
        </w:tc>
        <w:tc>
          <w:tcPr>
            <w:tcW w:w="4800" w:type="dxa"/>
          </w:tcPr>
          <w:p w14:paraId="2522697E" w14:textId="77777777" w:rsidR="00EA3339" w:rsidRPr="009E7B46" w:rsidRDefault="00EA3339" w:rsidP="00AF58DF">
            <w:pPr>
              <w:rPr>
                <w:sz w:val="18"/>
                <w:szCs w:val="18"/>
              </w:rPr>
            </w:pPr>
            <w:r w:rsidRPr="009E7B46">
              <w:rPr>
                <w:sz w:val="18"/>
                <w:szCs w:val="18"/>
              </w:rPr>
              <w:t xml:space="preserve">Soggetto richiedente che abbia un rappresentante legale donna. La presenza di almeno una donna quale rappresentante legale del soggetto richiedente deve essere attestata al momento della presentazione della domanda. </w:t>
            </w:r>
          </w:p>
        </w:tc>
        <w:tc>
          <w:tcPr>
            <w:tcW w:w="1984" w:type="dxa"/>
          </w:tcPr>
          <w:p w14:paraId="3435C15E" w14:textId="77777777" w:rsidR="00EA3339" w:rsidRPr="009E7B46" w:rsidRDefault="00EA3339" w:rsidP="00AF58DF">
            <w:pPr>
              <w:rPr>
                <w:sz w:val="18"/>
                <w:szCs w:val="18"/>
              </w:rPr>
            </w:pPr>
            <w:r w:rsidRPr="009E7B46">
              <w:rPr>
                <w:sz w:val="18"/>
                <w:szCs w:val="18"/>
              </w:rPr>
              <w:t>1 punto attribuibile solo nel caso sia stata già raggiunta la soglia minima per l’ammissibilità</w:t>
            </w:r>
          </w:p>
        </w:tc>
        <w:tc>
          <w:tcPr>
            <w:tcW w:w="2120" w:type="dxa"/>
          </w:tcPr>
          <w:p w14:paraId="0D480EA4" w14:textId="77777777" w:rsidR="00EA3339" w:rsidRPr="009E7B46" w:rsidRDefault="00EA3339" w:rsidP="004242C0">
            <w:pPr>
              <w:jc w:val="right"/>
              <w:rPr>
                <w:sz w:val="18"/>
                <w:szCs w:val="18"/>
              </w:rPr>
            </w:pPr>
            <w:r w:rsidRPr="009E7B46">
              <w:rPr>
                <w:sz w:val="18"/>
                <w:szCs w:val="18"/>
              </w:rPr>
              <w:t>17,4%</w:t>
            </w:r>
          </w:p>
        </w:tc>
      </w:tr>
      <w:tr w:rsidR="00EA3339" w:rsidRPr="009E7B46" w14:paraId="71A36059" w14:textId="77777777" w:rsidTr="00E20AC0">
        <w:tc>
          <w:tcPr>
            <w:tcW w:w="724" w:type="dxa"/>
          </w:tcPr>
          <w:p w14:paraId="10CDA21E" w14:textId="77777777" w:rsidR="00EA3339" w:rsidRPr="009E7B46" w:rsidRDefault="00EA3339" w:rsidP="00AF58DF">
            <w:pPr>
              <w:rPr>
                <w:sz w:val="18"/>
                <w:szCs w:val="18"/>
              </w:rPr>
            </w:pPr>
            <w:r w:rsidRPr="009E7B46">
              <w:rPr>
                <w:sz w:val="18"/>
                <w:szCs w:val="18"/>
              </w:rPr>
              <w:t>Asse III azione 3.c.1.1</w:t>
            </w:r>
          </w:p>
        </w:tc>
        <w:tc>
          <w:tcPr>
            <w:tcW w:w="4800" w:type="dxa"/>
          </w:tcPr>
          <w:p w14:paraId="3BD10901" w14:textId="77777777" w:rsidR="00EA3339" w:rsidRPr="009E7B46" w:rsidRDefault="00EA3339" w:rsidP="00AF58DF">
            <w:pPr>
              <w:rPr>
                <w:sz w:val="18"/>
                <w:szCs w:val="18"/>
              </w:rPr>
            </w:pPr>
            <w:r w:rsidRPr="009E7B46">
              <w:rPr>
                <w:sz w:val="18"/>
                <w:szCs w:val="18"/>
              </w:rPr>
              <w:t>Compagine societaria composta per almeno ⅔ da donne</w:t>
            </w:r>
          </w:p>
        </w:tc>
        <w:tc>
          <w:tcPr>
            <w:tcW w:w="1984" w:type="dxa"/>
          </w:tcPr>
          <w:p w14:paraId="5D53365D" w14:textId="77777777" w:rsidR="00EA3339" w:rsidRPr="009E7B46" w:rsidRDefault="00EA3339" w:rsidP="00AF58DF">
            <w:pPr>
              <w:rPr>
                <w:sz w:val="18"/>
                <w:szCs w:val="18"/>
              </w:rPr>
            </w:pPr>
            <w:r w:rsidRPr="009E7B46">
              <w:rPr>
                <w:sz w:val="18"/>
                <w:szCs w:val="18"/>
              </w:rPr>
              <w:t>10 punti su 100</w:t>
            </w:r>
          </w:p>
        </w:tc>
        <w:tc>
          <w:tcPr>
            <w:tcW w:w="2120" w:type="dxa"/>
          </w:tcPr>
          <w:p w14:paraId="5C59872B" w14:textId="77777777" w:rsidR="00EA3339" w:rsidRPr="009E7B46" w:rsidRDefault="00EA3339" w:rsidP="004242C0">
            <w:pPr>
              <w:jc w:val="right"/>
              <w:rPr>
                <w:sz w:val="18"/>
                <w:szCs w:val="18"/>
              </w:rPr>
            </w:pPr>
            <w:r w:rsidRPr="009E7B46">
              <w:rPr>
                <w:sz w:val="18"/>
                <w:szCs w:val="18"/>
              </w:rPr>
              <w:t>11,5%</w:t>
            </w:r>
          </w:p>
        </w:tc>
      </w:tr>
    </w:tbl>
    <w:p w14:paraId="23B42D78" w14:textId="77777777" w:rsidR="00EA3339" w:rsidRDefault="00EA3339" w:rsidP="00EA3339">
      <w:r>
        <w:t xml:space="preserve">Fonte: informazioni tratte dall’informativa dell’Autorità Pari Opportunità, </w:t>
      </w:r>
      <w:proofErr w:type="spellStart"/>
      <w:r>
        <w:t>CdS</w:t>
      </w:r>
      <w:proofErr w:type="spellEnd"/>
      <w:r>
        <w:t xml:space="preserve"> di maggio 2021.</w:t>
      </w:r>
    </w:p>
    <w:p w14:paraId="5241273D" w14:textId="77777777" w:rsidR="00E20AC0" w:rsidRDefault="00E20AC0" w:rsidP="00EA3339"/>
    <w:p w14:paraId="288B366A" w14:textId="77777777" w:rsidR="002800B4" w:rsidRDefault="002800B4" w:rsidP="00282A60"/>
    <w:p w14:paraId="7FB33F85" w14:textId="77777777" w:rsidR="00EF6B92" w:rsidRDefault="00EF6B92" w:rsidP="00EF6B92"/>
    <w:p w14:paraId="1A98C84E" w14:textId="77777777" w:rsidR="00EF6B92" w:rsidRPr="00EF6B92" w:rsidRDefault="00EF6B92" w:rsidP="00EF6B92"/>
    <w:p w14:paraId="72491CE5" w14:textId="77777777" w:rsidR="00A11EC6" w:rsidRDefault="00A11EC6">
      <w:pPr>
        <w:spacing w:after="320" w:line="300" w:lineRule="auto"/>
        <w:jc w:val="left"/>
        <w:rPr>
          <w:rFonts w:eastAsiaTheme="majorEastAsia" w:cstheme="majorBidi"/>
          <w:color w:val="DF1010" w:themeColor="accent1" w:themeShade="BF"/>
          <w:sz w:val="40"/>
          <w:szCs w:val="36"/>
        </w:rPr>
      </w:pPr>
      <w:r>
        <w:br w:type="page"/>
      </w:r>
    </w:p>
    <w:p w14:paraId="79E65EBF" w14:textId="77777777" w:rsidR="00A52782" w:rsidRDefault="00282A60" w:rsidP="00BF3994">
      <w:pPr>
        <w:pStyle w:val="Titolo2"/>
      </w:pPr>
      <w:bookmarkStart w:id="137" w:name="_Toc91081418"/>
      <w:r>
        <w:t>Conclusioni e implicazioni</w:t>
      </w:r>
      <w:r w:rsidR="004D6333">
        <w:t xml:space="preserve"> rispetto al focus valutativo imprenditorialità</w:t>
      </w:r>
      <w:bookmarkEnd w:id="137"/>
    </w:p>
    <w:p w14:paraId="15CDB269" w14:textId="77777777" w:rsidR="002C1914" w:rsidRPr="002C1914" w:rsidRDefault="002C1914" w:rsidP="002C1914"/>
    <w:p w14:paraId="0F4224B7" w14:textId="77777777" w:rsidR="00BF2E9D" w:rsidRDefault="00BF2E9D" w:rsidP="000053B7">
      <w:pPr>
        <w:pStyle w:val="Titolo3"/>
      </w:pPr>
      <w:bookmarkStart w:id="138" w:name="_Toc91081419"/>
      <w:r w:rsidRPr="00BF2E9D">
        <w:t>Considerazioni conclusive</w:t>
      </w:r>
      <w:bookmarkEnd w:id="138"/>
    </w:p>
    <w:p w14:paraId="7787274A" w14:textId="77777777" w:rsidR="002C1914" w:rsidRPr="002C1914" w:rsidRDefault="002C1914" w:rsidP="002C1914"/>
    <w:p w14:paraId="16FB4589" w14:textId="77777777" w:rsidR="00D10098" w:rsidRDefault="00FB085B" w:rsidP="000C6276">
      <w:r>
        <w:t xml:space="preserve">Le politiche regionali </w:t>
      </w:r>
      <w:r w:rsidR="00D10098">
        <w:t>per l’imprenditorialità co-finanziate dai fondi strutturali e di investimento</w:t>
      </w:r>
      <w:r w:rsidR="00AD5FC2" w:rsidRPr="00AD5FC2">
        <w:t xml:space="preserve"> </w:t>
      </w:r>
      <w:r w:rsidR="00AD5FC2">
        <w:t xml:space="preserve">europei in Lombardia includono un mix variegato di interventi </w:t>
      </w:r>
      <w:r w:rsidR="00DA3181">
        <w:t xml:space="preserve">per </w:t>
      </w:r>
      <w:r w:rsidR="00AD5FC2">
        <w:t>le imprese (</w:t>
      </w:r>
      <w:r w:rsidR="00E44FEF">
        <w:t xml:space="preserve">supportate da </w:t>
      </w:r>
      <w:r w:rsidR="00AD5FC2">
        <w:t xml:space="preserve">FESR e FEASR) e </w:t>
      </w:r>
      <w:r w:rsidR="00DA3181">
        <w:t xml:space="preserve">di sostegno </w:t>
      </w:r>
      <w:r w:rsidR="00AD5FC2">
        <w:t>ai singoli individui (FSE)</w:t>
      </w:r>
      <w:r w:rsidR="00D10098">
        <w:t>.</w:t>
      </w:r>
      <w:r w:rsidR="00AD5FC2">
        <w:t xml:space="preserve"> L’intero ciclo di vita dell’attività imprenditoriale è </w:t>
      </w:r>
      <w:r w:rsidR="00E44FEF">
        <w:t xml:space="preserve">in qualche misura </w:t>
      </w:r>
      <w:r w:rsidR="00AD5FC2">
        <w:t xml:space="preserve">oggetto di </w:t>
      </w:r>
      <w:r w:rsidR="00E11534">
        <w:t>supporto</w:t>
      </w:r>
      <w:r w:rsidR="00AD5FC2">
        <w:t xml:space="preserve">, dallo sviluppo dell’idea imprenditoriale all’avvio, </w:t>
      </w:r>
      <w:r w:rsidR="00AE1495">
        <w:t>d</w:t>
      </w:r>
      <w:r w:rsidR="00AD5FC2">
        <w:t xml:space="preserve">alla </w:t>
      </w:r>
      <w:r w:rsidR="00AE1495">
        <w:t xml:space="preserve">crescita </w:t>
      </w:r>
      <w:r w:rsidR="00AD5FC2">
        <w:t>alla ristrutturazione</w:t>
      </w:r>
      <w:r w:rsidR="00AE1495">
        <w:t>, passando per il rafforzamento delle competenze. Mentre le iniziative finanziate da FESR e FEASR si concentrano prevalentemente sulla competitività, com’è ovvio, quelle FSE sono principalmente orientate allo sviluppo del capitale umano e</w:t>
      </w:r>
      <w:r w:rsidR="00DA3181">
        <w:t>,</w:t>
      </w:r>
      <w:r w:rsidR="00AE1495">
        <w:t xml:space="preserve"> </w:t>
      </w:r>
      <w:r w:rsidR="00E44FEF">
        <w:t>direttamente</w:t>
      </w:r>
      <w:r w:rsidR="00DA3181">
        <w:t>,</w:t>
      </w:r>
      <w:r w:rsidR="00E44FEF">
        <w:t xml:space="preserve"> a favorire l’</w:t>
      </w:r>
      <w:r w:rsidR="00AE1495">
        <w:t xml:space="preserve">occupazione. </w:t>
      </w:r>
      <w:r w:rsidR="00D10098">
        <w:t xml:space="preserve"> </w:t>
      </w:r>
    </w:p>
    <w:p w14:paraId="40A751CA" w14:textId="77777777" w:rsidR="00D10098" w:rsidRDefault="00D10098" w:rsidP="000C6276"/>
    <w:p w14:paraId="6DF994FC" w14:textId="77777777" w:rsidR="004D6333" w:rsidRDefault="004D6333" w:rsidP="000C6276">
      <w:r>
        <w:t xml:space="preserve">Le valutazioni </w:t>
      </w:r>
      <w:r w:rsidR="00DA3181">
        <w:t xml:space="preserve">dei singoli programmi, </w:t>
      </w:r>
      <w:r>
        <w:t>condotte nel 2021 relativamente al</w:t>
      </w:r>
      <w:r w:rsidR="00AE1495">
        <w:t xml:space="preserve"> sostegno alla nascita e sviluppo delle imprese</w:t>
      </w:r>
      <w:r w:rsidR="00DA3181">
        <w:t>,</w:t>
      </w:r>
      <w:r>
        <w:t xml:space="preserve"> si sono basate principalmente su una analisi incrociata e critica dei dati di monitoraggio e su</w:t>
      </w:r>
      <w:r w:rsidR="008F340C">
        <w:t>lla</w:t>
      </w:r>
      <w:r>
        <w:t xml:space="preserve"> raccolta di dati primari per mezzo di survey dei beneficiari</w:t>
      </w:r>
      <w:r w:rsidR="00E11534">
        <w:t xml:space="preserve"> e di casi studio</w:t>
      </w:r>
      <w:r>
        <w:t xml:space="preserve">, con tutti i limiti che ne derivano. </w:t>
      </w:r>
      <w:r w:rsidR="00CE5AB6">
        <w:t xml:space="preserve">Nella maggioranza dei casi non sono stati considerati campioni </w:t>
      </w:r>
      <w:r>
        <w:t>rappresentativ</w:t>
      </w:r>
      <w:r w:rsidR="00CE5AB6">
        <w:t>i</w:t>
      </w:r>
      <w:r>
        <w:t xml:space="preserve"> ma piuttosto </w:t>
      </w:r>
      <w:r w:rsidR="00CE5AB6">
        <w:t xml:space="preserve">sono stati realizzati </w:t>
      </w:r>
      <w:r>
        <w:t xml:space="preserve">dei focus </w:t>
      </w:r>
      <w:r w:rsidR="008F340C">
        <w:t>sui beneficiari con un raggio di copertura variabile. A questi si sono aggiunti casi studio di alcune specifiche misure (es. “Al via” e “Linea Controgaranzie</w:t>
      </w:r>
      <w:r w:rsidR="00E44FEF">
        <w:t>” nel caso del POR FESR</w:t>
      </w:r>
      <w:r w:rsidR="008F340C">
        <w:t xml:space="preserve">). </w:t>
      </w:r>
    </w:p>
    <w:p w14:paraId="1AD58940" w14:textId="77777777" w:rsidR="008F340C" w:rsidRDefault="008F340C" w:rsidP="000C6276">
      <w:r>
        <w:t>Nel complesso</w:t>
      </w:r>
      <w:r w:rsidR="00E44FEF">
        <w:t>,</w:t>
      </w:r>
      <w:r>
        <w:t xml:space="preserve"> dalle analisi condotte e sintetizzate nella sezione 3.4.1 </w:t>
      </w:r>
      <w:r w:rsidR="00DA3181">
        <w:t xml:space="preserve">di questo rapporto </w:t>
      </w:r>
      <w:r>
        <w:t xml:space="preserve">emerge un quadro sostanzialmente positivo in merito all’efficacia delle politiche della Regione per il sostegno delle nuove imprese e di quelle esistenti. In base ai giudizi sono emersi effetti positivi del sostegno pubblico sulla performance </w:t>
      </w:r>
      <w:r w:rsidR="00E44FEF">
        <w:t xml:space="preserve">delle imprese </w:t>
      </w:r>
      <w:r>
        <w:t xml:space="preserve">in termini di fatturato e occupazione. </w:t>
      </w:r>
      <w:r w:rsidR="00B0383A">
        <w:t xml:space="preserve">Viene inoltre evidenziato in modo piuttosto ricorrente anche il valore aggiunto dell’intervento nel senso che, a parere dei beneficiari, gli investimenti e i risultati non sarebbero stati effettuati/raggiunti, o lo sarebbero stati in misura minore, senza il supporto regionale. Va ribadito comunque che tale conclusione, per quanto significativa, è il risultato dei giudizi delle </w:t>
      </w:r>
      <w:r w:rsidR="00E44FEF">
        <w:t xml:space="preserve">aziende </w:t>
      </w:r>
      <w:r w:rsidR="00B0383A">
        <w:t xml:space="preserve">piuttosto che di rigorose analisi controfattuali </w:t>
      </w:r>
      <w:r w:rsidR="00CE5AB6">
        <w:t>(fatta eccezione per il FEASR</w:t>
      </w:r>
      <w:r w:rsidR="00E44FEF">
        <w:t xml:space="preserve"> nella cui valutazione si fa un confronto tra agevolati e non</w:t>
      </w:r>
      <w:r w:rsidR="00CE5AB6">
        <w:t xml:space="preserve">) </w:t>
      </w:r>
      <w:r w:rsidR="00B0383A">
        <w:t xml:space="preserve">o di valutazione d’impatto basata sulla teoria.   </w:t>
      </w:r>
    </w:p>
    <w:p w14:paraId="0CFF1FEA" w14:textId="77777777" w:rsidR="00DA3181" w:rsidRDefault="00DA3181" w:rsidP="000C6276"/>
    <w:p w14:paraId="3278084F" w14:textId="77777777" w:rsidR="008F340C" w:rsidRDefault="00B0383A" w:rsidP="000C6276">
      <w:r>
        <w:t xml:space="preserve">Effetti positivi sulla performance </w:t>
      </w:r>
      <w:r w:rsidR="00CD2413">
        <w:t xml:space="preserve">e sulla competitività delle imprese </w:t>
      </w:r>
      <w:r>
        <w:t xml:space="preserve">sono stati evidenziati in relazione a tutti gli interventi </w:t>
      </w:r>
      <w:r w:rsidR="00DF6C26">
        <w:t>valutati</w:t>
      </w:r>
      <w:r w:rsidR="00DA3181">
        <w:t>, come</w:t>
      </w:r>
      <w:r>
        <w:t xml:space="preserve"> </w:t>
      </w:r>
      <w:r w:rsidR="00E44FEF">
        <w:t>“</w:t>
      </w:r>
      <w:r>
        <w:t>Intraprendo</w:t>
      </w:r>
      <w:r w:rsidR="00E44FEF">
        <w:t>”</w:t>
      </w:r>
      <w:r w:rsidR="00DA3181">
        <w:t xml:space="preserve"> per </w:t>
      </w:r>
      <w:r w:rsidR="00DA3181" w:rsidRPr="00DA3181">
        <w:t>l’avvio d’impresa</w:t>
      </w:r>
      <w:r>
        <w:t xml:space="preserve">, le iniziative </w:t>
      </w:r>
      <w:r w:rsidR="00DA3181">
        <w:t xml:space="preserve">della </w:t>
      </w:r>
      <w:r>
        <w:t>“Linea Internazionalizzazione”</w:t>
      </w:r>
      <w:r w:rsidR="00DF6C26">
        <w:t xml:space="preserve">, le misure per il sostegno delle imprese turistiche come “Turismo e Attrattività”, e gli interventi per la riorganizzazione </w:t>
      </w:r>
      <w:r w:rsidR="00DA3181">
        <w:t xml:space="preserve">e la </w:t>
      </w:r>
      <w:r w:rsidR="00DF6C26">
        <w:t xml:space="preserve">ristrutturazione </w:t>
      </w:r>
      <w:r w:rsidR="00DA3181">
        <w:t xml:space="preserve">aziendale </w:t>
      </w:r>
      <w:r w:rsidR="00DF6C26">
        <w:t xml:space="preserve">(i menzionati “Al via” e “Linea controgaranzie”).  </w:t>
      </w:r>
    </w:p>
    <w:p w14:paraId="41E3904C" w14:textId="77777777" w:rsidR="00DA3181" w:rsidRPr="00B4132E" w:rsidRDefault="00DA3181" w:rsidP="000C6276"/>
    <w:p w14:paraId="52238608" w14:textId="77777777" w:rsidR="00D21D9A" w:rsidRDefault="00CD2413" w:rsidP="003D1CC6">
      <w:r>
        <w:t xml:space="preserve">I punti di debolezza degli interventi valutati sono, </w:t>
      </w:r>
      <w:r w:rsidR="002A3E5C">
        <w:t>per i beneficiari, sempre legati all</w:t>
      </w:r>
      <w:r w:rsidR="00063D45">
        <w:t xml:space="preserve">e “onerose” procedure </w:t>
      </w:r>
      <w:r w:rsidR="002A3E5C">
        <w:t>amministrativ</w:t>
      </w:r>
      <w:r w:rsidR="00063D45">
        <w:t>e, alla rendicontazione, alle criticità del sistema informativo per lo scambio dei dati utilizzato da Finlombarda</w:t>
      </w:r>
      <w:r w:rsidR="002A3E5C">
        <w:t>.</w:t>
      </w:r>
      <w:r w:rsidR="00847BF2">
        <w:t xml:space="preserve"> </w:t>
      </w:r>
      <w:r w:rsidR="008A1703">
        <w:t xml:space="preserve">Alcuni accorgimenti sono stati presi per rispondere a questi limiti. Per esempio l’iniziativa </w:t>
      </w:r>
      <w:r w:rsidR="005C17CC">
        <w:t>“</w:t>
      </w:r>
      <w:r w:rsidR="008A1703">
        <w:t>Arch</w:t>
      </w:r>
      <w:r w:rsidR="005C17CC">
        <w:t xml:space="preserve">è” </w:t>
      </w:r>
      <w:r w:rsidR="008A1703">
        <w:t xml:space="preserve">risponde ai limiti amministrativi riscontrati ma gli effettivi benefici andrebbero ancora </w:t>
      </w:r>
      <w:r w:rsidR="00E44FEF">
        <w:t>verificati</w:t>
      </w:r>
      <w:r w:rsidR="008A1703">
        <w:t xml:space="preserve">.  </w:t>
      </w:r>
    </w:p>
    <w:p w14:paraId="37D9B341" w14:textId="77777777" w:rsidR="003D1CC6" w:rsidRDefault="003D1CC6" w:rsidP="003D1CC6"/>
    <w:p w14:paraId="35BE8FFE" w14:textId="77777777" w:rsidR="008C42BB" w:rsidRDefault="00847BF2" w:rsidP="00BC2A47">
      <w:r>
        <w:t xml:space="preserve">A questi limiti “endogeni” che attengono alla sfera dei processi amministrativi si sono aggiunti i limiti “esogeni” dovuti alla pandemia di </w:t>
      </w:r>
      <w:r w:rsidR="0030242F">
        <w:t>COVID</w:t>
      </w:r>
      <w:r>
        <w:t>-19 che ha creato una crisi senza precedent</w:t>
      </w:r>
      <w:r w:rsidR="003D1CC6">
        <w:t xml:space="preserve">i </w:t>
      </w:r>
      <w:r>
        <w:t xml:space="preserve">per la maggior parte della attività produttive lombarde. </w:t>
      </w:r>
      <w:r w:rsidR="008C42BB">
        <w:t>Le conseguenze negative della pandemia emergono anche da</w:t>
      </w:r>
      <w:r w:rsidR="00D21D9A">
        <w:t xml:space="preserve"> alcuni de</w:t>
      </w:r>
      <w:r w:rsidR="008C42BB">
        <w:t>gli indicatori di monitoraggio</w:t>
      </w:r>
      <w:r w:rsidR="00D21D9A">
        <w:t>,</w:t>
      </w:r>
      <w:r w:rsidR="008C42BB">
        <w:t xml:space="preserve"> </w:t>
      </w:r>
      <w:r w:rsidR="003D7AA3">
        <w:t xml:space="preserve">come </w:t>
      </w:r>
      <w:r w:rsidR="00D21D9A">
        <w:t xml:space="preserve">evidenziato nel paragrafo </w:t>
      </w:r>
      <w:r w:rsidR="008C42BB">
        <w:t>2.1.1</w:t>
      </w:r>
      <w:r w:rsidR="00D21D9A">
        <w:t>. Per esempio, nel caso del</w:t>
      </w:r>
      <w:r w:rsidR="008C42BB" w:rsidRPr="008C42BB">
        <w:t xml:space="preserve"> tasso di sopravvivenza delle imprese, </w:t>
      </w:r>
      <w:r w:rsidR="00D21D9A">
        <w:t>de</w:t>
      </w:r>
      <w:r w:rsidR="008C42BB" w:rsidRPr="008C42BB">
        <w:t xml:space="preserve">l grado di apertura commerciale del comparto manifatturiero e </w:t>
      </w:r>
      <w:r w:rsidR="00D21D9A">
        <w:t>de</w:t>
      </w:r>
      <w:r w:rsidR="008C42BB" w:rsidRPr="008C42BB">
        <w:t>gli impieghi bancari verso imprese lombarde, si nota un peggioramento nella situazione attuale rispetto alla baseline.</w:t>
      </w:r>
      <w:r w:rsidR="00D21D9A">
        <w:t xml:space="preserve"> Per far fronte agli effetti negativi del </w:t>
      </w:r>
      <w:r w:rsidR="0030242F">
        <w:t>COVID-19</w:t>
      </w:r>
      <w:r w:rsidR="00D21D9A">
        <w:t xml:space="preserve">, alcune azioni per la competitività delle imprese sono state rafforzate. </w:t>
      </w:r>
    </w:p>
    <w:p w14:paraId="6AA6D2C5" w14:textId="77777777" w:rsidR="003D1CC6" w:rsidRDefault="003D1CC6" w:rsidP="00E67B55">
      <w:pPr>
        <w:spacing w:after="120"/>
      </w:pPr>
    </w:p>
    <w:p w14:paraId="1CF0C50E" w14:textId="77777777" w:rsidR="00626526" w:rsidRDefault="00D21D9A" w:rsidP="003D1CC6">
      <w:r>
        <w:t>N</w:t>
      </w:r>
      <w:r w:rsidRPr="00D21D9A">
        <w:t>ell’</w:t>
      </w:r>
      <w:r>
        <w:t>ambito dell’</w:t>
      </w:r>
      <w:r w:rsidRPr="00D21D9A">
        <w:t>Asse III</w:t>
      </w:r>
      <w:r>
        <w:t xml:space="preserve"> del POR FESR</w:t>
      </w:r>
      <w:r w:rsidRPr="00D21D9A">
        <w:t xml:space="preserve">, </w:t>
      </w:r>
      <w:r>
        <w:t xml:space="preserve">per esempio, </w:t>
      </w:r>
      <w:r w:rsidRPr="00D21D9A">
        <w:t>le azioni III.3.c.1.1 “Aiuti per investimenti in macchinari, impianti e beni intangibili, e accompagnamento dei processi di riorganizzazione e ristrutturazione aziendale”, e III.3.c.1.1 “Potenziamento del sistema delle garanzie pubbliche per l’espansione del credito in sinergia tra sistema nazionale e sistemi regionali di garanzia, favorendo forme di razionalizzazione che valorizzino anche il ruolo dei confidi più efficienti ed efficaci”, sono state aggiornate per sostenere il capitale circolante delle imprese lombarde</w:t>
      </w:r>
      <w:r>
        <w:t>.</w:t>
      </w:r>
    </w:p>
    <w:p w14:paraId="5BC47CBB" w14:textId="77777777" w:rsidR="003D1CC6" w:rsidRDefault="003D1CC6" w:rsidP="003D1CC6"/>
    <w:p w14:paraId="1BF1F930" w14:textId="77777777" w:rsidR="00722A76" w:rsidRDefault="00AE1495" w:rsidP="003D1CC6">
      <w:r>
        <w:t xml:space="preserve">Le iniziative del FEASR </w:t>
      </w:r>
      <w:r w:rsidR="00CE5AB6">
        <w:t xml:space="preserve">che </w:t>
      </w:r>
      <w:r>
        <w:t xml:space="preserve">sono </w:t>
      </w:r>
      <w:r w:rsidR="00CE5AB6">
        <w:t xml:space="preserve">state valutate </w:t>
      </w:r>
      <w:r w:rsidR="00567386">
        <w:t xml:space="preserve">nell’anno in corso </w:t>
      </w:r>
      <w:r w:rsidR="00CE5AB6">
        <w:t xml:space="preserve">sono </w:t>
      </w:r>
      <w:r>
        <w:t xml:space="preserve">relative </w:t>
      </w:r>
      <w:r w:rsidR="00CE5AB6">
        <w:t>al “ricambio generazionale” e agli “investimenti in imprese agricole”. Le analisi valutative svolte anche in questo caso si basano su indagini dirette</w:t>
      </w:r>
      <w:r w:rsidR="00E92346">
        <w:t xml:space="preserve">. </w:t>
      </w:r>
      <w:r w:rsidR="00567386">
        <w:t xml:space="preserve">Come precedentemente sottolineato, è </w:t>
      </w:r>
      <w:r w:rsidR="00E92346">
        <w:t xml:space="preserve">stato fatto </w:t>
      </w:r>
      <w:r w:rsidR="0070588E">
        <w:t xml:space="preserve">un confronto controfattuale tra </w:t>
      </w:r>
      <w:r w:rsidR="0070588E">
        <w:rPr>
          <w:szCs w:val="22"/>
        </w:rPr>
        <w:t xml:space="preserve">i risultati rilevati dal Valutatore con quelli contenuti nella banca dati RICA </w:t>
      </w:r>
      <w:r w:rsidR="0070588E">
        <w:t>(</w:t>
      </w:r>
      <w:r w:rsidR="0070588E">
        <w:rPr>
          <w:szCs w:val="22"/>
        </w:rPr>
        <w:t xml:space="preserve">Rete di Informazione Contabile Agricola). </w:t>
      </w:r>
      <w:r w:rsidR="00E92346">
        <w:t xml:space="preserve">Anche </w:t>
      </w:r>
      <w:r w:rsidR="00CE5AB6">
        <w:t>su</w:t>
      </w:r>
      <w:r w:rsidR="00E92346">
        <w:t>l fronte delle imprese agricole, l</w:t>
      </w:r>
      <w:r w:rsidR="00CE5AB6">
        <w:t>e attività</w:t>
      </w:r>
      <w:r w:rsidR="00E92346">
        <w:t xml:space="preserve"> finanziate si caratterizzano</w:t>
      </w:r>
      <w:r w:rsidR="000D2FC8">
        <w:t>,</w:t>
      </w:r>
      <w:r w:rsidR="00E92346">
        <w:t xml:space="preserve"> secondo il valutatore indipendente</w:t>
      </w:r>
      <w:r w:rsidR="000D2FC8">
        <w:t>,</w:t>
      </w:r>
      <w:r w:rsidR="00E92346">
        <w:t xml:space="preserve"> per risultati ed effetti prevalentemente positivi in termini di giovani raggiunti e coinvolti. </w:t>
      </w:r>
      <w:r w:rsidR="0070588E">
        <w:t>È interessante sottolineare la giovane età abbinata ad un livello medio-alto di scolarizzazione dei beneficiari</w:t>
      </w:r>
      <w:r w:rsidR="0070588E" w:rsidRPr="0070588E">
        <w:t>: a fronte di un’età media di 26,5 anni la scolarizzazione di grado superiore è dell’80%.</w:t>
      </w:r>
      <w:r w:rsidR="003D1CC6">
        <w:t xml:space="preserve"> </w:t>
      </w:r>
      <w:r w:rsidR="00E92346">
        <w:t xml:space="preserve">Le analisi sugli interventi menzionati sottolineano inoltre l’aumento della </w:t>
      </w:r>
      <w:r w:rsidR="0070588E">
        <w:t>superficie agricola utilizzata (</w:t>
      </w:r>
      <w:r w:rsidR="00E92346">
        <w:t>SAU</w:t>
      </w:r>
      <w:r w:rsidR="0070588E">
        <w:t>)</w:t>
      </w:r>
      <w:r w:rsidR="000D2FC8">
        <w:t>,</w:t>
      </w:r>
      <w:r w:rsidR="00E92346">
        <w:t xml:space="preserve"> grazie sia all’acquisto che all’affitto di terreni</w:t>
      </w:r>
      <w:r w:rsidR="000D2FC8">
        <w:t>, e un positivo effetto occupazionale</w:t>
      </w:r>
      <w:r w:rsidR="00E92346">
        <w:t xml:space="preserve">. Si evidenziano inoltre effetti positivi sulla capacità innovativa, sulla diffusione di marchi di qualità etc. </w:t>
      </w:r>
      <w:r w:rsidR="00722A76">
        <w:t xml:space="preserve">Anche la valutazione del valore aggiunto dell’intervento è positiva in quanto, il PSR è stato cruciale, secondo i beneficiari, nella realizzazione degli investimenti.  </w:t>
      </w:r>
    </w:p>
    <w:p w14:paraId="2CF16574" w14:textId="77777777" w:rsidR="003D1CC6" w:rsidRDefault="003D1CC6" w:rsidP="003D1CC6"/>
    <w:p w14:paraId="43CDE3C3" w14:textId="77777777" w:rsidR="00722A76" w:rsidRDefault="00E92346" w:rsidP="003D1CC6">
      <w:r>
        <w:t xml:space="preserve">Parallelamente agli interventi sulle imprese supportati dal FESR e richiamati precedentemente, le principali difficoltà </w:t>
      </w:r>
      <w:r w:rsidR="00111076">
        <w:t xml:space="preserve">messe in evidenza </w:t>
      </w:r>
      <w:r w:rsidR="003D1CC6">
        <w:t xml:space="preserve">nel caso delle aziende agricole </w:t>
      </w:r>
      <w:r w:rsidR="00111076">
        <w:t xml:space="preserve">sono relative agli aspetti amministrativi, alla produzione della documentazione tecnica etc. </w:t>
      </w:r>
      <w:r w:rsidR="00722A76">
        <w:t>Per il 25% dei beneficiari è stata necessaria la consulenza di un tecnico, specie nell’approntare un piano aziendale. La metà dei beneficiari ha segnalato difficoltà a produrre la documentazione tecnica da allegare alla domanda, a presentare la domanda di saldo</w:t>
      </w:r>
      <w:r w:rsidR="000D2FC8">
        <w:t>,</w:t>
      </w:r>
      <w:r w:rsidR="00722A76">
        <w:t xml:space="preserve"> e segnalato elevati tempi di attesa per l’erogazione del contributo.</w:t>
      </w:r>
    </w:p>
    <w:p w14:paraId="4CA79AC3" w14:textId="77777777" w:rsidR="003D1CC6" w:rsidRDefault="003D1CC6" w:rsidP="003D1CC6"/>
    <w:p w14:paraId="54E90C65" w14:textId="77777777" w:rsidR="00CE5AB6" w:rsidRDefault="00111076" w:rsidP="003D1CC6">
      <w:r>
        <w:t xml:space="preserve">Infine per quanto riguarda il </w:t>
      </w:r>
      <w:r w:rsidR="0030242F">
        <w:t>COVID-19</w:t>
      </w:r>
      <w:r w:rsidR="00FD06EF">
        <w:t xml:space="preserve">, le ripercussioni negative </w:t>
      </w:r>
      <w:r w:rsidR="000D2FC8">
        <w:t xml:space="preserve">sul fatturato aziendale </w:t>
      </w:r>
      <w:r w:rsidR="00FD06EF">
        <w:t xml:space="preserve">sono state </w:t>
      </w:r>
      <w:r w:rsidR="000D2FC8">
        <w:t xml:space="preserve">rilevanti e </w:t>
      </w:r>
      <w:r w:rsidR="00FD06EF">
        <w:t>diffuse. Tra le problematiche principali evidenziate vi sono l’aumento dei costi e la difficoltà di reperire la manodopera necessaria</w:t>
      </w:r>
      <w:r w:rsidR="000D2FC8">
        <w:t xml:space="preserve"> durante la pandemia</w:t>
      </w:r>
      <w:r w:rsidR="00FD06EF">
        <w:t xml:space="preserve">. Tuttavia, è stato anche messo in evidenza come la pandemia sia stata anche una grande opportunità di cambiamento per il comparto agroalimentare lombardo. Oltre il 60% </w:t>
      </w:r>
      <w:r w:rsidR="009D018F">
        <w:t xml:space="preserve">delle aziende </w:t>
      </w:r>
      <w:r w:rsidR="00FD06EF">
        <w:t xml:space="preserve">beneficiarie </w:t>
      </w:r>
      <w:r w:rsidR="009D018F">
        <w:t xml:space="preserve">ha reagito alle conseguenze </w:t>
      </w:r>
      <w:r w:rsidR="000D2FC8">
        <w:t xml:space="preserve">della crisi </w:t>
      </w:r>
      <w:r w:rsidR="009D018F">
        <w:t xml:space="preserve">cambiando o diversificando i canali commerciali, mentre </w:t>
      </w:r>
      <w:r w:rsidR="00FD06EF">
        <w:t>quasi il 30%</w:t>
      </w:r>
      <w:r w:rsidR="009D018F">
        <w:t xml:space="preserve"> ha modificato le proprie dimensioni e/o l’ordinamento produttivo. </w:t>
      </w:r>
      <w:r w:rsidR="00FD06EF">
        <w:t>Ovviamente, n</w:t>
      </w:r>
      <w:r w:rsidR="009D018F">
        <w:t>ella commercializzazione</w:t>
      </w:r>
      <w:r w:rsidR="00FD06EF">
        <w:t>,</w:t>
      </w:r>
      <w:r w:rsidR="009D018F">
        <w:t xml:space="preserve"> i cambiamenti hanno riguardato </w:t>
      </w:r>
      <w:r w:rsidR="00FD06EF">
        <w:t>la</w:t>
      </w:r>
      <w:r w:rsidR="009D018F">
        <w:t xml:space="preserve"> vendita diretta con consegna a domicilio oppure on line, </w:t>
      </w:r>
      <w:r w:rsidR="00FD06EF">
        <w:t xml:space="preserve">oltre che </w:t>
      </w:r>
      <w:r w:rsidR="009D018F">
        <w:t xml:space="preserve">la creazione di relazioni commerciali </w:t>
      </w:r>
      <w:r w:rsidR="00FD06EF">
        <w:t xml:space="preserve">dirette </w:t>
      </w:r>
      <w:r w:rsidR="009D018F">
        <w:t>con la GDO e l’Horeca.</w:t>
      </w:r>
      <w:r w:rsidR="00F343FF">
        <w:t xml:space="preserve"> In definitiva per la maggioranza dei beneficiari, l</w:t>
      </w:r>
      <w:r w:rsidR="009D018F">
        <w:t>a pandemia non avrebbe inficiato l’efficacia dell’investimento</w:t>
      </w:r>
      <w:r w:rsidR="00F343FF">
        <w:t>. Anzi</w:t>
      </w:r>
      <w:r w:rsidR="000D2FC8">
        <w:t>,</w:t>
      </w:r>
      <w:r w:rsidR="00F343FF">
        <w:t xml:space="preserve"> il sostegno regionale avrebbe permesso</w:t>
      </w:r>
      <w:r w:rsidR="009D018F">
        <w:t xml:space="preserve"> loro di strutturarsi meglio, di introdurre innovazioni e migliorare la sicurezza e la produttività del lavoro</w:t>
      </w:r>
      <w:r w:rsidR="00F343FF">
        <w:t>. In altri termini</w:t>
      </w:r>
      <w:r w:rsidR="000D2FC8">
        <w:t>,</w:t>
      </w:r>
      <w:r w:rsidR="00F343FF">
        <w:t xml:space="preserve"> i </w:t>
      </w:r>
      <w:r w:rsidR="009D018F">
        <w:t xml:space="preserve">beneficiari </w:t>
      </w:r>
      <w:r w:rsidR="00F343FF">
        <w:t>si sentono meglio equipaggiati da un</w:t>
      </w:r>
      <w:r w:rsidR="009D018F">
        <w:t xml:space="preserve"> punto di vista strutturale e organizzativo</w:t>
      </w:r>
      <w:r w:rsidR="00F343FF">
        <w:t xml:space="preserve"> per affrontare le sfide future</w:t>
      </w:r>
      <w:r w:rsidR="009D018F">
        <w:t>.</w:t>
      </w:r>
    </w:p>
    <w:p w14:paraId="0B8D6B91" w14:textId="77777777" w:rsidR="003D1CC6" w:rsidRDefault="003D1CC6" w:rsidP="003D1CC6"/>
    <w:p w14:paraId="4B644A3B" w14:textId="77777777" w:rsidR="00F343FF" w:rsidRDefault="00464844" w:rsidP="003D1CC6">
      <w:r>
        <w:t>Come inizialmente rimarcato</w:t>
      </w:r>
      <w:r w:rsidR="000D2FC8">
        <w:t>,</w:t>
      </w:r>
      <w:r>
        <w:t xml:space="preserve"> anche il Fondo Sociale Europeo ha dato un apporto significativo alla promozione dell’imprenditorialità concentrandosi sullo sviluppo del capitale umano. In particolare, </w:t>
      </w:r>
      <w:r w:rsidR="000D2FC8">
        <w:t xml:space="preserve">nell’annualità corrente </w:t>
      </w:r>
      <w:r>
        <w:t xml:space="preserve">sono stati valutati gli interventi </w:t>
      </w:r>
      <w:r w:rsidR="000D2FC8">
        <w:t>“</w:t>
      </w:r>
      <w:r>
        <w:t>Dote Unica Lavoro (DUL)</w:t>
      </w:r>
      <w:r w:rsidR="000D2FC8">
        <w:t>” per l’autoimprenditorialità</w:t>
      </w:r>
      <w:r>
        <w:t xml:space="preserve"> e il bando per la “Selezione di percorsi di formazione/accompagnamento per l’avvio di imprese culturali e creative da insediare in spazi pubblici”.</w:t>
      </w:r>
    </w:p>
    <w:p w14:paraId="618087E2" w14:textId="77777777" w:rsidR="003D1CC6" w:rsidRDefault="003D1CC6" w:rsidP="003D1CC6"/>
    <w:p w14:paraId="1AE9C9C3" w14:textId="77777777" w:rsidR="00CE5AB6" w:rsidRDefault="00376ABA" w:rsidP="003D1CC6">
      <w:r>
        <w:t xml:space="preserve">Un mix di metodi è stato utilizzato in questo caso dal valutatore, che include analisi desk dei documenti, interviste ai referenti delle misure, survey dei beneficiari e focus group. La DUL per l’autoimprenditorialità si è rivolta soprattutto ai giovani disoccupati, nonostante ciò è stata capace di intercettare una platea </w:t>
      </w:r>
      <w:r w:rsidR="000A2946">
        <w:t xml:space="preserve">di partecipanti motivati dalla volontà di iniziare una propria attività imprenditoriale e non solo persone che non avevano, al momento, altre alternative. I risultati dell’intervento sono stati giudicati positivi, in considerazione del fatto che nel 91% dei casi il percorso è stato portato a termine e che gli obiettivi previsti nel business plan redatto inizialmente dai partecipanti sono stati raggiunti </w:t>
      </w:r>
      <w:r w:rsidR="00FD3137">
        <w:t xml:space="preserve">in un caso su due. </w:t>
      </w:r>
      <w:r w:rsidR="00DC2DB0">
        <w:t>Inoltre,</w:t>
      </w:r>
      <w:r w:rsidR="00FD3137">
        <w:t xml:space="preserve"> il 75% dei destinatari della misura risulta occupato dopo 2-3 anni dal termine del percorso. Da un punto di vista geografico, l’analisi condotta rivela come la provincia di Milano sia l’area più favorevole per l’avvio di queste attività. </w:t>
      </w:r>
    </w:p>
    <w:p w14:paraId="15EDFD75" w14:textId="77777777" w:rsidR="003D1CC6" w:rsidRDefault="003D1CC6" w:rsidP="003D1CC6"/>
    <w:p w14:paraId="66212D25" w14:textId="77777777" w:rsidR="00B05532" w:rsidRDefault="000628DD" w:rsidP="003D1CC6">
      <w:r>
        <w:t xml:space="preserve">I progetti finanziati dalla misura riguardante i percorsi di formazione/accompagnamento per l’avvio di imprese culturali e creative da insediare in spazi pubblici sono in corso e per questo motivo il valutatore sottolinea che non è ancora possibile trarre conclusioni robuste sull’efficacia. Ad ogni modo, l’analisi evidenzia che tra i destinatari vi sono prevalentemente giovani e donne mentre i primi risultati sono molto incoraggianti. </w:t>
      </w:r>
      <w:r w:rsidR="00E11534">
        <w:t>Per esempio, g</w:t>
      </w:r>
      <w:r>
        <w:t xml:space="preserve">li approfondimenti realizzati 2 progetti tra i 6 finanziati mostra come questi abbiano già condotto a 11 tra start-up e nuove idee di impresa. </w:t>
      </w:r>
    </w:p>
    <w:p w14:paraId="21CDD4C3" w14:textId="77777777" w:rsidR="003D1CC6" w:rsidRDefault="003D1CC6" w:rsidP="003D1CC6"/>
    <w:p w14:paraId="7067FB07" w14:textId="77777777" w:rsidR="00B05532" w:rsidRDefault="00B05532" w:rsidP="003D1CC6">
      <w:r>
        <w:t xml:space="preserve">Come nel caso delle iniziative rivolte alle imprese anche gli interventi del FSE rivolti agli individui hanno dovuto far i conti con le conseguenze della pandemia. </w:t>
      </w:r>
      <w:r w:rsidR="00BC3F60">
        <w:t>In questo caso i beneficiari si sono trovati di fronte al blocco della formazione in presenza e il ricorso a quella a distanza (FAD)</w:t>
      </w:r>
      <w:r w:rsidR="00DC2DB0">
        <w:t xml:space="preserve"> e all</w:t>
      </w:r>
      <w:r w:rsidR="00BC3F60">
        <w:t>’impossibilità di svolgere lo stage all’estero. A questi ostacoli oggettivi al normale svolgimento delle attività di formazione si sono ovviamente aggiunte l</w:t>
      </w:r>
      <w:r>
        <w:t xml:space="preserve">e </w:t>
      </w:r>
      <w:r w:rsidR="00BC3F60">
        <w:t>criticità legate all’</w:t>
      </w:r>
      <w:r>
        <w:t xml:space="preserve">incertezza </w:t>
      </w:r>
      <w:r w:rsidR="00BC3F60">
        <w:t xml:space="preserve">e al </w:t>
      </w:r>
      <w:r>
        <w:t>calo della domanda</w:t>
      </w:r>
      <w:r w:rsidR="00BC3F60">
        <w:t>, al</w:t>
      </w:r>
      <w:r w:rsidR="00D83F0B">
        <w:t xml:space="preserve">la chiusura delle attività culturali e, in generale, </w:t>
      </w:r>
      <w:r w:rsidR="00BC3F60">
        <w:t>una r</w:t>
      </w:r>
      <w:r>
        <w:t xml:space="preserve">iduzione del fatturato </w:t>
      </w:r>
      <w:r w:rsidR="00BC3F60">
        <w:t xml:space="preserve">per le attività imprenditoriali create, </w:t>
      </w:r>
      <w:r w:rsidR="00D83F0B">
        <w:t xml:space="preserve">con conseguente </w:t>
      </w:r>
      <w:r>
        <w:t>necessità di dilazionare i pagamenti di ritenute, tasse e contributi</w:t>
      </w:r>
      <w:r w:rsidR="00BC3F60">
        <w:t>.</w:t>
      </w:r>
      <w:r w:rsidR="003D1CC6">
        <w:t xml:space="preserve"> </w:t>
      </w:r>
      <w:r w:rsidR="00D83F0B">
        <w:t xml:space="preserve">Come per gli altri interventi precedentemente menzionati, </w:t>
      </w:r>
      <w:r>
        <w:t>l’analisi ha fatto emergere anche lati positivi e opportunità per i beneficiari</w:t>
      </w:r>
      <w:r w:rsidR="00DC2DB0">
        <w:t xml:space="preserve"> durante la crisi sanitaria</w:t>
      </w:r>
      <w:r>
        <w:t>, fra cui:</w:t>
      </w:r>
      <w:r w:rsidR="00D83F0B">
        <w:t xml:space="preserve"> l</w:t>
      </w:r>
      <w:r>
        <w:t>a facilità di accedere alla formazione, erogata in FAD</w:t>
      </w:r>
      <w:r w:rsidR="00D83F0B">
        <w:t xml:space="preserve">; </w:t>
      </w:r>
      <w:r>
        <w:t>l’attività di mentoring</w:t>
      </w:r>
      <w:r w:rsidR="00D83F0B">
        <w:t xml:space="preserve"> e il maggiore </w:t>
      </w:r>
      <w:r>
        <w:t>coinvolgimento dell’incubatore certificato, il cui ruolo potrebbe essere in futuro maggiormente valorizzato, e attivato già da una fase iniziale del percorso.</w:t>
      </w:r>
    </w:p>
    <w:p w14:paraId="6016329A" w14:textId="77777777" w:rsidR="00A11EC6" w:rsidRDefault="00A11EC6" w:rsidP="003D1CC6"/>
    <w:p w14:paraId="4EA02FE9" w14:textId="77777777" w:rsidR="00B05532" w:rsidRDefault="00D404EE" w:rsidP="000053B7">
      <w:pPr>
        <w:pStyle w:val="Titolo3"/>
      </w:pPr>
      <w:bookmarkStart w:id="139" w:name="_Toc91081420"/>
      <w:r w:rsidRPr="00BF2E9D">
        <w:t>Raccomandazioni  per il futuro che emergono dalle valutazioni</w:t>
      </w:r>
      <w:bookmarkEnd w:id="139"/>
      <w:r w:rsidRPr="00BF2E9D">
        <w:t xml:space="preserve"> </w:t>
      </w:r>
    </w:p>
    <w:p w14:paraId="725AE20C" w14:textId="77777777" w:rsidR="002C1914" w:rsidRPr="002C1914" w:rsidRDefault="002C1914" w:rsidP="00BC2A47"/>
    <w:p w14:paraId="239ECF7C" w14:textId="77777777" w:rsidR="00D83F0B" w:rsidRDefault="00D83F0B" w:rsidP="00D83F0B">
      <w:r w:rsidRPr="00371094">
        <w:t>Regione Lombardia</w:t>
      </w:r>
      <w:r>
        <w:t xml:space="preserve"> ha avviato numerosi bandi a sostegno delle imprese regionali</w:t>
      </w:r>
      <w:r w:rsidR="00D404EE">
        <w:t xml:space="preserve"> attraverso il FESR</w:t>
      </w:r>
      <w:r>
        <w:t xml:space="preserve">. La quasi totalità delle misure valutate all’interno del RAV ha generato, sulla base delle indagini realizzate, ricadute economiche positive sulle imprese beneficiarie, sostenendo e aumentando il fatturato, introducendo importanti innovazioni che hanno accelerato il processo verso una “smart </w:t>
      </w:r>
      <w:proofErr w:type="spellStart"/>
      <w:r>
        <w:t>factory</w:t>
      </w:r>
      <w:proofErr w:type="spellEnd"/>
      <w:r>
        <w:t>”, creando nuovi posti di lavoro e aumentando la competitività sia delle imprese esistenti che delle imprese in fase di avviamento.</w:t>
      </w:r>
    </w:p>
    <w:p w14:paraId="1E8A9BE5" w14:textId="77777777" w:rsidR="00D83F0B" w:rsidRDefault="00D83F0B" w:rsidP="00D83F0B"/>
    <w:p w14:paraId="468B5D7C" w14:textId="77777777" w:rsidR="00D83F0B" w:rsidRDefault="00D83F0B" w:rsidP="00D83F0B">
      <w:r>
        <w:t>Tuttavia, nonostante i risultati postivi, le misure adottate non sono esenti da elementi di debolezza. I beneficiari hanno infatti identificato particolari criticità a livello amministrativo gestionale e di tempistiche di risposta (sia a livello procedurale che nei pagamenti) che rendono molto onerosa, a loro giudizio, la presentazione delle domande e la gestione dei bandi per i beneficiari, specialmente per le piccole imprese. La Regione è a conoscenza di tali criticità ed ha provveduto a cercare di risolverne alcune in alcuni bandi, come per esempio il bando “Al via fast”, con riscontri positivi.</w:t>
      </w:r>
    </w:p>
    <w:p w14:paraId="6B8E27D9" w14:textId="77777777" w:rsidR="00D83F0B" w:rsidRDefault="00D83F0B" w:rsidP="00D83F0B"/>
    <w:p w14:paraId="479BACD0" w14:textId="77777777" w:rsidR="00D404EE" w:rsidRDefault="00D83F0B" w:rsidP="00D83F0B">
      <w:r>
        <w:t>Nel 2020, le restrizioni adottate per fronteggiare la pandemia da COVID-19 hanno avuto pesanti ripercussioni sull’ecosistema imprenditoriale lombardo, soprattutto per le realtà afferenti al settore turistico. Le misure volte al rilancio della competitività delle imprese così come quelle rivolte alla creazione di impresa si sono dimostrati utili strumenti per mitigare gli effetti negativi della pandemia. Tuttavia, a causa del forte shock economico e finanziario subito</w:t>
      </w:r>
      <w:r w:rsidR="00BC2A47">
        <w:t>,</w:t>
      </w:r>
      <w:r>
        <w:t xml:space="preserve"> saranno necessari ulteriori interventi a supporto della ripartenza volti ad agevolare l’accesso al credito, ridurre il costo della forza lavoro, ottimizzare processi produttivi e incentivare l’innovazione. </w:t>
      </w:r>
    </w:p>
    <w:p w14:paraId="3A418081" w14:textId="77777777" w:rsidR="00D83F0B" w:rsidRDefault="00D83F0B" w:rsidP="00D83F0B">
      <w:r>
        <w:t xml:space="preserve">In relazione ai risultati delle valutazioni delle misure bandite afferenti all’Asse III, si riportano le seguenti raccomandazioni </w:t>
      </w:r>
      <w:r w:rsidR="00D404EE">
        <w:t>per il futuro</w:t>
      </w:r>
      <w:r>
        <w:t>:</w:t>
      </w:r>
    </w:p>
    <w:p w14:paraId="7DEB9FA3" w14:textId="77777777" w:rsidR="00BC2A47" w:rsidRDefault="00BC2A47" w:rsidP="00BC2A47">
      <w:pPr>
        <w:pStyle w:val="Paragrafoelenco"/>
        <w:numPr>
          <w:ilvl w:val="0"/>
          <w:numId w:val="55"/>
        </w:numPr>
      </w:pPr>
      <w:r>
        <w:t xml:space="preserve">Semplificare, nei limiti del possibile, le richieste amministrative e le procedure burocratiche e di rendicontazione; </w:t>
      </w:r>
    </w:p>
    <w:p w14:paraId="53583B0E" w14:textId="77777777" w:rsidR="00D83F0B" w:rsidRDefault="00D83F0B" w:rsidP="00BF2E9D">
      <w:pPr>
        <w:pStyle w:val="Paragrafoelenco"/>
        <w:numPr>
          <w:ilvl w:val="0"/>
          <w:numId w:val="55"/>
        </w:numPr>
      </w:pPr>
      <w:r>
        <w:t>Fornire supporto alle piccole e micro imprese relativamente alla compilazione delle domande di finanziamento e riguardo tutti gli aspetti relativi alla gestione dei progetti (rendicontazione, gestione amministrativa etc.);</w:t>
      </w:r>
    </w:p>
    <w:p w14:paraId="7ADE7840" w14:textId="77777777" w:rsidR="00D83F0B" w:rsidRDefault="00D83F0B" w:rsidP="00BF2E9D">
      <w:pPr>
        <w:pStyle w:val="Paragrafoelenco"/>
        <w:numPr>
          <w:ilvl w:val="0"/>
          <w:numId w:val="55"/>
        </w:numPr>
      </w:pPr>
      <w:r>
        <w:t xml:space="preserve">Velocizzare le tempistiche di approvazione dei progetti e di rimborso; </w:t>
      </w:r>
    </w:p>
    <w:p w14:paraId="43B82C3B" w14:textId="77777777" w:rsidR="00D83F0B" w:rsidRDefault="00D83F0B" w:rsidP="00BF2E9D">
      <w:pPr>
        <w:pStyle w:val="Paragrafoelenco"/>
        <w:numPr>
          <w:ilvl w:val="0"/>
          <w:numId w:val="55"/>
        </w:numPr>
      </w:pPr>
      <w:r>
        <w:t>Rafforzare le strutture e il personale regionale a supporto della gestione dell’agevolazione della Linea controgaranzie;</w:t>
      </w:r>
    </w:p>
    <w:p w14:paraId="0B85AC61" w14:textId="77777777" w:rsidR="00D83F0B" w:rsidRDefault="00D83F0B" w:rsidP="00BF2E9D">
      <w:pPr>
        <w:pStyle w:val="Paragrafoelenco"/>
        <w:numPr>
          <w:ilvl w:val="0"/>
          <w:numId w:val="55"/>
        </w:numPr>
      </w:pPr>
      <w:r>
        <w:t>Rivedere i criteri di selezione relativi ad alcuni bandi, come ad esempio “Linea controgaranzie” e “</w:t>
      </w:r>
      <w:r w:rsidR="00BC2A47">
        <w:t>L</w:t>
      </w:r>
      <w:r>
        <w:t>inea internazionalizzazione”;</w:t>
      </w:r>
    </w:p>
    <w:p w14:paraId="2232A9A8" w14:textId="77777777" w:rsidR="00D83F0B" w:rsidRDefault="00D83F0B" w:rsidP="00BF2E9D">
      <w:pPr>
        <w:pStyle w:val="Paragrafoelenco"/>
        <w:numPr>
          <w:ilvl w:val="0"/>
          <w:numId w:val="55"/>
        </w:numPr>
      </w:pPr>
      <w:r>
        <w:t xml:space="preserve">Incrementare l’utilizzo di finanziamenti a fondo perduto, soprattutto per quanto riguarda interventi relativi alla ripartenza post </w:t>
      </w:r>
      <w:r w:rsidR="0030242F">
        <w:t>COVID-19</w:t>
      </w:r>
      <w:r>
        <w:t>;</w:t>
      </w:r>
    </w:p>
    <w:p w14:paraId="0CA35026" w14:textId="77777777" w:rsidR="00D83F0B" w:rsidRDefault="00D83F0B" w:rsidP="00BF2E9D">
      <w:pPr>
        <w:pStyle w:val="Paragrafoelenco"/>
        <w:numPr>
          <w:ilvl w:val="0"/>
          <w:numId w:val="55"/>
        </w:numPr>
      </w:pPr>
      <w:r>
        <w:t>Migliorare l’interoperabilità del sistema informativo utilizzato nella gestione del POR per lo scambio di informazioni con i beneficiari e renderne più semplice l’utilizzo da parte dei beneficiari.</w:t>
      </w:r>
    </w:p>
    <w:p w14:paraId="70468B88" w14:textId="77777777" w:rsidR="00D83F0B" w:rsidRDefault="00D83F0B" w:rsidP="00BC2A47"/>
    <w:p w14:paraId="5D63D66B" w14:textId="77777777" w:rsidR="00BF2E9D" w:rsidRDefault="00BF2E9D" w:rsidP="00BC2A47">
      <w:r>
        <w:t xml:space="preserve">Per quanto riguarda il </w:t>
      </w:r>
      <w:r w:rsidR="00A11EC6">
        <w:t>FEASR</w:t>
      </w:r>
      <w:r>
        <w:t>, i</w:t>
      </w:r>
      <w:r w:rsidR="00454C35">
        <w:t>n funzione di tutti gli elementi emersi e al fine di migliorare l’attuazione del Programma nelle prossime annualità e in vista della Programmazione 2023-2027</w:t>
      </w:r>
      <w:r>
        <w:t xml:space="preserve">, </w:t>
      </w:r>
      <w:r w:rsidR="00BC2A47">
        <w:t>le raccomandazioni sono di:</w:t>
      </w:r>
    </w:p>
    <w:p w14:paraId="5A25A401" w14:textId="77777777" w:rsidR="00454C35" w:rsidRDefault="00454C35" w:rsidP="00BF2E9D">
      <w:pPr>
        <w:pStyle w:val="Paragrafoelenco"/>
        <w:numPr>
          <w:ilvl w:val="0"/>
          <w:numId w:val="54"/>
        </w:numPr>
      </w:pPr>
      <w:r>
        <w:t>continuare ad incentivare l’insediamento dei giovani agricoltori premiando, attraverso specifici criteri di selezione, la loro partecipazione a percorsi formativi ad hoc (TO 1.1.01) che consentano di soddisfare i fabbisogni formativi su tematiche rilevanti (competitività, agroambiente, digitalizzazione, ecc.)</w:t>
      </w:r>
      <w:r w:rsidR="00BC2A47">
        <w:t>,</w:t>
      </w:r>
      <w:r>
        <w:t xml:space="preserve"> migliorando la professionalità </w:t>
      </w:r>
      <w:r w:rsidR="00BC2A47">
        <w:t xml:space="preserve">dei beneficiari </w:t>
      </w:r>
      <w:r>
        <w:t>e l’efficacia degli interventi realizzati rispetto ai diversi obiettivi della PAC.</w:t>
      </w:r>
    </w:p>
    <w:p w14:paraId="7111B219" w14:textId="77777777" w:rsidR="00454C35" w:rsidRDefault="00BC2A47" w:rsidP="00BF2E9D">
      <w:pPr>
        <w:pStyle w:val="Paragrafoelenco"/>
        <w:numPr>
          <w:ilvl w:val="0"/>
          <w:numId w:val="54"/>
        </w:numPr>
      </w:pPr>
      <w:r>
        <w:t>Prevedere, i</w:t>
      </w:r>
      <w:r w:rsidR="00454C35">
        <w:t>n considerazione dell’elevata propensione agli investimenti e della buona diffusione tra gli imprenditori di motivazioni prettamente ambientali, azioni di comunicazione volte a diffondere i risultati socio-economici e ambientali raggiunti dalle aziende beneficiarie del Programma al fine di pubblicizzare le ricadute positive degli investimenti con finalità ambiental</w:t>
      </w:r>
      <w:r>
        <w:t>i</w:t>
      </w:r>
      <w:r w:rsidR="00454C35">
        <w:t xml:space="preserve"> ottenute attraverso gli interventi di ammodernamento e ristrutturazione delle aziende agricole.</w:t>
      </w:r>
    </w:p>
    <w:p w14:paraId="4EEA4CF6" w14:textId="77777777" w:rsidR="00D62129" w:rsidRDefault="00BC2A47" w:rsidP="00BF2E9D">
      <w:pPr>
        <w:pStyle w:val="Paragrafoelenco"/>
        <w:numPr>
          <w:ilvl w:val="0"/>
          <w:numId w:val="54"/>
        </w:numPr>
      </w:pPr>
      <w:r>
        <w:t>R</w:t>
      </w:r>
      <w:r w:rsidR="00454C35">
        <w:t>afforzare la comunicazione e le azioni di supporto ai potenziali beneficiari al fine di rispondere all’esigenza, manifestata nel corso delle interviste, di semplificare le fasi di presentazione delle domande di aiuto e di pagamento e la documentazione tecnica da allegare alla domanda</w:t>
      </w:r>
      <w:r>
        <w:t>.</w:t>
      </w:r>
      <w:r w:rsidR="00454C35">
        <w:t xml:space="preserve"> </w:t>
      </w:r>
    </w:p>
    <w:p w14:paraId="0D975828" w14:textId="77777777" w:rsidR="00454C35" w:rsidRDefault="00BC2A47" w:rsidP="00BF2E9D">
      <w:pPr>
        <w:pStyle w:val="Paragrafoelenco"/>
        <w:numPr>
          <w:ilvl w:val="0"/>
          <w:numId w:val="54"/>
        </w:numPr>
      </w:pPr>
      <w:r>
        <w:t>M</w:t>
      </w:r>
      <w:r w:rsidR="00454C35">
        <w:t>onitorare nei prossimi anni gli effetti del COVID-19 sul sistema agroalimentare regionale al fine di programmare interventi in funzione delle reali esigenze delle aziende agricole lombarde</w:t>
      </w:r>
      <w:r>
        <w:t>,</w:t>
      </w:r>
      <w:r w:rsidR="00454C35">
        <w:t xml:space="preserve"> anche in termini di sostenibilità economica degli investimenti in corso di realizzazione.</w:t>
      </w:r>
    </w:p>
    <w:p w14:paraId="021DA165" w14:textId="77777777" w:rsidR="00454C35" w:rsidRDefault="00454C35" w:rsidP="00D83F0B"/>
    <w:p w14:paraId="45C54F45" w14:textId="77777777" w:rsidR="00D83F0B" w:rsidRDefault="00D62129" w:rsidP="00B01BF0">
      <w:r>
        <w:t xml:space="preserve">Per quanto concerne gli strumenti </w:t>
      </w:r>
      <w:r w:rsidR="00A11EC6">
        <w:t>FSE</w:t>
      </w:r>
      <w:r>
        <w:t>, s</w:t>
      </w:r>
      <w:r w:rsidR="00D83F0B">
        <w:t>ia la DUL Autoimprenditorialità che il Bando per le Imprese culturali e creative portano con sé delle potenzialità, in termini di integrazione con le altre misure regionali</w:t>
      </w:r>
      <w:r>
        <w:t xml:space="preserve"> e</w:t>
      </w:r>
      <w:r w:rsidR="00D83F0B">
        <w:t xml:space="preserve"> di perfezionamento dei servizi/misure offerti alla platea di destinatari in cerca di occupazione. Come già ribadito in pre</w:t>
      </w:r>
      <w:r>
        <w:t>cedenza,</w:t>
      </w:r>
      <w:r w:rsidR="00D83F0B">
        <w:t xml:space="preserve"> il ruolo del FESR nella promozione dell’imprenditorialità è di primo piano, ma le altre politiche finanziate dal</w:t>
      </w:r>
      <w:r>
        <w:t xml:space="preserve"> </w:t>
      </w:r>
      <w:r w:rsidR="00D83F0B">
        <w:t>FSE possono a loro volta fornire un contributo importante.</w:t>
      </w:r>
      <w:r>
        <w:t xml:space="preserve"> </w:t>
      </w:r>
      <w:r w:rsidR="00D83F0B">
        <w:t xml:space="preserve">Già da diversi anni, infatti, la stessa Commissione europea insiste sulla diffusione di una “educazione all’imprenditorialità”, tramite il Programma Erasmus+, che inizi sin dalle scuole elementari, come percorso atto a sviluppare delle competenze trasversali applicabili in tutti gli ambiti della vita, non solo in quello occupazionale. In questo contesto, dunque, il ruolo del Fondo Sociale Europeo nella promozione di percorsi volti alla formazione e all’inserimento lavorativo vero e proprio, nell’ambito sia della imprenditorialità che del </w:t>
      </w:r>
      <w:r w:rsidR="00D83F0B" w:rsidRPr="00CA078D">
        <w:rPr>
          <w:i/>
        </w:rPr>
        <w:t>self-</w:t>
      </w:r>
      <w:proofErr w:type="spellStart"/>
      <w:r w:rsidR="00D83F0B" w:rsidRPr="00CA078D">
        <w:rPr>
          <w:i/>
        </w:rPr>
        <w:t>employment</w:t>
      </w:r>
      <w:proofErr w:type="spellEnd"/>
      <w:r w:rsidR="00D83F0B">
        <w:t>, è molto rilevante anche nell’ottica della nuova programmazione 2021-2027.</w:t>
      </w:r>
    </w:p>
    <w:p w14:paraId="3D7EF105" w14:textId="77777777" w:rsidR="00B01BF0" w:rsidRDefault="00B01BF0" w:rsidP="00D83F0B"/>
    <w:p w14:paraId="49F12D53" w14:textId="77777777" w:rsidR="00D83F0B" w:rsidRDefault="00D83F0B" w:rsidP="00B01BF0">
      <w:r>
        <w:t xml:space="preserve">Se da un lato, infatti, è fondamentale contribuire a un sistema che integri le competenze acquisite nel settore dell’istruzione/formazione con le necessità del mercato del lavoro, dall’altro è sempre più importante progettare percorsi di inserimento lavorativo che siano alternativi alle misure più </w:t>
      </w:r>
      <w:r>
        <w:rPr>
          <w:i/>
        </w:rPr>
        <w:t>mainstream</w:t>
      </w:r>
      <w:r>
        <w:t xml:space="preserve"> quali, ad esempio, il tirocinio. I percorsi per l’autoimprenditorialità e l’auto-impiego, quindi, hanno assunto – e plausibilmente assumeranno in futuro – un ruolo sempre più importante per l’occupazione, e potranno essere rilevanti anche nell’ottica della nuova programmazione, in cui l’attenzione sarà maggiormente posta, fra le varie, sulle donne, sui giovani, e anche sulla transizione verso un’Europa più </w:t>
      </w:r>
      <w:r w:rsidRPr="00DE5549">
        <w:rPr>
          <w:i/>
        </w:rPr>
        <w:t>smart</w:t>
      </w:r>
      <w:r>
        <w:t xml:space="preserve"> e più verde. </w:t>
      </w:r>
    </w:p>
    <w:p w14:paraId="4464A131" w14:textId="77777777" w:rsidR="00B01BF0" w:rsidRDefault="00B01BF0" w:rsidP="00B01BF0"/>
    <w:p w14:paraId="6388BF0C" w14:textId="77777777" w:rsidR="00D83F0B" w:rsidRDefault="00D83F0B" w:rsidP="00B01BF0">
      <w:r>
        <w:t xml:space="preserve">Già nello scorso Rapporto di valutazione unitaria 2020 era emerso come la Regione avesse finanziato, tramite </w:t>
      </w:r>
      <w:r w:rsidR="00D62129">
        <w:t xml:space="preserve">il </w:t>
      </w:r>
      <w:r>
        <w:t xml:space="preserve">FSE, percorsi di formazione legati al concetto di sostenibilità ambientale e </w:t>
      </w:r>
      <w:r w:rsidRPr="00FD211C">
        <w:rPr>
          <w:i/>
        </w:rPr>
        <w:t>green economy</w:t>
      </w:r>
      <w:r>
        <w:rPr>
          <w:rStyle w:val="Rimandonotaapidipagina"/>
          <w:i/>
        </w:rPr>
        <w:footnoteReference w:id="36"/>
      </w:r>
      <w:r>
        <w:rPr>
          <w:i/>
        </w:rPr>
        <w:t xml:space="preserve">. </w:t>
      </w:r>
      <w:r>
        <w:t>Questo investimento in formazione, quindi, può riflettersi positivamente nelle opportunità occupazionali offerte nell’ambito della DUL Autoimprenditorialità, che, come emerso dalle evidenze sopraccitate, ha dato esiti positivi, seppure su una platea molto ristretta, se paragonata a quella della DUL per l’inserimento lavorativo.</w:t>
      </w:r>
    </w:p>
    <w:p w14:paraId="10161EEE" w14:textId="77777777" w:rsidR="00D83F0B" w:rsidRPr="00537CA4" w:rsidRDefault="00D83F0B" w:rsidP="00D83F0B">
      <w:r>
        <w:t>Anche il supporto alle imprese  nel settore culturale ha dimostrato di poter essere un importante volano per l’innovazione del territorio, soprattutto nell’area del capoluogo di regione, che si è confermato un crocevia importante per l’attività economica e la creazione di reti. Proprio in virtù di ciò, e anche in base a quanto espresso dai destinatari dei progetti finanziati, questa azione sperimentale può rappresentare un altro strumento di fondamentale importanza nella promozione dell’occupazione del territorio, se saprà correggere alcune rigidità nella struttura del percorso di accompagnamento previsto.</w:t>
      </w:r>
    </w:p>
    <w:p w14:paraId="3BAD55B2" w14:textId="77777777" w:rsidR="00D83F0B" w:rsidRDefault="00D83F0B" w:rsidP="00D83F0B">
      <w:pPr>
        <w:rPr>
          <w:highlight w:val="yellow"/>
        </w:rPr>
      </w:pPr>
    </w:p>
    <w:p w14:paraId="03BD6137" w14:textId="77777777" w:rsidR="00D75492" w:rsidRDefault="00D75492" w:rsidP="00D75492">
      <w:pPr>
        <w:spacing w:after="120"/>
      </w:pPr>
      <w:r>
        <w:t>Per quanto concerne, nello specifico, gli interventi oggetto di approfondimento, attingendo dalle analisi valutative si possono trarre alcune raccomandazioni</w:t>
      </w:r>
      <w:r w:rsidRPr="00D75492">
        <w:t xml:space="preserve"> </w:t>
      </w:r>
      <w:r>
        <w:t>in relazione alla prossima programmazione 2021-2027:</w:t>
      </w:r>
    </w:p>
    <w:p w14:paraId="13471C67" w14:textId="77777777" w:rsidR="00D75492" w:rsidRDefault="00D75492" w:rsidP="00B23F12">
      <w:pPr>
        <w:pStyle w:val="Paragrafoelenco"/>
        <w:numPr>
          <w:ilvl w:val="0"/>
          <w:numId w:val="58"/>
        </w:numPr>
      </w:pPr>
      <w:r>
        <w:t>Monitorare gli effetti della crisi pandemica sul mercato del lavoro e sull’andamento delle imprese regionali.</w:t>
      </w:r>
    </w:p>
    <w:p w14:paraId="2A194F58" w14:textId="77777777" w:rsidR="00D75492" w:rsidRDefault="00D75492" w:rsidP="00B23F12">
      <w:pPr>
        <w:pStyle w:val="Paragrafoelenco"/>
        <w:numPr>
          <w:ilvl w:val="0"/>
          <w:numId w:val="58"/>
        </w:numPr>
      </w:pPr>
      <w:r>
        <w:t>Rafforzare la partecipazione alla DUL Autoimprenditorialità tramite l’avvio di una campagna di comunicazione più ampia, anche in collaborazione con le associazioni datoriali e le camere di commercio.</w:t>
      </w:r>
    </w:p>
    <w:p w14:paraId="2805B817" w14:textId="77777777" w:rsidR="00D75492" w:rsidRDefault="00D75492" w:rsidP="00B23F12">
      <w:pPr>
        <w:pStyle w:val="Paragrafoelenco"/>
        <w:numPr>
          <w:ilvl w:val="0"/>
          <w:numId w:val="58"/>
        </w:numPr>
      </w:pPr>
      <w:r>
        <w:t>Pianificare dei percorsi ad hoc all’interno della DUL che indirizzino soprattutto coloro che sono realmente motivati alla creazione di impresa verso percorsi di autoimprenditorialità.</w:t>
      </w:r>
    </w:p>
    <w:p w14:paraId="7E740B04" w14:textId="77777777" w:rsidR="00D75492" w:rsidRDefault="00D75492" w:rsidP="00B23F12">
      <w:pPr>
        <w:pStyle w:val="Paragrafoelenco"/>
        <w:numPr>
          <w:ilvl w:val="0"/>
          <w:numId w:val="58"/>
        </w:numPr>
      </w:pPr>
      <w:r>
        <w:t>Puntare sulla formazione degli operatori coinvolti nella DUL Autoimprenditorialità, così da intercettare tempestivamente i bisogni emergenti del mercato del lavoro.</w:t>
      </w:r>
    </w:p>
    <w:p w14:paraId="44D78F4A" w14:textId="77777777" w:rsidR="00D75492" w:rsidRDefault="00D75492" w:rsidP="00B23F12">
      <w:pPr>
        <w:pStyle w:val="Paragrafoelenco"/>
        <w:numPr>
          <w:ilvl w:val="0"/>
          <w:numId w:val="58"/>
        </w:numPr>
      </w:pPr>
      <w:r>
        <w:t>Pensare alla costruzione di un percorso di progressivo accompagnamento all’avvio di impresa, integrando i servizi offerti dal FSE con il sostegno alle start up offerto dal FESR, e favorire il coinvolgimento nella DUL Autoimprenditorialità di incubatori certificati.</w:t>
      </w:r>
    </w:p>
    <w:p w14:paraId="1CA0E705" w14:textId="77777777" w:rsidR="00D83F0B" w:rsidRDefault="00D75492" w:rsidP="00025C8B">
      <w:pPr>
        <w:pStyle w:val="Paragrafoelenco"/>
        <w:numPr>
          <w:ilvl w:val="0"/>
          <w:numId w:val="58"/>
        </w:numPr>
      </w:pPr>
      <w:r>
        <w:t>Monitorare gli effetti dell’azione di natura sperimentale per la creazione di imprese culturali e valutarne l’efficacia in un’ottica di futura riprogrammazione dell’intervento, puntando su maggiore flessibilità, maggiore continuità nel sostegno ai partecipanti, e maggiore integrazione con le altre politiche regionali, sia di sostegno alle imprese, sia di rigenerazione urbana, anche dato il rilievo riconosciuto alla Strategia di Sviluppo Urbano nel prossimo ciclo di programmazione.</w:t>
      </w:r>
    </w:p>
    <w:p w14:paraId="63CB7C30" w14:textId="77777777" w:rsidR="00B05532" w:rsidRDefault="00B05532" w:rsidP="00B05532">
      <w:pPr>
        <w:spacing w:after="120"/>
      </w:pPr>
    </w:p>
    <w:p w14:paraId="10682152" w14:textId="77777777" w:rsidR="00B05532" w:rsidRDefault="00B05532" w:rsidP="00B05532">
      <w:pPr>
        <w:spacing w:after="120"/>
      </w:pPr>
    </w:p>
    <w:p w14:paraId="05D2FF24" w14:textId="77777777" w:rsidR="00454C35" w:rsidRDefault="00454C35">
      <w:pPr>
        <w:spacing w:after="320" w:line="300" w:lineRule="auto"/>
        <w:jc w:val="left"/>
        <w:rPr>
          <w:rFonts w:eastAsiaTheme="majorEastAsia" w:cstheme="majorBidi"/>
          <w:color w:val="DF1010" w:themeColor="accent1" w:themeShade="BF"/>
          <w:sz w:val="40"/>
          <w:szCs w:val="36"/>
        </w:rPr>
      </w:pPr>
      <w:r>
        <w:br w:type="page"/>
      </w:r>
    </w:p>
    <w:p w14:paraId="0A92ABF9" w14:textId="77777777" w:rsidR="00A72560" w:rsidRDefault="00A72560" w:rsidP="00C016CC">
      <w:pPr>
        <w:pStyle w:val="Titolo1"/>
      </w:pPr>
      <w:bookmarkStart w:id="140" w:name="_Toc91081421"/>
      <w:r>
        <w:t>Allegat</w:t>
      </w:r>
      <w:r w:rsidR="00676294">
        <w:t>i</w:t>
      </w:r>
      <w:bookmarkEnd w:id="140"/>
    </w:p>
    <w:p w14:paraId="37DC2329" w14:textId="77777777" w:rsidR="00676294" w:rsidRDefault="00676294" w:rsidP="00676294">
      <w:pPr>
        <w:pStyle w:val="Titolo2"/>
      </w:pPr>
      <w:bookmarkStart w:id="141" w:name="_Toc91081422"/>
      <w:r>
        <w:t>Allegato A</w:t>
      </w:r>
      <w:r w:rsidR="000053B7">
        <w:t>: raggruppamento bandi utilizzato nell’analisi proposta nel capitolo 2</w:t>
      </w:r>
      <w:bookmarkEnd w:id="141"/>
    </w:p>
    <w:p w14:paraId="133D9C1C" w14:textId="77777777" w:rsidR="00E20AC0" w:rsidRPr="00E20AC0" w:rsidRDefault="00E20AC0" w:rsidP="00E20AC0"/>
    <w:p w14:paraId="3D9AAB33" w14:textId="77777777" w:rsidR="00A6156E" w:rsidRDefault="000053B7" w:rsidP="000053B7">
      <w:pPr>
        <w:pStyle w:val="Didascalia"/>
      </w:pPr>
      <w:bookmarkStart w:id="142" w:name="_Toc91081467"/>
      <w:r>
        <w:t xml:space="preserve">Tabella </w:t>
      </w:r>
      <w:r w:rsidR="004E6566">
        <w:fldChar w:fldCharType="begin"/>
      </w:r>
      <w:r>
        <w:instrText xml:space="preserve"> SEQ Tabella \* ARABIC </w:instrText>
      </w:r>
      <w:r w:rsidR="004E6566">
        <w:fldChar w:fldCharType="separate"/>
      </w:r>
      <w:r w:rsidR="00E53D6C">
        <w:rPr>
          <w:noProof/>
        </w:rPr>
        <w:t>41</w:t>
      </w:r>
      <w:r w:rsidR="004E6566">
        <w:fldChar w:fldCharType="end"/>
      </w:r>
      <w:r>
        <w:t xml:space="preserve">. </w:t>
      </w:r>
      <w:r w:rsidRPr="000078D9">
        <w:t>Raggruppamento bandi FESR alla base dell’analisi proposta nel</w:t>
      </w:r>
      <w:r>
        <w:t xml:space="preserve"> </w:t>
      </w:r>
      <w:r w:rsidR="00E20AC0">
        <w:t>C</w:t>
      </w:r>
      <w:r>
        <w:t xml:space="preserve">apitolo </w:t>
      </w:r>
      <w:r w:rsidRPr="000078D9">
        <w:t>2</w:t>
      </w:r>
      <w:bookmarkEnd w:id="1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2"/>
        <w:gridCol w:w="5796"/>
      </w:tblGrid>
      <w:tr w:rsidR="00BA6B39" w:rsidRPr="00E20AC0" w14:paraId="04749924" w14:textId="77777777" w:rsidTr="00F06E3B">
        <w:trPr>
          <w:trHeight w:val="300"/>
        </w:trPr>
        <w:tc>
          <w:tcPr>
            <w:tcW w:w="1990" w:type="pct"/>
            <w:shd w:val="clear" w:color="auto" w:fill="669748" w:themeFill="accent2" w:themeFillShade="BF"/>
            <w:vAlign w:val="bottom"/>
          </w:tcPr>
          <w:p w14:paraId="71A692E0" w14:textId="77777777" w:rsidR="00DF7377" w:rsidRPr="00E20AC0" w:rsidRDefault="00BA6B39" w:rsidP="0064605D">
            <w:pPr>
              <w:spacing w:line="0" w:lineRule="atLeast"/>
              <w:ind w:right="24"/>
              <w:jc w:val="left"/>
              <w:rPr>
                <w:rFonts w:eastAsia="Times New Roman" w:cs="Calibri"/>
                <w:b/>
                <w:bCs/>
                <w:color w:val="FFFFFF" w:themeColor="background1"/>
                <w:sz w:val="20"/>
                <w:lang w:eastAsia="en-US"/>
              </w:rPr>
            </w:pPr>
            <w:r w:rsidRPr="00E20AC0">
              <w:rPr>
                <w:rFonts w:eastAsia="Times New Roman" w:cs="Calibri"/>
                <w:b/>
                <w:bCs/>
                <w:color w:val="FFFFFF"/>
                <w:sz w:val="20"/>
                <w:lang w:eastAsia="en-US"/>
              </w:rPr>
              <w:t>Intervent</w:t>
            </w:r>
            <w:r w:rsidR="00CE6A10" w:rsidRPr="00E20AC0">
              <w:rPr>
                <w:rFonts w:eastAsia="Times New Roman" w:cs="Calibri"/>
                <w:b/>
                <w:bCs/>
                <w:color w:val="FFFFFF"/>
                <w:sz w:val="20"/>
                <w:lang w:eastAsia="en-US"/>
              </w:rPr>
              <w:t>o</w:t>
            </w:r>
          </w:p>
        </w:tc>
        <w:tc>
          <w:tcPr>
            <w:tcW w:w="3010" w:type="pct"/>
            <w:shd w:val="clear" w:color="auto" w:fill="669748" w:themeFill="accent2" w:themeFillShade="BF"/>
            <w:noWrap/>
            <w:vAlign w:val="center"/>
          </w:tcPr>
          <w:p w14:paraId="1E5D82EE" w14:textId="77777777" w:rsidR="00DF7377" w:rsidRPr="00E20AC0" w:rsidRDefault="00CE6A10" w:rsidP="00BA6B39">
            <w:pPr>
              <w:jc w:val="left"/>
              <w:rPr>
                <w:rFonts w:eastAsia="Times New Roman" w:cs="Calibri"/>
                <w:b/>
                <w:bCs/>
                <w:color w:val="FFFFFF" w:themeColor="background1"/>
                <w:sz w:val="20"/>
                <w:lang w:eastAsia="en-US"/>
              </w:rPr>
            </w:pPr>
            <w:r w:rsidRPr="00E20AC0">
              <w:rPr>
                <w:rFonts w:eastAsia="Times New Roman" w:cs="Calibri"/>
                <w:b/>
                <w:bCs/>
                <w:color w:val="FFFFFF" w:themeColor="background1"/>
                <w:sz w:val="20"/>
                <w:lang w:eastAsia="en-US"/>
              </w:rPr>
              <w:t>Raggruppamento</w:t>
            </w:r>
          </w:p>
        </w:tc>
      </w:tr>
      <w:tr w:rsidR="00BA6B39" w:rsidRPr="00E20AC0" w14:paraId="32BCB688" w14:textId="77777777" w:rsidTr="00F06E3B">
        <w:trPr>
          <w:trHeight w:val="300"/>
        </w:trPr>
        <w:tc>
          <w:tcPr>
            <w:tcW w:w="1990" w:type="pct"/>
            <w:shd w:val="clear" w:color="auto" w:fill="E4E3E2" w:themeFill="background2"/>
            <w:vAlign w:val="bottom"/>
          </w:tcPr>
          <w:p w14:paraId="0823A1CB" w14:textId="77777777" w:rsidR="00BA6B39" w:rsidRPr="00E20AC0" w:rsidRDefault="00BA6B39" w:rsidP="0064605D">
            <w:pPr>
              <w:jc w:val="left"/>
              <w:rPr>
                <w:rFonts w:eastAsia="Times New Roman" w:cs="Calibri"/>
                <w:b/>
                <w:bCs/>
                <w:color w:val="000000"/>
                <w:sz w:val="20"/>
                <w:lang w:eastAsia="en-US"/>
              </w:rPr>
            </w:pPr>
            <w:r w:rsidRPr="00E20AC0">
              <w:rPr>
                <w:rFonts w:eastAsia="Times New Roman" w:cs="Calibri"/>
                <w:b/>
                <w:bCs/>
                <w:color w:val="000000"/>
                <w:sz w:val="20"/>
                <w:lang w:eastAsia="en-US"/>
              </w:rPr>
              <w:t>AREA ECONOMICA</w:t>
            </w:r>
          </w:p>
        </w:tc>
        <w:tc>
          <w:tcPr>
            <w:tcW w:w="3010" w:type="pct"/>
            <w:shd w:val="clear" w:color="auto" w:fill="E4E3E2" w:themeFill="background2"/>
            <w:noWrap/>
            <w:vAlign w:val="center"/>
          </w:tcPr>
          <w:p w14:paraId="5A02A690" w14:textId="77777777" w:rsidR="00BA6B39" w:rsidRPr="00E20AC0" w:rsidRDefault="00BA6B39" w:rsidP="00BA6B39">
            <w:pPr>
              <w:pStyle w:val="Paragrafoelenco"/>
              <w:jc w:val="left"/>
              <w:rPr>
                <w:rFonts w:eastAsia="Times New Roman" w:cs="Calibri"/>
                <w:color w:val="000000"/>
                <w:sz w:val="20"/>
                <w:lang w:eastAsia="en-US"/>
              </w:rPr>
            </w:pPr>
          </w:p>
        </w:tc>
      </w:tr>
      <w:tr w:rsidR="00DF7377" w:rsidRPr="00E20AC0" w14:paraId="4B5E82DD" w14:textId="77777777" w:rsidTr="00F06E3B">
        <w:trPr>
          <w:trHeight w:val="300"/>
        </w:trPr>
        <w:tc>
          <w:tcPr>
            <w:tcW w:w="1990" w:type="pct"/>
            <w:vAlign w:val="center"/>
          </w:tcPr>
          <w:p w14:paraId="0CB35F8B" w14:textId="77777777" w:rsidR="00DF7377" w:rsidRPr="00E20AC0" w:rsidRDefault="00D00675" w:rsidP="00BA6B39">
            <w:pPr>
              <w:jc w:val="left"/>
              <w:rPr>
                <w:rFonts w:eastAsia="Times New Roman" w:cs="Calibri"/>
                <w:b/>
                <w:bCs/>
                <w:color w:val="000000"/>
                <w:sz w:val="20"/>
                <w:lang w:eastAsia="en-US"/>
              </w:rPr>
            </w:pPr>
            <w:r w:rsidRPr="00E20AC0">
              <w:rPr>
                <w:rFonts w:eastAsia="Times New Roman" w:cs="Calibri"/>
                <w:b/>
                <w:bCs/>
                <w:color w:val="000000"/>
                <w:sz w:val="20"/>
                <w:lang w:eastAsia="en-US"/>
              </w:rPr>
              <w:t>FRIM FESR 2020</w:t>
            </w:r>
          </w:p>
        </w:tc>
        <w:tc>
          <w:tcPr>
            <w:tcW w:w="3010" w:type="pct"/>
            <w:shd w:val="clear" w:color="auto" w:fill="auto"/>
            <w:noWrap/>
            <w:vAlign w:val="center"/>
            <w:hideMark/>
          </w:tcPr>
          <w:p w14:paraId="58650CB2" w14:textId="77777777" w:rsidR="00D472C4" w:rsidRPr="00E20AC0" w:rsidRDefault="00DF7377" w:rsidP="0038676D">
            <w:pPr>
              <w:pStyle w:val="Paragrafoelenco"/>
              <w:numPr>
                <w:ilvl w:val="0"/>
                <w:numId w:val="10"/>
              </w:numPr>
              <w:jc w:val="left"/>
              <w:rPr>
                <w:rFonts w:eastAsia="Times New Roman" w:cs="Calibri"/>
                <w:color w:val="000000"/>
                <w:sz w:val="20"/>
                <w:lang w:eastAsia="en-US"/>
              </w:rPr>
            </w:pPr>
            <w:r w:rsidRPr="00E20AC0">
              <w:rPr>
                <w:rFonts w:eastAsia="Times New Roman" w:cs="Calibri"/>
                <w:color w:val="000000"/>
                <w:sz w:val="20"/>
                <w:lang w:eastAsia="en-US"/>
              </w:rPr>
              <w:t>FRIM FESR 2020</w:t>
            </w:r>
          </w:p>
          <w:p w14:paraId="37A4E128" w14:textId="77777777" w:rsidR="00DF7377" w:rsidRPr="00E20AC0" w:rsidRDefault="00DF7377" w:rsidP="0038676D">
            <w:pPr>
              <w:pStyle w:val="Paragrafoelenco"/>
              <w:numPr>
                <w:ilvl w:val="0"/>
                <w:numId w:val="10"/>
              </w:numPr>
              <w:jc w:val="left"/>
              <w:rPr>
                <w:rFonts w:eastAsia="Times New Roman" w:cs="Calibri"/>
                <w:color w:val="000000"/>
                <w:sz w:val="20"/>
                <w:lang w:eastAsia="en-US"/>
              </w:rPr>
            </w:pPr>
            <w:r w:rsidRPr="00E20AC0">
              <w:rPr>
                <w:rFonts w:eastAsia="Times New Roman" w:cs="Calibri"/>
                <w:color w:val="000000"/>
                <w:sz w:val="20"/>
                <w:lang w:eastAsia="en-US"/>
              </w:rPr>
              <w:t>FRIM FESR II</w:t>
            </w:r>
          </w:p>
        </w:tc>
      </w:tr>
      <w:tr w:rsidR="00DF7377" w:rsidRPr="00E20AC0" w14:paraId="0FF4252F" w14:textId="77777777" w:rsidTr="00F06E3B">
        <w:trPr>
          <w:trHeight w:val="1020"/>
        </w:trPr>
        <w:tc>
          <w:tcPr>
            <w:tcW w:w="1990" w:type="pct"/>
            <w:vAlign w:val="center"/>
          </w:tcPr>
          <w:p w14:paraId="03CF2F22" w14:textId="77777777" w:rsidR="00DF7377" w:rsidRPr="00E20AC0" w:rsidRDefault="00D00675" w:rsidP="00BA6B39">
            <w:pPr>
              <w:jc w:val="left"/>
              <w:rPr>
                <w:rFonts w:eastAsia="Times New Roman" w:cs="Calibri"/>
                <w:b/>
                <w:bCs/>
                <w:color w:val="000000"/>
                <w:sz w:val="20"/>
                <w:lang w:eastAsia="en-US"/>
              </w:rPr>
            </w:pPr>
            <w:r w:rsidRPr="00E20AC0">
              <w:rPr>
                <w:rFonts w:eastAsia="Times New Roman" w:cs="Calibri"/>
                <w:b/>
                <w:bCs/>
                <w:color w:val="000000"/>
                <w:sz w:val="20"/>
                <w:lang w:eastAsia="en-US"/>
              </w:rPr>
              <w:t>INNODRIVER</w:t>
            </w:r>
          </w:p>
        </w:tc>
        <w:tc>
          <w:tcPr>
            <w:tcW w:w="3010" w:type="pct"/>
            <w:shd w:val="clear" w:color="auto" w:fill="auto"/>
            <w:vAlign w:val="center"/>
            <w:hideMark/>
          </w:tcPr>
          <w:p w14:paraId="3E4FCC78" w14:textId="77777777" w:rsidR="00D472C4" w:rsidRPr="00E20AC0" w:rsidRDefault="00DF7377" w:rsidP="0038676D">
            <w:pPr>
              <w:pStyle w:val="Paragrafoelenco"/>
              <w:numPr>
                <w:ilvl w:val="0"/>
                <w:numId w:val="9"/>
              </w:numPr>
              <w:jc w:val="left"/>
              <w:rPr>
                <w:rFonts w:eastAsia="Times New Roman" w:cs="Calibri"/>
                <w:color w:val="000000"/>
                <w:sz w:val="20"/>
                <w:lang w:eastAsia="en-US"/>
              </w:rPr>
            </w:pPr>
            <w:r w:rsidRPr="00E20AC0">
              <w:rPr>
                <w:rFonts w:eastAsia="Times New Roman" w:cs="Calibri"/>
                <w:color w:val="000000"/>
                <w:sz w:val="20"/>
                <w:lang w:eastAsia="en-US"/>
              </w:rPr>
              <w:t>INNODRIVER - EDIZIONE 2019 - MISURA A</w:t>
            </w:r>
          </w:p>
          <w:p w14:paraId="1663FC60" w14:textId="77777777" w:rsidR="00D472C4" w:rsidRPr="00E20AC0" w:rsidRDefault="00DF7377" w:rsidP="0038676D">
            <w:pPr>
              <w:pStyle w:val="Paragrafoelenco"/>
              <w:numPr>
                <w:ilvl w:val="0"/>
                <w:numId w:val="9"/>
              </w:numPr>
              <w:jc w:val="left"/>
              <w:rPr>
                <w:rFonts w:eastAsia="Times New Roman" w:cs="Calibri"/>
                <w:color w:val="000000"/>
                <w:sz w:val="20"/>
                <w:lang w:eastAsia="en-US"/>
              </w:rPr>
            </w:pPr>
            <w:r w:rsidRPr="00E20AC0">
              <w:rPr>
                <w:rFonts w:eastAsia="Times New Roman" w:cs="Calibri"/>
                <w:color w:val="000000"/>
                <w:sz w:val="20"/>
                <w:lang w:eastAsia="en-US"/>
              </w:rPr>
              <w:t>INNODRIVER - EDIZIONE 2019 - MISURA B</w:t>
            </w:r>
          </w:p>
          <w:p w14:paraId="14D5AE1E" w14:textId="77777777" w:rsidR="00D472C4" w:rsidRPr="00E20AC0" w:rsidRDefault="00DF7377" w:rsidP="0038676D">
            <w:pPr>
              <w:pStyle w:val="Paragrafoelenco"/>
              <w:numPr>
                <w:ilvl w:val="0"/>
                <w:numId w:val="9"/>
              </w:numPr>
              <w:jc w:val="left"/>
              <w:rPr>
                <w:rFonts w:eastAsia="Times New Roman" w:cs="Calibri"/>
                <w:color w:val="000000"/>
                <w:sz w:val="20"/>
                <w:lang w:eastAsia="en-US"/>
              </w:rPr>
            </w:pPr>
            <w:r w:rsidRPr="00E20AC0">
              <w:rPr>
                <w:rFonts w:eastAsia="Times New Roman" w:cs="Calibri"/>
                <w:color w:val="000000"/>
                <w:sz w:val="20"/>
                <w:lang w:eastAsia="en-US"/>
              </w:rPr>
              <w:t>INNODRIVER - EDIZIONE 2019 - MISURA C</w:t>
            </w:r>
          </w:p>
          <w:p w14:paraId="64857410" w14:textId="77777777" w:rsidR="00D472C4" w:rsidRPr="00E20AC0" w:rsidRDefault="00DF7377" w:rsidP="0038676D">
            <w:pPr>
              <w:pStyle w:val="Paragrafoelenco"/>
              <w:numPr>
                <w:ilvl w:val="0"/>
                <w:numId w:val="9"/>
              </w:numPr>
              <w:jc w:val="left"/>
              <w:rPr>
                <w:rFonts w:eastAsia="Times New Roman" w:cs="Calibri"/>
                <w:color w:val="000000"/>
                <w:sz w:val="20"/>
                <w:lang w:eastAsia="en-US"/>
              </w:rPr>
            </w:pPr>
            <w:r w:rsidRPr="00E20AC0">
              <w:rPr>
                <w:rFonts w:eastAsia="Times New Roman" w:cs="Calibri"/>
                <w:color w:val="000000"/>
                <w:sz w:val="20"/>
                <w:lang w:eastAsia="en-US"/>
              </w:rPr>
              <w:t>INNODRIVER, Misura A: Collaborazione tra PMI e centri di ricerca</w:t>
            </w:r>
          </w:p>
          <w:p w14:paraId="6EC2685F" w14:textId="77777777" w:rsidR="00D472C4" w:rsidRPr="00E20AC0" w:rsidRDefault="00DF7377" w:rsidP="0038676D">
            <w:pPr>
              <w:pStyle w:val="Paragrafoelenco"/>
              <w:numPr>
                <w:ilvl w:val="0"/>
                <w:numId w:val="9"/>
              </w:numPr>
              <w:jc w:val="left"/>
              <w:rPr>
                <w:rFonts w:eastAsia="Times New Roman" w:cs="Calibri"/>
                <w:color w:val="000000"/>
                <w:sz w:val="20"/>
                <w:lang w:eastAsia="en-US"/>
              </w:rPr>
            </w:pPr>
            <w:r w:rsidRPr="00E20AC0">
              <w:rPr>
                <w:rFonts w:eastAsia="Times New Roman" w:cs="Calibri"/>
                <w:color w:val="000000"/>
                <w:sz w:val="20"/>
                <w:lang w:eastAsia="en-US"/>
              </w:rPr>
              <w:t>INNODRIVER, Misura B: Supporto alle proposte che hanno ottenuto il Seal of</w:t>
            </w:r>
            <w:r w:rsidR="00BA6B39" w:rsidRPr="00E20AC0">
              <w:rPr>
                <w:rFonts w:eastAsia="Times New Roman" w:cs="Calibri"/>
                <w:color w:val="000000"/>
                <w:sz w:val="20"/>
                <w:lang w:eastAsia="en-US"/>
              </w:rPr>
              <w:t xml:space="preserve"> </w:t>
            </w:r>
            <w:proofErr w:type="spellStart"/>
            <w:r w:rsidRPr="00E20AC0">
              <w:rPr>
                <w:rFonts w:eastAsia="Times New Roman" w:cs="Calibri"/>
                <w:color w:val="000000"/>
                <w:sz w:val="20"/>
                <w:lang w:eastAsia="en-US"/>
              </w:rPr>
              <w:t>Excellence</w:t>
            </w:r>
            <w:proofErr w:type="spellEnd"/>
            <w:r w:rsidRPr="00E20AC0">
              <w:rPr>
                <w:rFonts w:eastAsia="Times New Roman" w:cs="Calibri"/>
                <w:color w:val="000000"/>
                <w:sz w:val="20"/>
                <w:lang w:eastAsia="en-US"/>
              </w:rPr>
              <w:t xml:space="preserve"> nella fase 1 strumento per le PMI di Horizon 2020</w:t>
            </w:r>
          </w:p>
          <w:p w14:paraId="332AE732" w14:textId="77777777" w:rsidR="00DF7377" w:rsidRPr="00E20AC0" w:rsidRDefault="00DF7377" w:rsidP="0038676D">
            <w:pPr>
              <w:pStyle w:val="Paragrafoelenco"/>
              <w:numPr>
                <w:ilvl w:val="0"/>
                <w:numId w:val="9"/>
              </w:numPr>
              <w:jc w:val="left"/>
              <w:rPr>
                <w:rFonts w:eastAsia="Times New Roman" w:cs="Calibri"/>
                <w:color w:val="000000"/>
                <w:sz w:val="20"/>
                <w:lang w:eastAsia="en-US"/>
              </w:rPr>
            </w:pPr>
            <w:r w:rsidRPr="00E20AC0">
              <w:rPr>
                <w:rFonts w:eastAsia="Times New Roman" w:cs="Calibri"/>
                <w:color w:val="000000"/>
                <w:sz w:val="20"/>
                <w:lang w:eastAsia="en-US"/>
              </w:rPr>
              <w:t>INNODRIVER, Misura C: Supporto ai processi di brevettazione</w:t>
            </w:r>
          </w:p>
        </w:tc>
      </w:tr>
      <w:tr w:rsidR="00DF7377" w:rsidRPr="00E20AC0" w14:paraId="184594A8" w14:textId="77777777" w:rsidTr="00F06E3B">
        <w:trPr>
          <w:trHeight w:val="300"/>
        </w:trPr>
        <w:tc>
          <w:tcPr>
            <w:tcW w:w="1990" w:type="pct"/>
            <w:vAlign w:val="center"/>
          </w:tcPr>
          <w:p w14:paraId="24434282" w14:textId="77777777" w:rsidR="00DF7377" w:rsidRPr="00E20AC0" w:rsidRDefault="00D00675" w:rsidP="00BA6B39">
            <w:pPr>
              <w:jc w:val="left"/>
              <w:rPr>
                <w:rFonts w:eastAsia="Times New Roman" w:cs="Calibri"/>
                <w:b/>
                <w:bCs/>
                <w:color w:val="000000"/>
                <w:sz w:val="20"/>
                <w:lang w:eastAsia="en-US"/>
              </w:rPr>
            </w:pPr>
            <w:proofErr w:type="spellStart"/>
            <w:r w:rsidRPr="00E20AC0">
              <w:rPr>
                <w:rFonts w:eastAsia="Times New Roman" w:cs="Calibri"/>
                <w:b/>
                <w:bCs/>
                <w:color w:val="000000"/>
                <w:sz w:val="20"/>
                <w:lang w:eastAsia="en-US"/>
              </w:rPr>
              <w:t>Arche'</w:t>
            </w:r>
            <w:proofErr w:type="spellEnd"/>
          </w:p>
        </w:tc>
        <w:tc>
          <w:tcPr>
            <w:tcW w:w="3010" w:type="pct"/>
            <w:shd w:val="clear" w:color="auto" w:fill="auto"/>
            <w:vAlign w:val="center"/>
            <w:hideMark/>
          </w:tcPr>
          <w:p w14:paraId="435B452D" w14:textId="77777777" w:rsidR="00D472C4" w:rsidRPr="00E20AC0" w:rsidRDefault="00DF7377" w:rsidP="0038676D">
            <w:pPr>
              <w:pStyle w:val="Paragrafoelenco"/>
              <w:numPr>
                <w:ilvl w:val="0"/>
                <w:numId w:val="11"/>
              </w:numPr>
              <w:jc w:val="left"/>
              <w:rPr>
                <w:rFonts w:eastAsia="Times New Roman" w:cs="Calibri"/>
                <w:color w:val="000000"/>
                <w:sz w:val="20"/>
                <w:lang w:eastAsia="en-US"/>
              </w:rPr>
            </w:pPr>
            <w:proofErr w:type="spellStart"/>
            <w:r w:rsidRPr="00E20AC0">
              <w:rPr>
                <w:rFonts w:eastAsia="Times New Roman" w:cs="Calibri"/>
                <w:color w:val="000000"/>
                <w:sz w:val="20"/>
                <w:lang w:eastAsia="en-US"/>
              </w:rPr>
              <w:t>Arche'</w:t>
            </w:r>
            <w:proofErr w:type="spellEnd"/>
            <w:r w:rsidRPr="00E20AC0">
              <w:rPr>
                <w:rFonts w:eastAsia="Times New Roman" w:cs="Calibri"/>
                <w:color w:val="000000"/>
                <w:sz w:val="20"/>
                <w:lang w:eastAsia="en-US"/>
              </w:rPr>
              <w:t xml:space="preserve"> Misura A</w:t>
            </w:r>
          </w:p>
          <w:p w14:paraId="1F79A1EC" w14:textId="77777777" w:rsidR="00DF7377" w:rsidRPr="00E20AC0" w:rsidRDefault="00DF7377" w:rsidP="0038676D">
            <w:pPr>
              <w:pStyle w:val="Paragrafoelenco"/>
              <w:numPr>
                <w:ilvl w:val="0"/>
                <w:numId w:val="11"/>
              </w:numPr>
              <w:jc w:val="left"/>
              <w:rPr>
                <w:rFonts w:eastAsia="Times New Roman" w:cs="Calibri"/>
                <w:color w:val="000000"/>
                <w:sz w:val="20"/>
                <w:lang w:eastAsia="en-US"/>
              </w:rPr>
            </w:pPr>
            <w:proofErr w:type="spellStart"/>
            <w:r w:rsidRPr="00E20AC0">
              <w:rPr>
                <w:rFonts w:eastAsia="Times New Roman" w:cs="Calibri"/>
                <w:color w:val="000000"/>
                <w:sz w:val="20"/>
                <w:lang w:eastAsia="en-US"/>
              </w:rPr>
              <w:t>Arche'</w:t>
            </w:r>
            <w:proofErr w:type="spellEnd"/>
            <w:r w:rsidRPr="00E20AC0">
              <w:rPr>
                <w:rFonts w:eastAsia="Times New Roman" w:cs="Calibri"/>
                <w:color w:val="000000"/>
                <w:sz w:val="20"/>
                <w:lang w:eastAsia="en-US"/>
              </w:rPr>
              <w:t xml:space="preserve"> Misura B</w:t>
            </w:r>
          </w:p>
        </w:tc>
      </w:tr>
      <w:tr w:rsidR="00DF7377" w:rsidRPr="00E20AC0" w14:paraId="191D7CAC" w14:textId="77777777" w:rsidTr="00F06E3B">
        <w:trPr>
          <w:trHeight w:val="990"/>
        </w:trPr>
        <w:tc>
          <w:tcPr>
            <w:tcW w:w="1990" w:type="pct"/>
            <w:vAlign w:val="center"/>
          </w:tcPr>
          <w:p w14:paraId="4064B42B" w14:textId="77777777" w:rsidR="00DF7377" w:rsidRPr="00E20AC0" w:rsidRDefault="00D472C4" w:rsidP="00BA6B39">
            <w:pPr>
              <w:jc w:val="left"/>
              <w:rPr>
                <w:rFonts w:eastAsia="Times New Roman" w:cs="Calibri"/>
                <w:b/>
                <w:bCs/>
                <w:color w:val="000000"/>
                <w:sz w:val="20"/>
                <w:lang w:eastAsia="en-US"/>
              </w:rPr>
            </w:pPr>
            <w:r w:rsidRPr="00E20AC0">
              <w:rPr>
                <w:rFonts w:eastAsia="Times New Roman" w:cs="Calibri"/>
                <w:b/>
                <w:bCs/>
                <w:color w:val="000000"/>
                <w:sz w:val="20"/>
                <w:lang w:eastAsia="en-US"/>
              </w:rPr>
              <w:t>BANDO TURISMO E ATTRATTIVITA' Sostegno alla competitività delle imprese turistiche delle Aree interne</w:t>
            </w:r>
          </w:p>
        </w:tc>
        <w:tc>
          <w:tcPr>
            <w:tcW w:w="3010" w:type="pct"/>
            <w:shd w:val="clear" w:color="auto" w:fill="auto"/>
            <w:vAlign w:val="center"/>
            <w:hideMark/>
          </w:tcPr>
          <w:p w14:paraId="7260A5DE" w14:textId="77777777" w:rsidR="00D472C4" w:rsidRPr="00E20AC0" w:rsidRDefault="00DF7377" w:rsidP="0038676D">
            <w:pPr>
              <w:pStyle w:val="Paragrafoelenco"/>
              <w:numPr>
                <w:ilvl w:val="0"/>
                <w:numId w:val="12"/>
              </w:numPr>
              <w:jc w:val="left"/>
              <w:rPr>
                <w:rFonts w:eastAsia="Times New Roman" w:cs="Calibri"/>
                <w:color w:val="000000"/>
                <w:sz w:val="20"/>
                <w:lang w:eastAsia="en-US"/>
              </w:rPr>
            </w:pPr>
            <w:r w:rsidRPr="00E20AC0">
              <w:rPr>
                <w:rFonts w:eastAsia="Times New Roman" w:cs="Calibri"/>
                <w:color w:val="000000"/>
                <w:sz w:val="20"/>
                <w:lang w:eastAsia="en-US"/>
              </w:rPr>
              <w:t>BANDO TURISMO E ATTRATTIVITA' Sostegno alla competitivit</w:t>
            </w:r>
            <w:r w:rsidR="004E301D" w:rsidRPr="00E20AC0">
              <w:rPr>
                <w:rFonts w:eastAsia="Times New Roman" w:cs="Calibri"/>
                <w:color w:val="000000"/>
                <w:sz w:val="20"/>
                <w:lang w:eastAsia="en-US"/>
              </w:rPr>
              <w:t>à</w:t>
            </w:r>
            <w:r w:rsidRPr="00E20AC0">
              <w:rPr>
                <w:rFonts w:eastAsia="Times New Roman" w:cs="Calibri"/>
                <w:color w:val="000000"/>
                <w:sz w:val="20"/>
                <w:lang w:eastAsia="en-US"/>
              </w:rPr>
              <w:t xml:space="preserve"> delle imprese turistiche delle Aree interne ALTO LAGO DI COMO E VALLI DEL LARIO</w:t>
            </w:r>
          </w:p>
          <w:p w14:paraId="00C82419" w14:textId="77777777" w:rsidR="00DF7377" w:rsidRPr="00E20AC0" w:rsidRDefault="00DF7377" w:rsidP="0038676D">
            <w:pPr>
              <w:pStyle w:val="Paragrafoelenco"/>
              <w:numPr>
                <w:ilvl w:val="0"/>
                <w:numId w:val="12"/>
              </w:numPr>
              <w:jc w:val="left"/>
              <w:rPr>
                <w:rFonts w:eastAsia="Times New Roman" w:cs="Calibri"/>
                <w:color w:val="000000"/>
                <w:sz w:val="20"/>
                <w:lang w:eastAsia="en-US"/>
              </w:rPr>
            </w:pPr>
            <w:r w:rsidRPr="00E20AC0">
              <w:rPr>
                <w:rFonts w:eastAsia="Times New Roman" w:cs="Calibri"/>
                <w:color w:val="000000"/>
                <w:sz w:val="20"/>
                <w:lang w:eastAsia="en-US"/>
              </w:rPr>
              <w:t>BANDO TURISMO E ATTRATTIVITA' Sostegno alla competitivit</w:t>
            </w:r>
            <w:r w:rsidR="004E301D" w:rsidRPr="00E20AC0">
              <w:rPr>
                <w:rFonts w:eastAsia="Times New Roman" w:cs="Calibri"/>
                <w:color w:val="000000"/>
                <w:sz w:val="20"/>
                <w:lang w:eastAsia="en-US"/>
              </w:rPr>
              <w:t>à</w:t>
            </w:r>
            <w:r w:rsidRPr="00E20AC0">
              <w:rPr>
                <w:rFonts w:eastAsia="Times New Roman" w:cs="Calibri"/>
                <w:color w:val="000000"/>
                <w:sz w:val="20"/>
                <w:lang w:eastAsia="en-US"/>
              </w:rPr>
              <w:t xml:space="preserve"> delle imprese turistiche delle Aree interne APPENNINO LOMBARDO - ALTO OLTREPO PAVESE</w:t>
            </w:r>
          </w:p>
        </w:tc>
      </w:tr>
      <w:tr w:rsidR="00DF7377" w:rsidRPr="00E20AC0" w14:paraId="383C23F4" w14:textId="77777777" w:rsidTr="00F06E3B">
        <w:trPr>
          <w:trHeight w:val="300"/>
        </w:trPr>
        <w:tc>
          <w:tcPr>
            <w:tcW w:w="1990" w:type="pct"/>
            <w:vAlign w:val="center"/>
          </w:tcPr>
          <w:p w14:paraId="1B447EB2" w14:textId="77777777" w:rsidR="00DF7377" w:rsidRPr="00E20AC0" w:rsidRDefault="00D472C4" w:rsidP="00BA6B39">
            <w:pPr>
              <w:jc w:val="left"/>
              <w:rPr>
                <w:rFonts w:eastAsia="Times New Roman" w:cs="Calibri"/>
                <w:b/>
                <w:bCs/>
                <w:color w:val="000000"/>
                <w:sz w:val="20"/>
                <w:lang w:eastAsia="en-US"/>
              </w:rPr>
            </w:pPr>
            <w:r w:rsidRPr="00E20AC0">
              <w:rPr>
                <w:rFonts w:eastAsia="Times New Roman" w:cs="Calibri"/>
                <w:b/>
                <w:bCs/>
                <w:color w:val="000000"/>
                <w:sz w:val="20"/>
                <w:lang w:eastAsia="en-US"/>
              </w:rPr>
              <w:t>Linea INTRAPRENDO</w:t>
            </w:r>
          </w:p>
        </w:tc>
        <w:tc>
          <w:tcPr>
            <w:tcW w:w="3010" w:type="pct"/>
            <w:shd w:val="clear" w:color="auto" w:fill="auto"/>
            <w:vAlign w:val="center"/>
            <w:hideMark/>
          </w:tcPr>
          <w:p w14:paraId="2DBD3816" w14:textId="77777777" w:rsidR="00D472C4" w:rsidRPr="00E20AC0" w:rsidRDefault="00DF7377" w:rsidP="0038676D">
            <w:pPr>
              <w:pStyle w:val="Paragrafoelenco"/>
              <w:numPr>
                <w:ilvl w:val="0"/>
                <w:numId w:val="13"/>
              </w:numPr>
              <w:jc w:val="left"/>
              <w:rPr>
                <w:rFonts w:eastAsia="Times New Roman" w:cs="Calibri"/>
                <w:color w:val="000000"/>
                <w:sz w:val="20"/>
                <w:lang w:eastAsia="en-US"/>
              </w:rPr>
            </w:pPr>
            <w:r w:rsidRPr="00E20AC0">
              <w:rPr>
                <w:rFonts w:eastAsia="Times New Roman" w:cs="Calibri"/>
                <w:color w:val="000000"/>
                <w:sz w:val="20"/>
                <w:lang w:eastAsia="en-US"/>
              </w:rPr>
              <w:t>Linea INTRAPRENDO</w:t>
            </w:r>
            <w:r w:rsidR="00D10098" w:rsidRPr="00E20AC0">
              <w:rPr>
                <w:rFonts w:eastAsia="Times New Roman" w:cs="Calibri"/>
                <w:color w:val="000000"/>
                <w:sz w:val="20"/>
                <w:lang w:eastAsia="en-US"/>
              </w:rPr>
              <w:t xml:space="preserve"> (2016-2017)</w:t>
            </w:r>
          </w:p>
          <w:p w14:paraId="4F1D75C7" w14:textId="77777777" w:rsidR="00DF7377" w:rsidRPr="00E20AC0" w:rsidRDefault="00DF7377" w:rsidP="0038676D">
            <w:pPr>
              <w:pStyle w:val="Paragrafoelenco"/>
              <w:numPr>
                <w:ilvl w:val="0"/>
                <w:numId w:val="13"/>
              </w:numPr>
              <w:jc w:val="left"/>
              <w:rPr>
                <w:rFonts w:eastAsia="Times New Roman" w:cs="Calibri"/>
                <w:color w:val="000000"/>
                <w:sz w:val="20"/>
                <w:lang w:eastAsia="en-US"/>
              </w:rPr>
            </w:pPr>
            <w:r w:rsidRPr="00E20AC0">
              <w:rPr>
                <w:rFonts w:eastAsia="Times New Roman" w:cs="Calibri"/>
                <w:color w:val="000000"/>
                <w:sz w:val="20"/>
                <w:lang w:eastAsia="en-US"/>
              </w:rPr>
              <w:t xml:space="preserve">Linea </w:t>
            </w:r>
            <w:r w:rsidR="00FB085B" w:rsidRPr="00E20AC0">
              <w:rPr>
                <w:rFonts w:eastAsia="Times New Roman" w:cs="Calibri"/>
                <w:color w:val="000000"/>
                <w:sz w:val="20"/>
                <w:lang w:eastAsia="en-US"/>
              </w:rPr>
              <w:t>I</w:t>
            </w:r>
            <w:r w:rsidRPr="00E20AC0">
              <w:rPr>
                <w:rFonts w:eastAsia="Times New Roman" w:cs="Calibri"/>
                <w:color w:val="000000"/>
                <w:sz w:val="20"/>
                <w:lang w:eastAsia="en-US"/>
              </w:rPr>
              <w:t>ntraprendo</w:t>
            </w:r>
            <w:r w:rsidR="00FB085B" w:rsidRPr="00E20AC0">
              <w:rPr>
                <w:rFonts w:eastAsia="Times New Roman" w:cs="Calibri"/>
                <w:color w:val="000000"/>
                <w:sz w:val="20"/>
                <w:lang w:eastAsia="en-US"/>
              </w:rPr>
              <w:t xml:space="preserve"> (</w:t>
            </w:r>
            <w:r w:rsidR="00D10098" w:rsidRPr="00E20AC0">
              <w:rPr>
                <w:rFonts w:eastAsia="Times New Roman" w:cs="Calibri"/>
                <w:color w:val="000000"/>
                <w:sz w:val="20"/>
                <w:lang w:eastAsia="en-US"/>
              </w:rPr>
              <w:t>2017-2019</w:t>
            </w:r>
            <w:r w:rsidR="00FB085B" w:rsidRPr="00E20AC0">
              <w:rPr>
                <w:rFonts w:eastAsia="Times New Roman" w:cs="Calibri"/>
                <w:color w:val="000000"/>
                <w:sz w:val="20"/>
                <w:lang w:eastAsia="en-US"/>
              </w:rPr>
              <w:t>)</w:t>
            </w:r>
          </w:p>
        </w:tc>
      </w:tr>
      <w:tr w:rsidR="00DF7377" w:rsidRPr="00E20AC0" w14:paraId="39FD66E4" w14:textId="77777777" w:rsidTr="00F06E3B">
        <w:trPr>
          <w:trHeight w:val="510"/>
        </w:trPr>
        <w:tc>
          <w:tcPr>
            <w:tcW w:w="1990" w:type="pct"/>
            <w:vAlign w:val="center"/>
          </w:tcPr>
          <w:p w14:paraId="763C22E6" w14:textId="77777777" w:rsidR="00DF7377" w:rsidRPr="00E20AC0" w:rsidRDefault="00D472C4" w:rsidP="00BA6B39">
            <w:pPr>
              <w:jc w:val="left"/>
              <w:rPr>
                <w:rFonts w:eastAsia="Times New Roman" w:cs="Calibri"/>
                <w:b/>
                <w:bCs/>
                <w:color w:val="000000"/>
                <w:sz w:val="20"/>
                <w:lang w:eastAsia="en-US"/>
              </w:rPr>
            </w:pPr>
            <w:r w:rsidRPr="00E20AC0">
              <w:rPr>
                <w:rFonts w:eastAsia="Times New Roman" w:cs="Calibri"/>
                <w:b/>
                <w:bCs/>
                <w:color w:val="000000"/>
                <w:sz w:val="20"/>
                <w:lang w:eastAsia="en-US"/>
              </w:rPr>
              <w:t>Start up di impresa</w:t>
            </w:r>
          </w:p>
        </w:tc>
        <w:tc>
          <w:tcPr>
            <w:tcW w:w="3010" w:type="pct"/>
            <w:shd w:val="clear" w:color="auto" w:fill="auto"/>
            <w:vAlign w:val="center"/>
            <w:hideMark/>
          </w:tcPr>
          <w:p w14:paraId="7C13DAE5" w14:textId="77777777" w:rsidR="00D472C4" w:rsidRPr="00E20AC0" w:rsidRDefault="00DF7377" w:rsidP="0038676D">
            <w:pPr>
              <w:pStyle w:val="Paragrafoelenco"/>
              <w:numPr>
                <w:ilvl w:val="0"/>
                <w:numId w:val="14"/>
              </w:numPr>
              <w:jc w:val="left"/>
              <w:rPr>
                <w:rFonts w:eastAsia="Times New Roman" w:cs="Calibri"/>
                <w:color w:val="000000"/>
                <w:sz w:val="20"/>
                <w:lang w:eastAsia="en-US"/>
              </w:rPr>
            </w:pPr>
            <w:r w:rsidRPr="00E20AC0">
              <w:rPr>
                <w:rFonts w:eastAsia="Times New Roman" w:cs="Calibri"/>
                <w:color w:val="000000"/>
                <w:sz w:val="20"/>
                <w:lang w:eastAsia="en-US"/>
              </w:rPr>
              <w:t>Start up di impresa in Valchiavenna</w:t>
            </w:r>
          </w:p>
          <w:p w14:paraId="20C18173" w14:textId="77777777" w:rsidR="00D472C4" w:rsidRPr="00E20AC0" w:rsidRDefault="00DF7377" w:rsidP="0038676D">
            <w:pPr>
              <w:pStyle w:val="Paragrafoelenco"/>
              <w:numPr>
                <w:ilvl w:val="0"/>
                <w:numId w:val="14"/>
              </w:numPr>
              <w:jc w:val="left"/>
              <w:rPr>
                <w:rFonts w:eastAsia="Times New Roman" w:cs="Calibri"/>
                <w:color w:val="000000"/>
                <w:sz w:val="20"/>
                <w:lang w:eastAsia="en-US"/>
              </w:rPr>
            </w:pPr>
            <w:r w:rsidRPr="00E20AC0">
              <w:rPr>
                <w:rFonts w:eastAsia="Times New Roman" w:cs="Calibri"/>
                <w:color w:val="000000"/>
                <w:sz w:val="20"/>
                <w:lang w:eastAsia="en-US"/>
              </w:rPr>
              <w:t>Start up di impresa nell</w:t>
            </w:r>
            <w:r w:rsidR="003924AE" w:rsidRPr="00E20AC0">
              <w:rPr>
                <w:rFonts w:eastAsia="Times New Roman" w:cs="Calibri"/>
                <w:color w:val="000000"/>
                <w:sz w:val="20"/>
                <w:lang w:eastAsia="en-US"/>
              </w:rPr>
              <w:t>’</w:t>
            </w:r>
            <w:r w:rsidRPr="00E20AC0">
              <w:rPr>
                <w:rFonts w:eastAsia="Times New Roman" w:cs="Calibri"/>
                <w:color w:val="000000"/>
                <w:sz w:val="20"/>
                <w:lang w:eastAsia="en-US"/>
              </w:rPr>
              <w:t>area interna dell</w:t>
            </w:r>
            <w:r w:rsidR="003924AE" w:rsidRPr="00E20AC0">
              <w:rPr>
                <w:rFonts w:eastAsia="Times New Roman" w:cs="Calibri"/>
                <w:color w:val="000000"/>
                <w:sz w:val="20"/>
                <w:lang w:eastAsia="en-US"/>
              </w:rPr>
              <w:t>’</w:t>
            </w:r>
            <w:r w:rsidRPr="00E20AC0">
              <w:rPr>
                <w:rFonts w:eastAsia="Times New Roman" w:cs="Calibri"/>
                <w:color w:val="000000"/>
                <w:sz w:val="20"/>
                <w:lang w:eastAsia="en-US"/>
              </w:rPr>
              <w:t>Alto Lago di Como e Valli del Lario</w:t>
            </w:r>
          </w:p>
          <w:p w14:paraId="3A8FCECD" w14:textId="77777777" w:rsidR="00DF7377" w:rsidRPr="00E20AC0" w:rsidRDefault="00DF7377" w:rsidP="0038676D">
            <w:pPr>
              <w:pStyle w:val="Paragrafoelenco"/>
              <w:numPr>
                <w:ilvl w:val="0"/>
                <w:numId w:val="14"/>
              </w:numPr>
              <w:jc w:val="left"/>
              <w:rPr>
                <w:rFonts w:eastAsia="Times New Roman" w:cs="Calibri"/>
                <w:color w:val="000000"/>
                <w:sz w:val="20"/>
                <w:lang w:eastAsia="en-US"/>
              </w:rPr>
            </w:pPr>
            <w:r w:rsidRPr="00E20AC0">
              <w:rPr>
                <w:rFonts w:eastAsia="Times New Roman" w:cs="Calibri"/>
                <w:color w:val="000000"/>
                <w:sz w:val="20"/>
                <w:lang w:eastAsia="en-US"/>
              </w:rPr>
              <w:t>Start up di impresa nell</w:t>
            </w:r>
            <w:r w:rsidR="003924AE" w:rsidRPr="00E20AC0">
              <w:rPr>
                <w:rFonts w:eastAsia="Times New Roman" w:cs="Calibri"/>
                <w:color w:val="000000"/>
                <w:sz w:val="20"/>
                <w:lang w:eastAsia="en-US"/>
              </w:rPr>
              <w:t>’</w:t>
            </w:r>
            <w:r w:rsidRPr="00E20AC0">
              <w:rPr>
                <w:rFonts w:eastAsia="Times New Roman" w:cs="Calibri"/>
                <w:color w:val="000000"/>
                <w:sz w:val="20"/>
                <w:lang w:eastAsia="en-US"/>
              </w:rPr>
              <w:t>area interna dell</w:t>
            </w:r>
            <w:r w:rsidR="003924AE" w:rsidRPr="00E20AC0">
              <w:rPr>
                <w:rFonts w:eastAsia="Times New Roman" w:cs="Calibri"/>
                <w:color w:val="000000"/>
                <w:sz w:val="20"/>
                <w:lang w:eastAsia="en-US"/>
              </w:rPr>
              <w:t>’</w:t>
            </w:r>
            <w:r w:rsidRPr="00E20AC0">
              <w:rPr>
                <w:rFonts w:eastAsia="Times New Roman" w:cs="Calibri"/>
                <w:color w:val="000000"/>
                <w:sz w:val="20"/>
                <w:lang w:eastAsia="en-US"/>
              </w:rPr>
              <w:t>Appennino lombardo - Alto Oltre</w:t>
            </w:r>
            <w:r w:rsidR="004E301D" w:rsidRPr="00E20AC0">
              <w:rPr>
                <w:rFonts w:eastAsia="Times New Roman" w:cs="Calibri"/>
                <w:color w:val="000000"/>
                <w:sz w:val="20"/>
                <w:lang w:eastAsia="en-US"/>
              </w:rPr>
              <w:t>p</w:t>
            </w:r>
            <w:r w:rsidR="00D10098" w:rsidRPr="00E20AC0">
              <w:rPr>
                <w:rFonts w:eastAsia="Times New Roman" w:cs="Calibri"/>
                <w:color w:val="000000"/>
                <w:sz w:val="20"/>
                <w:lang w:eastAsia="en-US"/>
              </w:rPr>
              <w:t>ò P</w:t>
            </w:r>
            <w:r w:rsidRPr="00E20AC0">
              <w:rPr>
                <w:rFonts w:eastAsia="Times New Roman" w:cs="Calibri"/>
                <w:color w:val="000000"/>
                <w:sz w:val="20"/>
                <w:lang w:eastAsia="en-US"/>
              </w:rPr>
              <w:t>avese</w:t>
            </w:r>
          </w:p>
        </w:tc>
      </w:tr>
      <w:tr w:rsidR="00DF7377" w:rsidRPr="00E20AC0" w14:paraId="213EAC00" w14:textId="77777777" w:rsidTr="00F06E3B">
        <w:trPr>
          <w:trHeight w:val="300"/>
        </w:trPr>
        <w:tc>
          <w:tcPr>
            <w:tcW w:w="1990" w:type="pct"/>
            <w:vAlign w:val="center"/>
          </w:tcPr>
          <w:p w14:paraId="4960F931" w14:textId="77777777" w:rsidR="00DF7377" w:rsidRPr="00E20AC0" w:rsidRDefault="00D472C4" w:rsidP="00BA6B39">
            <w:pPr>
              <w:jc w:val="left"/>
              <w:rPr>
                <w:rFonts w:eastAsia="Times New Roman" w:cs="Calibri"/>
                <w:b/>
                <w:bCs/>
                <w:color w:val="000000"/>
                <w:sz w:val="20"/>
                <w:lang w:eastAsia="en-US"/>
              </w:rPr>
            </w:pPr>
            <w:r w:rsidRPr="00E20AC0">
              <w:rPr>
                <w:rFonts w:eastAsia="Times New Roman" w:cs="Calibri"/>
                <w:b/>
                <w:bCs/>
                <w:color w:val="000000"/>
                <w:sz w:val="20"/>
                <w:lang w:eastAsia="en-US"/>
              </w:rPr>
              <w:t>Turismo e attrattività</w:t>
            </w:r>
          </w:p>
        </w:tc>
        <w:tc>
          <w:tcPr>
            <w:tcW w:w="3010" w:type="pct"/>
            <w:shd w:val="clear" w:color="auto" w:fill="auto"/>
            <w:vAlign w:val="center"/>
            <w:hideMark/>
          </w:tcPr>
          <w:p w14:paraId="2844A7C4" w14:textId="77777777" w:rsidR="00D472C4" w:rsidRPr="00E20AC0" w:rsidRDefault="00DF7377" w:rsidP="0038676D">
            <w:pPr>
              <w:pStyle w:val="Paragrafoelenco"/>
              <w:numPr>
                <w:ilvl w:val="0"/>
                <w:numId w:val="14"/>
              </w:numPr>
              <w:jc w:val="left"/>
              <w:rPr>
                <w:rFonts w:eastAsia="Times New Roman" w:cs="Calibri"/>
                <w:color w:val="000000"/>
                <w:sz w:val="20"/>
                <w:lang w:eastAsia="en-US"/>
              </w:rPr>
            </w:pPr>
            <w:r w:rsidRPr="00E20AC0">
              <w:rPr>
                <w:rFonts w:eastAsia="Times New Roman" w:cs="Calibri"/>
                <w:color w:val="000000"/>
                <w:sz w:val="20"/>
                <w:lang w:eastAsia="en-US"/>
              </w:rPr>
              <w:t>Turismo e attrattivit</w:t>
            </w:r>
            <w:r w:rsidR="005C6BEC" w:rsidRPr="00E20AC0">
              <w:rPr>
                <w:rFonts w:eastAsia="Times New Roman" w:cs="Calibri"/>
                <w:color w:val="000000"/>
                <w:sz w:val="20"/>
                <w:lang w:eastAsia="en-US"/>
              </w:rPr>
              <w:t>à</w:t>
            </w:r>
            <w:r w:rsidRPr="00E20AC0">
              <w:rPr>
                <w:rFonts w:eastAsia="Times New Roman" w:cs="Calibri"/>
                <w:color w:val="000000"/>
                <w:sz w:val="20"/>
                <w:lang w:eastAsia="en-US"/>
              </w:rPr>
              <w:t xml:space="preserve"> </w:t>
            </w:r>
          </w:p>
          <w:p w14:paraId="6CE4D14F" w14:textId="77777777" w:rsidR="00DF7377" w:rsidRPr="00E20AC0" w:rsidRDefault="00DF7377" w:rsidP="0038676D">
            <w:pPr>
              <w:pStyle w:val="Paragrafoelenco"/>
              <w:numPr>
                <w:ilvl w:val="0"/>
                <w:numId w:val="14"/>
              </w:numPr>
              <w:jc w:val="left"/>
              <w:rPr>
                <w:rFonts w:eastAsia="Times New Roman" w:cs="Calibri"/>
                <w:color w:val="000000"/>
                <w:sz w:val="20"/>
                <w:lang w:eastAsia="en-US"/>
              </w:rPr>
            </w:pPr>
            <w:r w:rsidRPr="00E20AC0">
              <w:rPr>
                <w:rFonts w:eastAsia="Times New Roman" w:cs="Calibri"/>
                <w:color w:val="000000"/>
                <w:sz w:val="20"/>
                <w:lang w:eastAsia="en-US"/>
              </w:rPr>
              <w:t>Turismo e attrattivit</w:t>
            </w:r>
            <w:r w:rsidR="005C6BEC" w:rsidRPr="00E20AC0">
              <w:rPr>
                <w:rFonts w:eastAsia="Times New Roman" w:cs="Calibri"/>
                <w:color w:val="000000"/>
                <w:sz w:val="20"/>
                <w:lang w:eastAsia="en-US"/>
              </w:rPr>
              <w:t>à</w:t>
            </w:r>
            <w:r w:rsidRPr="00E20AC0">
              <w:rPr>
                <w:rFonts w:eastAsia="Times New Roman" w:cs="Calibri"/>
                <w:color w:val="000000"/>
                <w:sz w:val="20"/>
                <w:lang w:eastAsia="en-US"/>
              </w:rPr>
              <w:t xml:space="preserve"> Valchiavenna</w:t>
            </w:r>
          </w:p>
        </w:tc>
      </w:tr>
      <w:tr w:rsidR="00BA6B39" w:rsidRPr="00E20AC0" w14:paraId="34C09695" w14:textId="77777777" w:rsidTr="00F06E3B">
        <w:trPr>
          <w:trHeight w:val="332"/>
        </w:trPr>
        <w:tc>
          <w:tcPr>
            <w:tcW w:w="1990" w:type="pct"/>
            <w:shd w:val="clear" w:color="auto" w:fill="E4E3E2" w:themeFill="background2"/>
            <w:vAlign w:val="bottom"/>
          </w:tcPr>
          <w:p w14:paraId="7C594FD7" w14:textId="77777777" w:rsidR="00BA6B39" w:rsidRPr="00E20AC0" w:rsidRDefault="00BA6B39" w:rsidP="0064605D">
            <w:pPr>
              <w:jc w:val="left"/>
              <w:rPr>
                <w:rFonts w:eastAsia="Times New Roman" w:cs="Calibri"/>
                <w:b/>
                <w:bCs/>
                <w:color w:val="000000"/>
                <w:sz w:val="20"/>
                <w:lang w:eastAsia="en-US"/>
              </w:rPr>
            </w:pPr>
            <w:r w:rsidRPr="00E20AC0">
              <w:rPr>
                <w:rFonts w:eastAsia="Times New Roman" w:cs="Calibri"/>
                <w:b/>
                <w:bCs/>
                <w:color w:val="000000"/>
                <w:sz w:val="20"/>
                <w:lang w:eastAsia="en-US"/>
              </w:rPr>
              <w:t>AREA TERRITORIALE</w:t>
            </w:r>
          </w:p>
        </w:tc>
        <w:tc>
          <w:tcPr>
            <w:tcW w:w="3010" w:type="pct"/>
            <w:shd w:val="clear" w:color="auto" w:fill="E4E3E2" w:themeFill="background2"/>
            <w:vAlign w:val="center"/>
          </w:tcPr>
          <w:p w14:paraId="0958F521" w14:textId="77777777" w:rsidR="00BA6B39" w:rsidRPr="00E20AC0" w:rsidRDefault="00BA6B39" w:rsidP="00BA6B39">
            <w:pPr>
              <w:pStyle w:val="Paragrafoelenco"/>
              <w:jc w:val="left"/>
              <w:rPr>
                <w:rFonts w:eastAsia="Times New Roman" w:cs="Calibri"/>
                <w:color w:val="000000"/>
                <w:sz w:val="20"/>
                <w:lang w:eastAsia="en-US"/>
              </w:rPr>
            </w:pPr>
          </w:p>
        </w:tc>
      </w:tr>
      <w:tr w:rsidR="00DF7377" w:rsidRPr="00E20AC0" w14:paraId="15280D16" w14:textId="77777777" w:rsidTr="00F06E3B">
        <w:trPr>
          <w:trHeight w:val="510"/>
        </w:trPr>
        <w:tc>
          <w:tcPr>
            <w:tcW w:w="1990" w:type="pct"/>
            <w:vAlign w:val="center"/>
          </w:tcPr>
          <w:p w14:paraId="5B5D9051" w14:textId="77777777" w:rsidR="00DF7377" w:rsidRPr="00E20AC0" w:rsidRDefault="00D472C4" w:rsidP="00BA6B39">
            <w:pPr>
              <w:jc w:val="left"/>
              <w:rPr>
                <w:rFonts w:eastAsia="Times New Roman" w:cs="Calibri"/>
                <w:b/>
                <w:bCs/>
                <w:color w:val="000000"/>
                <w:sz w:val="20"/>
                <w:lang w:eastAsia="en-US"/>
              </w:rPr>
            </w:pPr>
            <w:r w:rsidRPr="00E20AC0">
              <w:rPr>
                <w:rFonts w:eastAsia="Times New Roman" w:cs="Calibri"/>
                <w:b/>
                <w:bCs/>
                <w:color w:val="000000"/>
                <w:sz w:val="20"/>
                <w:lang w:eastAsia="en-US"/>
              </w:rPr>
              <w:t>Fondo Regionale per l'efficienza energetica (FREE)</w:t>
            </w:r>
          </w:p>
        </w:tc>
        <w:tc>
          <w:tcPr>
            <w:tcW w:w="3010" w:type="pct"/>
            <w:shd w:val="clear" w:color="auto" w:fill="auto"/>
            <w:vAlign w:val="center"/>
            <w:hideMark/>
          </w:tcPr>
          <w:p w14:paraId="2F766A7D" w14:textId="77777777" w:rsidR="00D472C4" w:rsidRPr="00E20AC0" w:rsidRDefault="00DF7377" w:rsidP="0038676D">
            <w:pPr>
              <w:pStyle w:val="Paragrafoelenco"/>
              <w:numPr>
                <w:ilvl w:val="0"/>
                <w:numId w:val="15"/>
              </w:numPr>
              <w:jc w:val="left"/>
              <w:rPr>
                <w:rFonts w:eastAsia="Times New Roman" w:cs="Calibri"/>
                <w:color w:val="000000"/>
                <w:sz w:val="20"/>
                <w:lang w:eastAsia="en-US"/>
              </w:rPr>
            </w:pPr>
            <w:r w:rsidRPr="00E20AC0">
              <w:rPr>
                <w:rFonts w:eastAsia="Times New Roman" w:cs="Calibri"/>
                <w:color w:val="000000"/>
                <w:sz w:val="20"/>
                <w:lang w:eastAsia="en-US"/>
              </w:rPr>
              <w:t>Fondo Regionale per l'efficienza energetica</w:t>
            </w:r>
            <w:r w:rsidR="00E5059D">
              <w:rPr>
                <w:rFonts w:eastAsia="Times New Roman" w:cs="Calibri"/>
                <w:color w:val="000000"/>
                <w:sz w:val="20"/>
                <w:lang w:eastAsia="en-US"/>
              </w:rPr>
              <w:t xml:space="preserve"> – 1° ediz.</w:t>
            </w:r>
            <w:r w:rsidRPr="00E20AC0">
              <w:rPr>
                <w:rFonts w:eastAsia="Times New Roman" w:cs="Calibri"/>
                <w:color w:val="000000"/>
                <w:sz w:val="20"/>
                <w:lang w:eastAsia="en-US"/>
              </w:rPr>
              <w:t xml:space="preserve"> (FREE</w:t>
            </w:r>
            <w:r w:rsidR="00E5059D">
              <w:rPr>
                <w:rFonts w:eastAsia="Times New Roman" w:cs="Calibri"/>
                <w:color w:val="000000"/>
                <w:sz w:val="20"/>
                <w:lang w:eastAsia="en-US"/>
              </w:rPr>
              <w:t xml:space="preserve"> 1</w:t>
            </w:r>
            <w:r w:rsidRPr="00E20AC0">
              <w:rPr>
                <w:rFonts w:eastAsia="Times New Roman" w:cs="Calibri"/>
                <w:color w:val="000000"/>
                <w:sz w:val="20"/>
                <w:lang w:eastAsia="en-US"/>
              </w:rPr>
              <w:t>)</w:t>
            </w:r>
          </w:p>
          <w:p w14:paraId="69C3BC9F" w14:textId="4E7E7052" w:rsidR="00DF7377" w:rsidRPr="00E20AC0" w:rsidRDefault="00DF7377" w:rsidP="0038676D">
            <w:pPr>
              <w:pStyle w:val="Paragrafoelenco"/>
              <w:numPr>
                <w:ilvl w:val="0"/>
                <w:numId w:val="15"/>
              </w:numPr>
              <w:jc w:val="left"/>
              <w:rPr>
                <w:rFonts w:eastAsia="Times New Roman" w:cs="Calibri"/>
                <w:color w:val="000000"/>
                <w:sz w:val="20"/>
                <w:lang w:eastAsia="en-US"/>
              </w:rPr>
            </w:pPr>
            <w:r w:rsidRPr="00E20AC0">
              <w:rPr>
                <w:rFonts w:eastAsia="Times New Roman" w:cs="Calibri"/>
                <w:color w:val="000000"/>
                <w:sz w:val="20"/>
                <w:lang w:eastAsia="en-US"/>
              </w:rPr>
              <w:t>Fondo Regionale per Efficienza Energetica</w:t>
            </w:r>
            <w:r w:rsidR="00E5059D">
              <w:rPr>
                <w:rFonts w:eastAsia="Times New Roman" w:cs="Calibri"/>
                <w:color w:val="000000"/>
                <w:sz w:val="20"/>
                <w:lang w:eastAsia="en-US"/>
              </w:rPr>
              <w:t xml:space="preserve"> – 2° ediz. (FREE 2)</w:t>
            </w:r>
          </w:p>
        </w:tc>
      </w:tr>
    </w:tbl>
    <w:p w14:paraId="3C8AB8FE" w14:textId="77777777" w:rsidR="00A6156E" w:rsidRDefault="00A6156E" w:rsidP="00A6156E"/>
    <w:p w14:paraId="30E7C45D" w14:textId="77777777" w:rsidR="00BA6B39" w:rsidRDefault="000053B7" w:rsidP="000053B7">
      <w:pPr>
        <w:pStyle w:val="Didascalia"/>
      </w:pPr>
      <w:bookmarkStart w:id="143" w:name="_Toc91081468"/>
      <w:r>
        <w:t xml:space="preserve">Tabella </w:t>
      </w:r>
      <w:r w:rsidR="004E6566">
        <w:fldChar w:fldCharType="begin"/>
      </w:r>
      <w:r>
        <w:instrText xml:space="preserve"> SEQ Tabella \* ARABIC </w:instrText>
      </w:r>
      <w:r w:rsidR="004E6566">
        <w:fldChar w:fldCharType="separate"/>
      </w:r>
      <w:r w:rsidR="00E53D6C">
        <w:rPr>
          <w:noProof/>
        </w:rPr>
        <w:t>42</w:t>
      </w:r>
      <w:r w:rsidR="004E6566">
        <w:fldChar w:fldCharType="end"/>
      </w:r>
      <w:r>
        <w:t xml:space="preserve">. </w:t>
      </w:r>
      <w:r w:rsidRPr="00014D96">
        <w:t>Raggruppamento bandi FSE</w:t>
      </w:r>
      <w:r>
        <w:t xml:space="preserve"> utilizzato nell’analisi del Capitolo 2</w:t>
      </w:r>
      <w:bookmarkEnd w:id="1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5806"/>
      </w:tblGrid>
      <w:tr w:rsidR="00BE19C0" w:rsidRPr="00CE6A10" w14:paraId="17331441" w14:textId="77777777" w:rsidTr="004242C0">
        <w:trPr>
          <w:trHeight w:val="300"/>
        </w:trPr>
        <w:tc>
          <w:tcPr>
            <w:tcW w:w="1985" w:type="pct"/>
            <w:shd w:val="clear" w:color="auto" w:fill="669748" w:themeFill="accent2" w:themeFillShade="BF"/>
            <w:vAlign w:val="bottom"/>
          </w:tcPr>
          <w:p w14:paraId="4664E054" w14:textId="77777777" w:rsidR="00BE19C0" w:rsidRPr="0064605D" w:rsidRDefault="00CE6A10" w:rsidP="002F0131">
            <w:pPr>
              <w:jc w:val="left"/>
              <w:rPr>
                <w:rFonts w:eastAsia="Times New Roman" w:cs="Calibri"/>
                <w:b/>
                <w:bCs/>
                <w:color w:val="FFFFFF" w:themeColor="background1"/>
                <w:sz w:val="20"/>
                <w:lang w:eastAsia="en-US"/>
              </w:rPr>
            </w:pPr>
            <w:r w:rsidRPr="0064605D">
              <w:rPr>
                <w:rFonts w:eastAsia="Times New Roman" w:cs="Calibri"/>
                <w:b/>
                <w:bCs/>
                <w:color w:val="FFFFFF" w:themeColor="background1"/>
                <w:sz w:val="20"/>
                <w:lang w:eastAsia="en-US"/>
              </w:rPr>
              <w:t>Intervento</w:t>
            </w:r>
          </w:p>
        </w:tc>
        <w:tc>
          <w:tcPr>
            <w:tcW w:w="3015" w:type="pct"/>
            <w:shd w:val="clear" w:color="auto" w:fill="669748" w:themeFill="accent2" w:themeFillShade="BF"/>
            <w:vAlign w:val="bottom"/>
          </w:tcPr>
          <w:p w14:paraId="26FEC75D" w14:textId="77777777" w:rsidR="00BE19C0" w:rsidRPr="00CE6A10" w:rsidRDefault="00CE6A10" w:rsidP="002F0131">
            <w:pPr>
              <w:jc w:val="left"/>
              <w:rPr>
                <w:rFonts w:eastAsia="Times New Roman" w:cs="Calibri"/>
                <w:b/>
                <w:bCs/>
                <w:color w:val="FFFFFF" w:themeColor="background1"/>
                <w:sz w:val="20"/>
                <w:lang w:eastAsia="en-US"/>
              </w:rPr>
            </w:pPr>
            <w:r w:rsidRPr="00CE6A10">
              <w:rPr>
                <w:rFonts w:eastAsia="Times New Roman" w:cs="Calibri"/>
                <w:b/>
                <w:bCs/>
                <w:color w:val="FFFFFF" w:themeColor="background1"/>
                <w:sz w:val="20"/>
                <w:lang w:eastAsia="en-US"/>
              </w:rPr>
              <w:t>Raggruppamento</w:t>
            </w:r>
          </w:p>
        </w:tc>
      </w:tr>
      <w:tr w:rsidR="0064605D" w:rsidRPr="00CE6A10" w14:paraId="21AC11B7" w14:textId="77777777" w:rsidTr="004242C0">
        <w:trPr>
          <w:trHeight w:val="300"/>
        </w:trPr>
        <w:tc>
          <w:tcPr>
            <w:tcW w:w="1985" w:type="pct"/>
            <w:shd w:val="clear" w:color="auto" w:fill="E4E3E2" w:themeFill="background2"/>
            <w:vAlign w:val="bottom"/>
          </w:tcPr>
          <w:p w14:paraId="1D9CB072" w14:textId="77777777" w:rsidR="0064605D" w:rsidRPr="0064605D" w:rsidRDefault="0064605D" w:rsidP="002F0131">
            <w:pPr>
              <w:jc w:val="left"/>
              <w:rPr>
                <w:rFonts w:eastAsia="Times New Roman" w:cs="Calibri"/>
                <w:b/>
                <w:bCs/>
                <w:sz w:val="20"/>
                <w:lang w:eastAsia="en-US"/>
              </w:rPr>
            </w:pPr>
            <w:r w:rsidRPr="0064605D">
              <w:rPr>
                <w:rFonts w:eastAsia="Times New Roman" w:cs="Calibri"/>
                <w:b/>
                <w:bCs/>
                <w:sz w:val="20"/>
                <w:lang w:eastAsia="en-US"/>
              </w:rPr>
              <w:t>AREA SOCIO-ECONOMICA</w:t>
            </w:r>
          </w:p>
        </w:tc>
        <w:tc>
          <w:tcPr>
            <w:tcW w:w="3015" w:type="pct"/>
            <w:shd w:val="clear" w:color="auto" w:fill="E4E3E2" w:themeFill="background2"/>
            <w:vAlign w:val="bottom"/>
          </w:tcPr>
          <w:p w14:paraId="1F29CD0C" w14:textId="77777777" w:rsidR="0064605D" w:rsidRPr="00CE6A10" w:rsidRDefault="0064605D" w:rsidP="002F0131">
            <w:pPr>
              <w:jc w:val="left"/>
              <w:rPr>
                <w:rFonts w:eastAsia="Times New Roman" w:cs="Calibri"/>
                <w:b/>
                <w:bCs/>
                <w:color w:val="FFFFFF" w:themeColor="background1"/>
                <w:sz w:val="20"/>
                <w:lang w:eastAsia="en-US"/>
              </w:rPr>
            </w:pPr>
          </w:p>
        </w:tc>
      </w:tr>
      <w:tr w:rsidR="00DD4F55" w:rsidRPr="00CE6A10" w14:paraId="7D2FDDE9" w14:textId="77777777" w:rsidTr="004242C0">
        <w:trPr>
          <w:trHeight w:val="300"/>
        </w:trPr>
        <w:tc>
          <w:tcPr>
            <w:tcW w:w="1985" w:type="pct"/>
            <w:vAlign w:val="bottom"/>
          </w:tcPr>
          <w:p w14:paraId="6130507A" w14:textId="77777777" w:rsidR="00DD4F55" w:rsidRPr="00CE6A10" w:rsidRDefault="00DD4F55"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Formazione continua progetti aziendali</w:t>
            </w:r>
          </w:p>
        </w:tc>
        <w:tc>
          <w:tcPr>
            <w:tcW w:w="3015" w:type="pct"/>
            <w:shd w:val="clear" w:color="auto" w:fill="auto"/>
            <w:vAlign w:val="bottom"/>
            <w:hideMark/>
          </w:tcPr>
          <w:p w14:paraId="158C3E9A"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 xml:space="preserve">Formazione continua fase IV progetti aziendali- </w:t>
            </w:r>
            <w:proofErr w:type="spellStart"/>
            <w:r w:rsidRPr="00CE6A10">
              <w:rPr>
                <w:rFonts w:eastAsia="Times New Roman" w:cs="Calibri"/>
                <w:color w:val="000000"/>
                <w:sz w:val="20"/>
                <w:lang w:eastAsia="en-US"/>
              </w:rPr>
              <w:t>bn</w:t>
            </w:r>
            <w:proofErr w:type="spellEnd"/>
            <w:r w:rsidRPr="00CE6A10">
              <w:rPr>
                <w:rFonts w:eastAsia="Times New Roman" w:cs="Calibri"/>
                <w:color w:val="000000"/>
                <w:sz w:val="20"/>
                <w:lang w:eastAsia="en-US"/>
              </w:rPr>
              <w:t xml:space="preserve"> 322</w:t>
            </w:r>
          </w:p>
          <w:p w14:paraId="404A4B19"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 xml:space="preserve">Formazione Continua V aziendali </w:t>
            </w:r>
            <w:proofErr w:type="spellStart"/>
            <w:r w:rsidRPr="00CE6A10">
              <w:rPr>
                <w:rFonts w:eastAsia="Times New Roman" w:cs="Calibri"/>
                <w:color w:val="000000"/>
                <w:sz w:val="20"/>
                <w:lang w:eastAsia="en-US"/>
              </w:rPr>
              <w:t>bn</w:t>
            </w:r>
            <w:proofErr w:type="spellEnd"/>
            <w:r w:rsidRPr="00CE6A10">
              <w:rPr>
                <w:rFonts w:eastAsia="Times New Roman" w:cs="Calibri"/>
                <w:color w:val="000000"/>
                <w:sz w:val="20"/>
                <w:lang w:eastAsia="en-US"/>
              </w:rPr>
              <w:t xml:space="preserve"> 2782</w:t>
            </w:r>
          </w:p>
        </w:tc>
      </w:tr>
      <w:tr w:rsidR="00DD4F55" w:rsidRPr="00CE6A10" w14:paraId="1693ABAC" w14:textId="77777777" w:rsidTr="004242C0">
        <w:trPr>
          <w:trHeight w:val="540"/>
        </w:trPr>
        <w:tc>
          <w:tcPr>
            <w:tcW w:w="1985" w:type="pct"/>
            <w:vAlign w:val="bottom"/>
          </w:tcPr>
          <w:p w14:paraId="30614010" w14:textId="77777777" w:rsidR="00DD4F55" w:rsidRPr="00CE6A10" w:rsidRDefault="00BE19C0"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Formazione continua progetti interaziendali</w:t>
            </w:r>
          </w:p>
        </w:tc>
        <w:tc>
          <w:tcPr>
            <w:tcW w:w="3015" w:type="pct"/>
            <w:shd w:val="clear" w:color="auto" w:fill="auto"/>
            <w:vAlign w:val="bottom"/>
            <w:hideMark/>
          </w:tcPr>
          <w:p w14:paraId="1DE36893"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 xml:space="preserve">Formazione continua fase IV Progetti strategici regionali e reti - </w:t>
            </w:r>
            <w:proofErr w:type="spellStart"/>
            <w:r w:rsidRPr="00CE6A10">
              <w:rPr>
                <w:rFonts w:eastAsia="Times New Roman" w:cs="Calibri"/>
                <w:color w:val="000000"/>
                <w:sz w:val="20"/>
                <w:lang w:eastAsia="en-US"/>
              </w:rPr>
              <w:t>bn</w:t>
            </w:r>
            <w:proofErr w:type="spellEnd"/>
            <w:r w:rsidRPr="00CE6A10">
              <w:rPr>
                <w:rFonts w:eastAsia="Times New Roman" w:cs="Calibri"/>
                <w:color w:val="000000"/>
                <w:sz w:val="20"/>
                <w:lang w:eastAsia="en-US"/>
              </w:rPr>
              <w:t xml:space="preserve"> 323</w:t>
            </w:r>
          </w:p>
          <w:p w14:paraId="382FA32C"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 xml:space="preserve">Formazione Continua V strategici </w:t>
            </w:r>
            <w:proofErr w:type="spellStart"/>
            <w:r w:rsidRPr="00CE6A10">
              <w:rPr>
                <w:rFonts w:eastAsia="Times New Roman" w:cs="Calibri"/>
                <w:color w:val="000000"/>
                <w:sz w:val="20"/>
                <w:lang w:eastAsia="en-US"/>
              </w:rPr>
              <w:t>bn</w:t>
            </w:r>
            <w:proofErr w:type="spellEnd"/>
            <w:r w:rsidRPr="00CE6A10">
              <w:rPr>
                <w:rFonts w:eastAsia="Times New Roman" w:cs="Calibri"/>
                <w:color w:val="000000"/>
                <w:sz w:val="20"/>
                <w:lang w:eastAsia="en-US"/>
              </w:rPr>
              <w:t xml:space="preserve"> 2784</w:t>
            </w:r>
          </w:p>
        </w:tc>
      </w:tr>
      <w:tr w:rsidR="00DD4F55" w:rsidRPr="00CE6A10" w14:paraId="3F8DFFFB" w14:textId="77777777" w:rsidTr="004242C0">
        <w:trPr>
          <w:trHeight w:val="540"/>
        </w:trPr>
        <w:tc>
          <w:tcPr>
            <w:tcW w:w="1985" w:type="pct"/>
            <w:vAlign w:val="bottom"/>
          </w:tcPr>
          <w:p w14:paraId="3A2DB369" w14:textId="77777777" w:rsidR="00DD4F55" w:rsidRPr="00CE6A10" w:rsidRDefault="00BE19C0"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Formazione continua progetti strategici regionali</w:t>
            </w:r>
          </w:p>
        </w:tc>
        <w:tc>
          <w:tcPr>
            <w:tcW w:w="3015" w:type="pct"/>
            <w:shd w:val="clear" w:color="auto" w:fill="auto"/>
            <w:vAlign w:val="bottom"/>
            <w:hideMark/>
          </w:tcPr>
          <w:p w14:paraId="06489964"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 xml:space="preserve">Formazione continua fase IV Progetti Interaziendali - </w:t>
            </w:r>
            <w:proofErr w:type="spellStart"/>
            <w:r w:rsidRPr="00CE6A10">
              <w:rPr>
                <w:rFonts w:eastAsia="Times New Roman" w:cs="Calibri"/>
                <w:color w:val="000000"/>
                <w:sz w:val="20"/>
                <w:lang w:eastAsia="en-US"/>
              </w:rPr>
              <w:t>bn</w:t>
            </w:r>
            <w:proofErr w:type="spellEnd"/>
            <w:r w:rsidRPr="00CE6A10">
              <w:rPr>
                <w:rFonts w:eastAsia="Times New Roman" w:cs="Calibri"/>
                <w:color w:val="000000"/>
                <w:sz w:val="20"/>
                <w:lang w:eastAsia="en-US"/>
              </w:rPr>
              <w:t xml:space="preserve"> 342</w:t>
            </w:r>
          </w:p>
          <w:p w14:paraId="2A31476E"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 xml:space="preserve">Formazione Continua V strategici </w:t>
            </w:r>
            <w:proofErr w:type="spellStart"/>
            <w:r w:rsidRPr="00CE6A10">
              <w:rPr>
                <w:rFonts w:eastAsia="Times New Roman" w:cs="Calibri"/>
                <w:color w:val="000000"/>
                <w:sz w:val="20"/>
                <w:lang w:eastAsia="en-US"/>
              </w:rPr>
              <w:t>bn</w:t>
            </w:r>
            <w:proofErr w:type="spellEnd"/>
            <w:r w:rsidRPr="00CE6A10">
              <w:rPr>
                <w:rFonts w:eastAsia="Times New Roman" w:cs="Calibri"/>
                <w:color w:val="000000"/>
                <w:sz w:val="20"/>
                <w:lang w:eastAsia="en-US"/>
              </w:rPr>
              <w:t xml:space="preserve"> 2784</w:t>
            </w:r>
          </w:p>
        </w:tc>
      </w:tr>
      <w:tr w:rsidR="00DD4F55" w:rsidRPr="00CE6A10" w14:paraId="0D6C2583" w14:textId="77777777" w:rsidTr="004242C0">
        <w:trPr>
          <w:trHeight w:val="1740"/>
        </w:trPr>
        <w:tc>
          <w:tcPr>
            <w:tcW w:w="1985" w:type="pct"/>
            <w:vAlign w:val="bottom"/>
          </w:tcPr>
          <w:p w14:paraId="45A222CA" w14:textId="77777777" w:rsidR="00DD4F55" w:rsidRPr="00CE6A10" w:rsidRDefault="00BE19C0"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FINANZIAMENTO DI PROGETTI PER IL CONSOLIDAMENTO DEGLI INTERVENTI DI ACCOMPAGNAMENTO ALL’INCLUSIONE SOCIO LAVORATIVA DELLE PERSONE SOTTOPOSTE A PROVVEDIMENTI DELL’AUTORITA’ GIUDIZIARIA</w:t>
            </w:r>
          </w:p>
        </w:tc>
        <w:tc>
          <w:tcPr>
            <w:tcW w:w="3015" w:type="pct"/>
            <w:shd w:val="clear" w:color="auto" w:fill="auto"/>
            <w:vAlign w:val="bottom"/>
            <w:hideMark/>
          </w:tcPr>
          <w:p w14:paraId="781D7AB8"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POR FSE 2014-2020: Avviso pubblico per lo sviluppo di interventi di accompagnamento all'inclusione socio lavorativa delle persone sottoposte a provvedimenti dell'autorità giudiziaria (minori e adulti).</w:t>
            </w:r>
            <w:r w:rsidR="00475B79">
              <w:rPr>
                <w:rFonts w:eastAsia="Times New Roman" w:cs="Calibri"/>
                <w:color w:val="000000"/>
                <w:sz w:val="20"/>
                <w:lang w:eastAsia="en-US"/>
              </w:rPr>
              <w:t xml:space="preserve"> </w:t>
            </w:r>
            <w:r w:rsidRPr="00CE6A10">
              <w:rPr>
                <w:rFonts w:eastAsia="Times New Roman" w:cs="Calibri"/>
                <w:color w:val="000000"/>
                <w:sz w:val="20"/>
                <w:lang w:eastAsia="en-US"/>
              </w:rPr>
              <w:t xml:space="preserve">Aggiornato 30/03/2020 </w:t>
            </w:r>
          </w:p>
          <w:p w14:paraId="1DF9CECB"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POR FSE 2014-2020: Avviso pubblico per il completamento territoriale dello sviluppo di interventi di accompagnamento all'inclusione socio lavorativa delle persone sottoposte a provvedimenti dell'autorità giudiziaria (minori e adulti)</w:t>
            </w:r>
          </w:p>
          <w:p w14:paraId="137F1598"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FINANZIAMENTO DI PROGETTI PER IL CONSOLIDAMENTO DEGLI INTERVENTI DI ACCOMPAGNAMENTO ALL’INCLUSIONE SOCIO LAVORATIVA DELLE PERSONE SOTTOPOSTE A PROVVEDIMENTI DELL’AUTORITA’ GIUDIZIARIA</w:t>
            </w:r>
          </w:p>
        </w:tc>
      </w:tr>
      <w:tr w:rsidR="00DD4F55" w:rsidRPr="00CE6A10" w14:paraId="7849BE5A" w14:textId="77777777" w:rsidTr="004242C0">
        <w:trPr>
          <w:trHeight w:val="1260"/>
        </w:trPr>
        <w:tc>
          <w:tcPr>
            <w:tcW w:w="1985" w:type="pct"/>
            <w:vAlign w:val="bottom"/>
          </w:tcPr>
          <w:p w14:paraId="08E7DC66" w14:textId="77777777" w:rsidR="00DD4F55" w:rsidRPr="00CE6A10" w:rsidRDefault="00BE19C0"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Finanziamento di progetti per il potenziamento dell'offerta di servizi per l'infanzia e l'adolescenza a supporto della conciliazione vita-lavoro</w:t>
            </w:r>
          </w:p>
        </w:tc>
        <w:tc>
          <w:tcPr>
            <w:tcW w:w="3015" w:type="pct"/>
            <w:shd w:val="clear" w:color="auto" w:fill="auto"/>
            <w:vAlign w:val="bottom"/>
            <w:hideMark/>
          </w:tcPr>
          <w:p w14:paraId="41FEE54F"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POR FSE 2014-2020: Avviso pubblico per il finanziamento di progetti per il potenziamento dell'offerta di servizi per l'infanzia e l'adolescenza a supporto della conciliazione vita-lavoro per le annualità 2017-2018</w:t>
            </w:r>
          </w:p>
          <w:p w14:paraId="6AAFE0A3"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POR FSE 2014-2020: Avviso pubblico per il finanziamento di progetti per il potenziamento dell'offerta di servizi per l'infanzia e l'adolescenza a supporto della conciliazione vita-lavoro per le annualità 2018-2019 nelle aree interne lombarde</w:t>
            </w:r>
          </w:p>
        </w:tc>
      </w:tr>
      <w:tr w:rsidR="00DD4F55" w:rsidRPr="00CE6A10" w14:paraId="2B1860C7" w14:textId="77777777" w:rsidTr="004242C0">
        <w:trPr>
          <w:trHeight w:val="300"/>
        </w:trPr>
        <w:tc>
          <w:tcPr>
            <w:tcW w:w="1985" w:type="pct"/>
            <w:vAlign w:val="bottom"/>
          </w:tcPr>
          <w:p w14:paraId="40188D8A" w14:textId="77777777" w:rsidR="00DD4F55" w:rsidRPr="00CE6A10" w:rsidRDefault="00BE19C0"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Laboratori Sociali</w:t>
            </w:r>
          </w:p>
        </w:tc>
        <w:tc>
          <w:tcPr>
            <w:tcW w:w="3015" w:type="pct"/>
            <w:shd w:val="clear" w:color="auto" w:fill="auto"/>
            <w:vAlign w:val="bottom"/>
            <w:hideMark/>
          </w:tcPr>
          <w:p w14:paraId="08FAB0F1"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GARA AT Bollate Laboratori Sociali 5242</w:t>
            </w:r>
          </w:p>
          <w:p w14:paraId="1462BDCF"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GARA AT Milano laboratori sociali 5262</w:t>
            </w:r>
          </w:p>
        </w:tc>
      </w:tr>
      <w:tr w:rsidR="00DD4F55" w:rsidRPr="00CE6A10" w14:paraId="6FD87884" w14:textId="77777777" w:rsidTr="004242C0">
        <w:trPr>
          <w:trHeight w:val="1500"/>
        </w:trPr>
        <w:tc>
          <w:tcPr>
            <w:tcW w:w="1985" w:type="pct"/>
            <w:vAlign w:val="bottom"/>
          </w:tcPr>
          <w:p w14:paraId="61457D12" w14:textId="77777777" w:rsidR="00DD4F55" w:rsidRPr="00CE6A10" w:rsidRDefault="00BE19C0"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Misura Nidi Gratis</w:t>
            </w:r>
          </w:p>
        </w:tc>
        <w:tc>
          <w:tcPr>
            <w:tcW w:w="3015" w:type="pct"/>
            <w:shd w:val="clear" w:color="auto" w:fill="auto"/>
            <w:vAlign w:val="bottom"/>
            <w:hideMark/>
          </w:tcPr>
          <w:p w14:paraId="41DC0005"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 xml:space="preserve">Nidi gratis 2017 Rendicontazione Comuni </w:t>
            </w:r>
            <w:proofErr w:type="spellStart"/>
            <w:r w:rsidRPr="00CE6A10">
              <w:rPr>
                <w:rFonts w:eastAsia="Times New Roman" w:cs="Calibri"/>
                <w:color w:val="000000"/>
                <w:sz w:val="20"/>
                <w:lang w:eastAsia="en-US"/>
              </w:rPr>
              <w:t>Bn</w:t>
            </w:r>
            <w:proofErr w:type="spellEnd"/>
            <w:r w:rsidRPr="00CE6A10">
              <w:rPr>
                <w:rFonts w:eastAsia="Times New Roman" w:cs="Calibri"/>
                <w:color w:val="000000"/>
                <w:sz w:val="20"/>
                <w:lang w:eastAsia="en-US"/>
              </w:rPr>
              <w:t xml:space="preserve"> 3702</w:t>
            </w:r>
          </w:p>
          <w:p w14:paraId="2FF9898C" w14:textId="77777777" w:rsidR="00DD4F55" w:rsidRPr="00CE6A10" w:rsidRDefault="00DD4F55" w:rsidP="0038676D">
            <w:pPr>
              <w:pStyle w:val="Paragrafoelenco"/>
              <w:numPr>
                <w:ilvl w:val="0"/>
                <w:numId w:val="16"/>
              </w:numPr>
              <w:jc w:val="left"/>
              <w:rPr>
                <w:rFonts w:eastAsia="Times New Roman" w:cs="Calibri"/>
                <w:color w:val="000000"/>
                <w:sz w:val="20"/>
                <w:lang w:val="en-US" w:eastAsia="en-US"/>
              </w:rPr>
            </w:pPr>
            <w:r w:rsidRPr="00CE6A10">
              <w:rPr>
                <w:rFonts w:eastAsia="Times New Roman" w:cs="Calibri"/>
                <w:color w:val="000000"/>
                <w:sz w:val="20"/>
                <w:lang w:eastAsia="en-US"/>
              </w:rPr>
              <w:t>POR FSE 2014-2020: Manifestazione di interesse dei Comuni Nidi Gratis 2018/2019 08.08.2018. Pubblicato l'elenco dei Comuni ammessi. Aggiornato il 14 ottobre 2019</w:t>
            </w:r>
          </w:p>
          <w:p w14:paraId="131E8F83"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 xml:space="preserve">POR FSE 2014/2020 Avviso per l'adesione dei comuni alla misura Nidi Gratis 2019 - 2020 in attuazione </w:t>
            </w:r>
            <w:proofErr w:type="spellStart"/>
            <w:r w:rsidRPr="00CE6A10">
              <w:rPr>
                <w:rFonts w:eastAsia="Times New Roman" w:cs="Calibri"/>
                <w:color w:val="000000"/>
                <w:sz w:val="20"/>
                <w:lang w:eastAsia="en-US"/>
              </w:rPr>
              <w:t>Dgr</w:t>
            </w:r>
            <w:proofErr w:type="spellEnd"/>
            <w:r w:rsidRPr="00CE6A10">
              <w:rPr>
                <w:rFonts w:eastAsia="Times New Roman" w:cs="Calibri"/>
                <w:color w:val="000000"/>
                <w:sz w:val="20"/>
                <w:lang w:eastAsia="en-US"/>
              </w:rPr>
              <w:t xml:space="preserve"> 1668 del 27/5/2019. Aggiornato al 22/05/2020</w:t>
            </w:r>
          </w:p>
          <w:p w14:paraId="16744B4A"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 xml:space="preserve">POR FSE 2014/2020 Avviso per l'adesione dei comuni alla misura Nidi Gratis 2019 - 2020 in attuazione </w:t>
            </w:r>
            <w:proofErr w:type="spellStart"/>
            <w:r w:rsidRPr="00CE6A10">
              <w:rPr>
                <w:rFonts w:eastAsia="Times New Roman" w:cs="Calibri"/>
                <w:color w:val="000000"/>
                <w:sz w:val="20"/>
                <w:lang w:eastAsia="en-US"/>
              </w:rPr>
              <w:t>Dgr</w:t>
            </w:r>
            <w:proofErr w:type="spellEnd"/>
            <w:r w:rsidRPr="00CE6A10">
              <w:rPr>
                <w:rFonts w:eastAsia="Times New Roman" w:cs="Calibri"/>
                <w:color w:val="000000"/>
                <w:sz w:val="20"/>
                <w:lang w:eastAsia="en-US"/>
              </w:rPr>
              <w:t xml:space="preserve"> 1668 del 27/5/2019. Aggiornato al 22/05/2020</w:t>
            </w:r>
          </w:p>
          <w:p w14:paraId="0679204A"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Misura Nidi Gratis - Bonus 2020-2021 Adesione delle famiglie</w:t>
            </w:r>
          </w:p>
        </w:tc>
      </w:tr>
      <w:tr w:rsidR="00DD4F55" w:rsidRPr="00CE6A10" w14:paraId="41ABCAA7" w14:textId="77777777" w:rsidTr="004242C0">
        <w:trPr>
          <w:trHeight w:val="566"/>
        </w:trPr>
        <w:tc>
          <w:tcPr>
            <w:tcW w:w="1985" w:type="pct"/>
            <w:vAlign w:val="bottom"/>
          </w:tcPr>
          <w:p w14:paraId="5E9464A6" w14:textId="77777777" w:rsidR="00DD4F55" w:rsidRPr="00CE6A10" w:rsidRDefault="00BE19C0"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Percorsi di inclusione sociale a favore di giovani e persone con problemi di abuso a grave rischio di marginalità e successivi</w:t>
            </w:r>
          </w:p>
        </w:tc>
        <w:tc>
          <w:tcPr>
            <w:tcW w:w="3015" w:type="pct"/>
            <w:shd w:val="clear" w:color="auto" w:fill="auto"/>
            <w:vAlign w:val="bottom"/>
            <w:hideMark/>
          </w:tcPr>
          <w:p w14:paraId="7DE62884"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 xml:space="preserve">Giovani e persone in situazioni di grave marginalità fase 1 - </w:t>
            </w:r>
            <w:proofErr w:type="spellStart"/>
            <w:r w:rsidRPr="00CE6A10">
              <w:rPr>
                <w:rFonts w:eastAsia="Times New Roman" w:cs="Calibri"/>
                <w:color w:val="000000"/>
                <w:sz w:val="20"/>
                <w:lang w:eastAsia="en-US"/>
              </w:rPr>
              <w:t>Bn</w:t>
            </w:r>
            <w:proofErr w:type="spellEnd"/>
            <w:r w:rsidRPr="00CE6A10">
              <w:rPr>
                <w:rFonts w:eastAsia="Times New Roman" w:cs="Calibri"/>
                <w:color w:val="000000"/>
                <w:sz w:val="20"/>
                <w:lang w:eastAsia="en-US"/>
              </w:rPr>
              <w:t xml:space="preserve"> 326</w:t>
            </w:r>
          </w:p>
          <w:p w14:paraId="01AD4598"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POR FSE 2014-2020: Avviso pubblico per il completamento territoriale dei percorsi di inclusione sociale a favore di giovani e persone con problemi di abuso a grave rischio di marginalità e successivi</w:t>
            </w:r>
          </w:p>
          <w:p w14:paraId="6F539296" w14:textId="77777777" w:rsidR="00DD4F55"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 xml:space="preserve">POR FSE 2014-2020: Approvazione, ai sensi della </w:t>
            </w:r>
            <w:proofErr w:type="spellStart"/>
            <w:r w:rsidRPr="00CE6A10">
              <w:rPr>
                <w:rFonts w:eastAsia="Times New Roman" w:cs="Calibri"/>
                <w:color w:val="000000"/>
                <w:sz w:val="20"/>
                <w:lang w:eastAsia="en-US"/>
              </w:rPr>
              <w:t>d.g.r</w:t>
            </w:r>
            <w:proofErr w:type="spellEnd"/>
            <w:r w:rsidRPr="00CE6A10">
              <w:rPr>
                <w:rFonts w:eastAsia="Times New Roman" w:cs="Calibri"/>
                <w:color w:val="000000"/>
                <w:sz w:val="20"/>
                <w:lang w:eastAsia="en-US"/>
              </w:rPr>
              <w:t>. 6343/2017, dell'Avviso pubblico per implementare e modellizzare percorsi di inclusione sociale a favore di giovani e adulti a grave rischio di marginalità, anche con problemi di abuso</w:t>
            </w:r>
          </w:p>
          <w:p w14:paraId="742B7170" w14:textId="77777777" w:rsidR="003F2660" w:rsidRPr="00CE6A10" w:rsidRDefault="00DD4F55" w:rsidP="0038676D">
            <w:pPr>
              <w:pStyle w:val="Paragrafoelenco"/>
              <w:numPr>
                <w:ilvl w:val="0"/>
                <w:numId w:val="16"/>
              </w:numPr>
              <w:jc w:val="left"/>
              <w:rPr>
                <w:rFonts w:eastAsia="Times New Roman" w:cs="Calibri"/>
                <w:color w:val="000000"/>
                <w:sz w:val="20"/>
                <w:lang w:eastAsia="en-US"/>
              </w:rPr>
            </w:pPr>
            <w:r w:rsidRPr="00CE6A10">
              <w:rPr>
                <w:rFonts w:eastAsia="Times New Roman" w:cs="Calibri"/>
                <w:color w:val="000000"/>
                <w:sz w:val="20"/>
                <w:lang w:eastAsia="en-US"/>
              </w:rPr>
              <w:t xml:space="preserve">POR FSE 2014-2020: Finanziamento di progetti per il consolidamento di percorsi di inclusione sociale a favore di </w:t>
            </w:r>
            <w:r w:rsidR="003F2660">
              <w:rPr>
                <w:rFonts w:eastAsia="Times New Roman" w:cs="Calibri"/>
                <w:color w:val="000000"/>
                <w:sz w:val="20"/>
                <w:lang w:eastAsia="en-US"/>
              </w:rPr>
              <w:t>persone, giovani e adulte, a grave rischio di marginalità. Decreto 2554 del 26/02/2018. Aggiorn</w:t>
            </w:r>
            <w:r w:rsidR="00931EBF">
              <w:rPr>
                <w:rFonts w:eastAsia="Times New Roman" w:cs="Calibri"/>
                <w:color w:val="000000"/>
                <w:sz w:val="20"/>
                <w:lang w:eastAsia="en-US"/>
              </w:rPr>
              <w:t>ato</w:t>
            </w:r>
            <w:r w:rsidR="003F2660">
              <w:rPr>
                <w:rFonts w:eastAsia="Times New Roman" w:cs="Calibri"/>
                <w:color w:val="000000"/>
                <w:sz w:val="20"/>
                <w:lang w:eastAsia="en-US"/>
              </w:rPr>
              <w:t xml:space="preserve"> </w:t>
            </w:r>
            <w:r w:rsidR="00931EBF">
              <w:rPr>
                <w:rFonts w:eastAsia="Times New Roman" w:cs="Calibri"/>
                <w:color w:val="000000"/>
                <w:sz w:val="20"/>
                <w:lang w:eastAsia="en-US"/>
              </w:rPr>
              <w:t>al</w:t>
            </w:r>
            <w:r w:rsidR="003F2660">
              <w:rPr>
                <w:rFonts w:eastAsia="Times New Roman" w:cs="Calibri"/>
                <w:color w:val="000000"/>
                <w:sz w:val="20"/>
                <w:lang w:eastAsia="en-US"/>
              </w:rPr>
              <w:t xml:space="preserve"> 30/03/2020</w:t>
            </w:r>
          </w:p>
        </w:tc>
      </w:tr>
      <w:tr w:rsidR="00DD4F55" w:rsidRPr="00CE6A10" w14:paraId="39EF82CC" w14:textId="77777777" w:rsidTr="004242C0">
        <w:trPr>
          <w:trHeight w:val="300"/>
        </w:trPr>
        <w:tc>
          <w:tcPr>
            <w:tcW w:w="1985" w:type="pct"/>
            <w:vAlign w:val="bottom"/>
          </w:tcPr>
          <w:p w14:paraId="768A30F9" w14:textId="77777777" w:rsidR="00DD4F55" w:rsidRPr="00CE6A10" w:rsidRDefault="00BE19C0"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PPD I anni</w:t>
            </w:r>
          </w:p>
        </w:tc>
        <w:tc>
          <w:tcPr>
            <w:tcW w:w="3015" w:type="pct"/>
            <w:shd w:val="clear" w:color="auto" w:fill="auto"/>
            <w:vAlign w:val="bottom"/>
            <w:hideMark/>
          </w:tcPr>
          <w:p w14:paraId="2E85A529" w14:textId="77777777" w:rsidR="00BE19C0" w:rsidRPr="00CE6A10" w:rsidRDefault="00DD4F55" w:rsidP="0038676D">
            <w:pPr>
              <w:pStyle w:val="Paragrafoelenco"/>
              <w:numPr>
                <w:ilvl w:val="0"/>
                <w:numId w:val="17"/>
              </w:numPr>
              <w:jc w:val="left"/>
              <w:rPr>
                <w:rFonts w:eastAsia="Times New Roman" w:cs="Calibri"/>
                <w:color w:val="000000"/>
                <w:sz w:val="20"/>
                <w:lang w:eastAsia="en-US"/>
              </w:rPr>
            </w:pPr>
            <w:r w:rsidRPr="00CE6A10">
              <w:rPr>
                <w:rFonts w:eastAsia="Times New Roman" w:cs="Calibri"/>
                <w:color w:val="000000"/>
                <w:sz w:val="20"/>
                <w:lang w:eastAsia="en-US"/>
              </w:rPr>
              <w:t>PPD II anni</w:t>
            </w:r>
          </w:p>
          <w:p w14:paraId="581DF487" w14:textId="77777777" w:rsidR="00BE19C0" w:rsidRPr="00CE6A10" w:rsidRDefault="00DD4F55" w:rsidP="0038676D">
            <w:pPr>
              <w:pStyle w:val="Paragrafoelenco"/>
              <w:numPr>
                <w:ilvl w:val="0"/>
                <w:numId w:val="17"/>
              </w:numPr>
              <w:jc w:val="left"/>
              <w:rPr>
                <w:rFonts w:eastAsia="Times New Roman" w:cs="Calibri"/>
                <w:color w:val="000000"/>
                <w:sz w:val="20"/>
                <w:lang w:eastAsia="en-US"/>
              </w:rPr>
            </w:pPr>
            <w:r w:rsidRPr="00CE6A10">
              <w:rPr>
                <w:rFonts w:eastAsia="Times New Roman" w:cs="Calibri"/>
                <w:color w:val="000000"/>
                <w:sz w:val="20"/>
                <w:lang w:eastAsia="en-US"/>
              </w:rPr>
              <w:t>PPD 2016 II Anni</w:t>
            </w:r>
          </w:p>
          <w:p w14:paraId="103AC8B2" w14:textId="77777777" w:rsidR="00BE19C0" w:rsidRPr="00CE6A10" w:rsidRDefault="00DD4F55" w:rsidP="0038676D">
            <w:pPr>
              <w:pStyle w:val="Paragrafoelenco"/>
              <w:numPr>
                <w:ilvl w:val="0"/>
                <w:numId w:val="17"/>
              </w:numPr>
              <w:jc w:val="left"/>
              <w:rPr>
                <w:rFonts w:eastAsia="Times New Roman" w:cs="Calibri"/>
                <w:color w:val="000000"/>
                <w:sz w:val="20"/>
                <w:lang w:eastAsia="en-US"/>
              </w:rPr>
            </w:pPr>
            <w:r w:rsidRPr="00CE6A10">
              <w:rPr>
                <w:rFonts w:eastAsia="Times New Roman" w:cs="Calibri"/>
                <w:color w:val="000000"/>
                <w:sz w:val="20"/>
                <w:lang w:eastAsia="en-US"/>
              </w:rPr>
              <w:t>PPD 2017 II Anni</w:t>
            </w:r>
          </w:p>
          <w:p w14:paraId="3A320C7C" w14:textId="77777777" w:rsidR="00BE19C0" w:rsidRPr="00CE6A10" w:rsidRDefault="00DD4F55" w:rsidP="0038676D">
            <w:pPr>
              <w:pStyle w:val="Paragrafoelenco"/>
              <w:numPr>
                <w:ilvl w:val="0"/>
                <w:numId w:val="17"/>
              </w:numPr>
              <w:jc w:val="left"/>
              <w:rPr>
                <w:rFonts w:eastAsia="Times New Roman" w:cs="Calibri"/>
                <w:color w:val="000000"/>
                <w:sz w:val="20"/>
                <w:lang w:eastAsia="en-US"/>
              </w:rPr>
            </w:pPr>
            <w:r w:rsidRPr="00CE6A10">
              <w:rPr>
                <w:rFonts w:eastAsia="Times New Roman" w:cs="Calibri"/>
                <w:color w:val="000000"/>
                <w:sz w:val="20"/>
                <w:lang w:eastAsia="en-US"/>
              </w:rPr>
              <w:t>PPD 2018 II Anni</w:t>
            </w:r>
          </w:p>
          <w:p w14:paraId="2D15D740" w14:textId="77777777" w:rsidR="00DD4F55" w:rsidRPr="00CE6A10" w:rsidRDefault="00DD4F55" w:rsidP="0038676D">
            <w:pPr>
              <w:pStyle w:val="Paragrafoelenco"/>
              <w:numPr>
                <w:ilvl w:val="0"/>
                <w:numId w:val="17"/>
              </w:numPr>
              <w:jc w:val="left"/>
              <w:rPr>
                <w:rFonts w:eastAsia="Times New Roman" w:cs="Calibri"/>
                <w:color w:val="000000"/>
                <w:sz w:val="20"/>
                <w:lang w:eastAsia="en-US"/>
              </w:rPr>
            </w:pPr>
            <w:r w:rsidRPr="00CE6A10">
              <w:rPr>
                <w:rFonts w:eastAsia="Times New Roman" w:cs="Calibri"/>
                <w:color w:val="000000"/>
                <w:sz w:val="20"/>
                <w:lang w:eastAsia="en-US"/>
              </w:rPr>
              <w:t>PPD 2019 II Anni</w:t>
            </w:r>
          </w:p>
        </w:tc>
      </w:tr>
      <w:tr w:rsidR="00DD4F55" w:rsidRPr="00CE6A10" w14:paraId="4EBA9CB8" w14:textId="77777777" w:rsidTr="004242C0">
        <w:trPr>
          <w:trHeight w:val="300"/>
        </w:trPr>
        <w:tc>
          <w:tcPr>
            <w:tcW w:w="1985" w:type="pct"/>
            <w:vAlign w:val="bottom"/>
          </w:tcPr>
          <w:p w14:paraId="3479B011" w14:textId="77777777" w:rsidR="00DD4F55" w:rsidRPr="00CE6A10" w:rsidRDefault="00BE19C0"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PPD II anni</w:t>
            </w:r>
          </w:p>
        </w:tc>
        <w:tc>
          <w:tcPr>
            <w:tcW w:w="3015" w:type="pct"/>
            <w:shd w:val="clear" w:color="auto" w:fill="auto"/>
            <w:vAlign w:val="bottom"/>
            <w:hideMark/>
          </w:tcPr>
          <w:p w14:paraId="3B643B7E" w14:textId="77777777" w:rsidR="00BE19C0" w:rsidRPr="00CE6A10" w:rsidRDefault="00DD4F55" w:rsidP="004242C0">
            <w:pPr>
              <w:pStyle w:val="Paragrafoelenco"/>
              <w:numPr>
                <w:ilvl w:val="0"/>
                <w:numId w:val="17"/>
              </w:numPr>
              <w:jc w:val="left"/>
              <w:rPr>
                <w:rFonts w:eastAsia="Times New Roman" w:cs="Calibri"/>
                <w:color w:val="000000"/>
                <w:sz w:val="20"/>
                <w:lang w:eastAsia="en-US"/>
              </w:rPr>
            </w:pPr>
            <w:r w:rsidRPr="00CE6A10">
              <w:rPr>
                <w:rFonts w:eastAsia="Times New Roman" w:cs="Calibri"/>
                <w:color w:val="000000"/>
                <w:sz w:val="20"/>
                <w:lang w:eastAsia="en-US"/>
              </w:rPr>
              <w:t>PPD 2018 I Anni</w:t>
            </w:r>
          </w:p>
          <w:p w14:paraId="0F4B16E9" w14:textId="510178DD" w:rsidR="00DD4F55" w:rsidRPr="00CE6A10" w:rsidRDefault="00DD4F55" w:rsidP="004242C0">
            <w:pPr>
              <w:pStyle w:val="Paragrafoelenco"/>
              <w:numPr>
                <w:ilvl w:val="0"/>
                <w:numId w:val="17"/>
              </w:numPr>
              <w:jc w:val="left"/>
              <w:rPr>
                <w:rFonts w:eastAsia="Times New Roman" w:cs="Calibri"/>
                <w:color w:val="000000"/>
                <w:sz w:val="20"/>
                <w:lang w:eastAsia="en-US"/>
              </w:rPr>
            </w:pPr>
            <w:r w:rsidRPr="00CE6A10">
              <w:rPr>
                <w:rFonts w:eastAsia="Times New Roman" w:cs="Calibri"/>
                <w:color w:val="000000"/>
                <w:sz w:val="20"/>
                <w:lang w:eastAsia="en-US"/>
              </w:rPr>
              <w:t>PPD 2017 I Anni</w:t>
            </w:r>
          </w:p>
        </w:tc>
      </w:tr>
      <w:tr w:rsidR="00DD4F55" w:rsidRPr="00CE6A10" w14:paraId="23A67883" w14:textId="77777777" w:rsidTr="004242C0">
        <w:trPr>
          <w:trHeight w:val="300"/>
        </w:trPr>
        <w:tc>
          <w:tcPr>
            <w:tcW w:w="1985" w:type="pct"/>
            <w:vAlign w:val="bottom"/>
          </w:tcPr>
          <w:p w14:paraId="681B21E6" w14:textId="77777777" w:rsidR="00DD4F55" w:rsidRPr="00CE6A10" w:rsidRDefault="00BE19C0"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PPD III anni</w:t>
            </w:r>
          </w:p>
        </w:tc>
        <w:tc>
          <w:tcPr>
            <w:tcW w:w="3015" w:type="pct"/>
            <w:shd w:val="clear" w:color="auto" w:fill="auto"/>
            <w:vAlign w:val="bottom"/>
            <w:hideMark/>
          </w:tcPr>
          <w:p w14:paraId="73F05356" w14:textId="77777777" w:rsidR="00BE19C0" w:rsidRPr="00CE6A10" w:rsidRDefault="00DD4F55" w:rsidP="0038676D">
            <w:pPr>
              <w:pStyle w:val="Paragrafoelenco"/>
              <w:numPr>
                <w:ilvl w:val="0"/>
                <w:numId w:val="19"/>
              </w:numPr>
              <w:jc w:val="left"/>
              <w:rPr>
                <w:rFonts w:eastAsia="Times New Roman" w:cs="Calibri"/>
                <w:color w:val="000000"/>
                <w:sz w:val="20"/>
                <w:lang w:eastAsia="en-US"/>
              </w:rPr>
            </w:pPr>
            <w:r w:rsidRPr="00CE6A10">
              <w:rPr>
                <w:rFonts w:eastAsia="Times New Roman" w:cs="Calibri"/>
                <w:color w:val="000000"/>
                <w:sz w:val="20"/>
                <w:lang w:eastAsia="en-US"/>
              </w:rPr>
              <w:t>PPD III anni</w:t>
            </w:r>
          </w:p>
          <w:p w14:paraId="65BA01D3" w14:textId="77777777" w:rsidR="00BE19C0" w:rsidRPr="00CE6A10" w:rsidRDefault="00DD4F55" w:rsidP="0038676D">
            <w:pPr>
              <w:pStyle w:val="Paragrafoelenco"/>
              <w:numPr>
                <w:ilvl w:val="0"/>
                <w:numId w:val="19"/>
              </w:numPr>
              <w:jc w:val="left"/>
              <w:rPr>
                <w:rFonts w:eastAsia="Times New Roman" w:cs="Calibri"/>
                <w:color w:val="000000"/>
                <w:sz w:val="20"/>
                <w:lang w:eastAsia="en-US"/>
              </w:rPr>
            </w:pPr>
            <w:r w:rsidRPr="00CE6A10">
              <w:rPr>
                <w:rFonts w:eastAsia="Times New Roman" w:cs="Calibri"/>
                <w:color w:val="000000"/>
                <w:sz w:val="20"/>
                <w:lang w:eastAsia="en-US"/>
              </w:rPr>
              <w:t>PPD 2016 III Anni</w:t>
            </w:r>
          </w:p>
          <w:p w14:paraId="2BE4F7F6" w14:textId="77777777" w:rsidR="00BE19C0" w:rsidRPr="00CE6A10" w:rsidRDefault="00DD4F55" w:rsidP="0038676D">
            <w:pPr>
              <w:pStyle w:val="Paragrafoelenco"/>
              <w:numPr>
                <w:ilvl w:val="0"/>
                <w:numId w:val="19"/>
              </w:numPr>
              <w:jc w:val="left"/>
              <w:rPr>
                <w:rFonts w:eastAsia="Times New Roman" w:cs="Calibri"/>
                <w:color w:val="000000"/>
                <w:sz w:val="20"/>
                <w:lang w:eastAsia="en-US"/>
              </w:rPr>
            </w:pPr>
            <w:r w:rsidRPr="00CE6A10">
              <w:rPr>
                <w:rFonts w:eastAsia="Times New Roman" w:cs="Calibri"/>
                <w:color w:val="000000"/>
                <w:sz w:val="20"/>
                <w:lang w:eastAsia="en-US"/>
              </w:rPr>
              <w:t>PPD 2017 III Anni</w:t>
            </w:r>
          </w:p>
          <w:p w14:paraId="0A0958F6" w14:textId="77777777" w:rsidR="00DD4F55" w:rsidRPr="00CE6A10" w:rsidRDefault="00DD4F55" w:rsidP="0038676D">
            <w:pPr>
              <w:pStyle w:val="Paragrafoelenco"/>
              <w:numPr>
                <w:ilvl w:val="0"/>
                <w:numId w:val="19"/>
              </w:numPr>
              <w:jc w:val="left"/>
              <w:rPr>
                <w:rFonts w:eastAsia="Times New Roman" w:cs="Calibri"/>
                <w:color w:val="000000"/>
                <w:sz w:val="20"/>
                <w:lang w:eastAsia="en-US"/>
              </w:rPr>
            </w:pPr>
            <w:r w:rsidRPr="00CE6A10">
              <w:rPr>
                <w:rFonts w:eastAsia="Times New Roman" w:cs="Calibri"/>
                <w:color w:val="000000"/>
                <w:sz w:val="20"/>
                <w:lang w:eastAsia="en-US"/>
              </w:rPr>
              <w:t>PPD 2018 III Anni</w:t>
            </w:r>
          </w:p>
        </w:tc>
      </w:tr>
      <w:tr w:rsidR="00DD4F55" w:rsidRPr="00CE6A10" w14:paraId="5EC24B5E" w14:textId="77777777" w:rsidTr="004242C0">
        <w:trPr>
          <w:trHeight w:val="540"/>
        </w:trPr>
        <w:tc>
          <w:tcPr>
            <w:tcW w:w="1985" w:type="pct"/>
            <w:vAlign w:val="bottom"/>
          </w:tcPr>
          <w:p w14:paraId="4469F455" w14:textId="77777777" w:rsidR="00DD4F55" w:rsidRPr="00CE6A10" w:rsidRDefault="00BE19C0"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Reddito Autonomia Anziani</w:t>
            </w:r>
          </w:p>
        </w:tc>
        <w:tc>
          <w:tcPr>
            <w:tcW w:w="3015" w:type="pct"/>
            <w:shd w:val="clear" w:color="auto" w:fill="auto"/>
            <w:vAlign w:val="bottom"/>
            <w:hideMark/>
          </w:tcPr>
          <w:p w14:paraId="2FCF4A4E" w14:textId="77777777" w:rsidR="00BE19C0" w:rsidRPr="00CE6A10" w:rsidRDefault="00DD4F55" w:rsidP="0038676D">
            <w:pPr>
              <w:pStyle w:val="Paragrafoelenco"/>
              <w:numPr>
                <w:ilvl w:val="0"/>
                <w:numId w:val="20"/>
              </w:numPr>
              <w:jc w:val="left"/>
              <w:rPr>
                <w:rFonts w:eastAsia="Times New Roman" w:cs="Calibri"/>
                <w:color w:val="000000"/>
                <w:sz w:val="20"/>
                <w:lang w:eastAsia="en-US"/>
              </w:rPr>
            </w:pPr>
            <w:r w:rsidRPr="00CE6A10">
              <w:rPr>
                <w:rFonts w:eastAsia="Times New Roman" w:cs="Calibri"/>
                <w:color w:val="000000"/>
                <w:sz w:val="20"/>
                <w:lang w:eastAsia="en-US"/>
              </w:rPr>
              <w:t xml:space="preserve">Reddito Autonomia Anziani </w:t>
            </w:r>
            <w:proofErr w:type="spellStart"/>
            <w:r w:rsidRPr="00CE6A10">
              <w:rPr>
                <w:rFonts w:eastAsia="Times New Roman" w:cs="Calibri"/>
                <w:color w:val="000000"/>
                <w:sz w:val="20"/>
                <w:lang w:eastAsia="en-US"/>
              </w:rPr>
              <w:t>Bn</w:t>
            </w:r>
            <w:proofErr w:type="spellEnd"/>
            <w:r w:rsidRPr="00CE6A10">
              <w:rPr>
                <w:rFonts w:eastAsia="Times New Roman" w:cs="Calibri"/>
                <w:color w:val="000000"/>
                <w:sz w:val="20"/>
                <w:lang w:eastAsia="en-US"/>
              </w:rPr>
              <w:t xml:space="preserve"> 2262</w:t>
            </w:r>
          </w:p>
          <w:p w14:paraId="3E625B9E" w14:textId="77777777" w:rsidR="00BE19C0" w:rsidRPr="00CE6A10" w:rsidRDefault="00DD4F55" w:rsidP="0038676D">
            <w:pPr>
              <w:pStyle w:val="Paragrafoelenco"/>
              <w:numPr>
                <w:ilvl w:val="0"/>
                <w:numId w:val="20"/>
              </w:numPr>
              <w:jc w:val="left"/>
              <w:rPr>
                <w:rFonts w:eastAsia="Times New Roman" w:cs="Calibri"/>
                <w:color w:val="000000"/>
                <w:sz w:val="20"/>
                <w:lang w:eastAsia="en-US"/>
              </w:rPr>
            </w:pPr>
            <w:r w:rsidRPr="00CE6A10">
              <w:rPr>
                <w:rFonts w:eastAsia="Times New Roman" w:cs="Calibri"/>
                <w:color w:val="000000"/>
                <w:sz w:val="20"/>
                <w:lang w:eastAsia="en-US"/>
              </w:rPr>
              <w:t xml:space="preserve">Reddito autonomia anziani - Ambito Milano </w:t>
            </w:r>
            <w:proofErr w:type="spellStart"/>
            <w:r w:rsidRPr="00CE6A10">
              <w:rPr>
                <w:rFonts w:eastAsia="Times New Roman" w:cs="Calibri"/>
                <w:color w:val="000000"/>
                <w:sz w:val="20"/>
                <w:lang w:eastAsia="en-US"/>
              </w:rPr>
              <w:t>bn</w:t>
            </w:r>
            <w:proofErr w:type="spellEnd"/>
            <w:r w:rsidRPr="00CE6A10">
              <w:rPr>
                <w:rFonts w:eastAsia="Times New Roman" w:cs="Calibri"/>
                <w:color w:val="000000"/>
                <w:sz w:val="20"/>
                <w:lang w:eastAsia="en-US"/>
              </w:rPr>
              <w:t xml:space="preserve"> 2342</w:t>
            </w:r>
          </w:p>
          <w:p w14:paraId="5E618899" w14:textId="77777777" w:rsidR="00DD4F55" w:rsidRPr="00CE6A10" w:rsidRDefault="00BE19C0" w:rsidP="0038676D">
            <w:pPr>
              <w:pStyle w:val="Paragrafoelenco"/>
              <w:numPr>
                <w:ilvl w:val="0"/>
                <w:numId w:val="20"/>
              </w:numPr>
              <w:jc w:val="left"/>
              <w:rPr>
                <w:rFonts w:eastAsia="Times New Roman" w:cs="Calibri"/>
                <w:color w:val="000000"/>
                <w:sz w:val="20"/>
                <w:lang w:eastAsia="en-US"/>
              </w:rPr>
            </w:pPr>
            <w:proofErr w:type="spellStart"/>
            <w:r w:rsidRPr="00CE6A10">
              <w:rPr>
                <w:rFonts w:eastAsia="Times New Roman" w:cs="Calibri"/>
                <w:color w:val="000000"/>
                <w:sz w:val="20"/>
                <w:lang w:eastAsia="en-US"/>
              </w:rPr>
              <w:t>R</w:t>
            </w:r>
            <w:r w:rsidR="00DD4F55" w:rsidRPr="00CE6A10">
              <w:rPr>
                <w:rFonts w:eastAsia="Times New Roman" w:cs="Calibri"/>
                <w:color w:val="000000"/>
                <w:sz w:val="20"/>
                <w:lang w:eastAsia="en-US"/>
              </w:rPr>
              <w:t>eddito_autonomia_inclusione_sociale_anziani</w:t>
            </w:r>
            <w:proofErr w:type="spellEnd"/>
          </w:p>
        </w:tc>
      </w:tr>
      <w:tr w:rsidR="00DD4F55" w:rsidRPr="00CE6A10" w14:paraId="09CB4682" w14:textId="77777777" w:rsidTr="004242C0">
        <w:trPr>
          <w:trHeight w:val="300"/>
        </w:trPr>
        <w:tc>
          <w:tcPr>
            <w:tcW w:w="1985" w:type="pct"/>
            <w:vAlign w:val="bottom"/>
          </w:tcPr>
          <w:p w14:paraId="5ED243AB" w14:textId="77777777" w:rsidR="00DD4F55" w:rsidRPr="00CE6A10" w:rsidRDefault="00BE19C0"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Reddito Autonomia Disabili</w:t>
            </w:r>
          </w:p>
        </w:tc>
        <w:tc>
          <w:tcPr>
            <w:tcW w:w="3015" w:type="pct"/>
            <w:shd w:val="clear" w:color="auto" w:fill="auto"/>
            <w:vAlign w:val="bottom"/>
            <w:hideMark/>
          </w:tcPr>
          <w:p w14:paraId="437ACDE3" w14:textId="77777777" w:rsidR="00BE19C0" w:rsidRPr="00CE6A10" w:rsidRDefault="00DD4F55" w:rsidP="0038676D">
            <w:pPr>
              <w:pStyle w:val="Paragrafoelenco"/>
              <w:numPr>
                <w:ilvl w:val="0"/>
                <w:numId w:val="21"/>
              </w:numPr>
              <w:jc w:val="left"/>
              <w:rPr>
                <w:rFonts w:eastAsia="Times New Roman" w:cs="Calibri"/>
                <w:color w:val="000000"/>
                <w:sz w:val="20"/>
                <w:lang w:eastAsia="en-US"/>
              </w:rPr>
            </w:pPr>
            <w:r w:rsidRPr="00CE6A10">
              <w:rPr>
                <w:rFonts w:eastAsia="Times New Roman" w:cs="Calibri"/>
                <w:color w:val="000000"/>
                <w:sz w:val="20"/>
                <w:lang w:eastAsia="en-US"/>
              </w:rPr>
              <w:t xml:space="preserve">Reddito Autonomia Disabili </w:t>
            </w:r>
            <w:proofErr w:type="spellStart"/>
            <w:r w:rsidRPr="00CE6A10">
              <w:rPr>
                <w:rFonts w:eastAsia="Times New Roman" w:cs="Calibri"/>
                <w:color w:val="000000"/>
                <w:sz w:val="20"/>
                <w:lang w:eastAsia="en-US"/>
              </w:rPr>
              <w:t>bn</w:t>
            </w:r>
            <w:proofErr w:type="spellEnd"/>
            <w:r w:rsidRPr="00CE6A10">
              <w:rPr>
                <w:rFonts w:eastAsia="Times New Roman" w:cs="Calibri"/>
                <w:color w:val="000000"/>
                <w:sz w:val="20"/>
                <w:lang w:eastAsia="en-US"/>
              </w:rPr>
              <w:t xml:space="preserve"> 2282</w:t>
            </w:r>
          </w:p>
          <w:p w14:paraId="59396457" w14:textId="77777777" w:rsidR="00DD4F55" w:rsidRPr="00CE6A10" w:rsidRDefault="00DD4F55" w:rsidP="0038676D">
            <w:pPr>
              <w:pStyle w:val="Paragrafoelenco"/>
              <w:numPr>
                <w:ilvl w:val="0"/>
                <w:numId w:val="21"/>
              </w:numPr>
              <w:jc w:val="left"/>
              <w:rPr>
                <w:rFonts w:eastAsia="Times New Roman" w:cs="Calibri"/>
                <w:color w:val="000000"/>
                <w:sz w:val="20"/>
                <w:lang w:eastAsia="en-US"/>
              </w:rPr>
            </w:pPr>
            <w:r w:rsidRPr="00CE6A10">
              <w:rPr>
                <w:rFonts w:eastAsia="Times New Roman" w:cs="Calibri"/>
                <w:color w:val="000000"/>
                <w:sz w:val="20"/>
                <w:lang w:eastAsia="en-US"/>
              </w:rPr>
              <w:t xml:space="preserve">Reddito autonomia Disabili ambito Milano - </w:t>
            </w:r>
            <w:proofErr w:type="spellStart"/>
            <w:r w:rsidRPr="00CE6A10">
              <w:rPr>
                <w:rFonts w:eastAsia="Times New Roman" w:cs="Calibri"/>
                <w:color w:val="000000"/>
                <w:sz w:val="20"/>
                <w:lang w:eastAsia="en-US"/>
              </w:rPr>
              <w:t>bn</w:t>
            </w:r>
            <w:proofErr w:type="spellEnd"/>
            <w:r w:rsidRPr="00CE6A10">
              <w:rPr>
                <w:rFonts w:eastAsia="Times New Roman" w:cs="Calibri"/>
                <w:color w:val="000000"/>
                <w:sz w:val="20"/>
                <w:lang w:eastAsia="en-US"/>
              </w:rPr>
              <w:t xml:space="preserve"> 2362</w:t>
            </w:r>
          </w:p>
        </w:tc>
      </w:tr>
      <w:tr w:rsidR="00DD4F55" w:rsidRPr="00CE6A10" w14:paraId="24FC89BE" w14:textId="77777777" w:rsidTr="004242C0">
        <w:trPr>
          <w:trHeight w:val="300"/>
        </w:trPr>
        <w:tc>
          <w:tcPr>
            <w:tcW w:w="1985" w:type="pct"/>
            <w:vAlign w:val="bottom"/>
          </w:tcPr>
          <w:p w14:paraId="565CA817" w14:textId="77777777" w:rsidR="00DD4F55" w:rsidRPr="00CE6A10" w:rsidRDefault="00BE19C0"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 xml:space="preserve">III Anni </w:t>
            </w:r>
            <w:proofErr w:type="spellStart"/>
            <w:r w:rsidRPr="00CE6A10">
              <w:rPr>
                <w:rFonts w:eastAsia="Times New Roman" w:cs="Calibri"/>
                <w:b/>
                <w:bCs/>
                <w:color w:val="000000"/>
                <w:sz w:val="20"/>
                <w:lang w:eastAsia="en-US"/>
              </w:rPr>
              <w:t>IeFP</w:t>
            </w:r>
            <w:proofErr w:type="spellEnd"/>
          </w:p>
        </w:tc>
        <w:tc>
          <w:tcPr>
            <w:tcW w:w="3015" w:type="pct"/>
            <w:shd w:val="clear" w:color="auto" w:fill="auto"/>
            <w:vAlign w:val="bottom"/>
            <w:hideMark/>
          </w:tcPr>
          <w:p w14:paraId="3BA96368" w14:textId="77777777" w:rsidR="00BE19C0" w:rsidRPr="00CE6A10" w:rsidRDefault="00DD4F55" w:rsidP="0038676D">
            <w:pPr>
              <w:pStyle w:val="Paragrafoelenco"/>
              <w:numPr>
                <w:ilvl w:val="0"/>
                <w:numId w:val="22"/>
              </w:numPr>
              <w:jc w:val="left"/>
              <w:rPr>
                <w:rFonts w:eastAsia="Times New Roman" w:cs="Calibri"/>
                <w:color w:val="000000"/>
                <w:sz w:val="20"/>
                <w:lang w:eastAsia="en-US"/>
              </w:rPr>
            </w:pPr>
            <w:r w:rsidRPr="00CE6A10">
              <w:rPr>
                <w:rFonts w:eastAsia="Times New Roman" w:cs="Calibri"/>
                <w:color w:val="000000"/>
                <w:sz w:val="20"/>
                <w:lang w:eastAsia="en-US"/>
              </w:rPr>
              <w:t xml:space="preserve">III Anni </w:t>
            </w:r>
            <w:proofErr w:type="spellStart"/>
            <w:r w:rsidRPr="00CE6A10">
              <w:rPr>
                <w:rFonts w:eastAsia="Times New Roman" w:cs="Calibri"/>
                <w:color w:val="000000"/>
                <w:sz w:val="20"/>
                <w:lang w:eastAsia="en-US"/>
              </w:rPr>
              <w:t>IeFP</w:t>
            </w:r>
            <w:proofErr w:type="spellEnd"/>
            <w:r w:rsidRPr="00CE6A10">
              <w:rPr>
                <w:rFonts w:eastAsia="Times New Roman" w:cs="Calibri"/>
                <w:color w:val="000000"/>
                <w:sz w:val="20"/>
                <w:lang w:eastAsia="en-US"/>
              </w:rPr>
              <w:t xml:space="preserve"> </w:t>
            </w:r>
            <w:proofErr w:type="spellStart"/>
            <w:r w:rsidRPr="00CE6A10">
              <w:rPr>
                <w:rFonts w:eastAsia="Times New Roman" w:cs="Calibri"/>
                <w:color w:val="000000"/>
                <w:sz w:val="20"/>
                <w:lang w:eastAsia="en-US"/>
              </w:rPr>
              <w:t>af</w:t>
            </w:r>
            <w:proofErr w:type="spellEnd"/>
            <w:r w:rsidRPr="00CE6A10">
              <w:rPr>
                <w:rFonts w:eastAsia="Times New Roman" w:cs="Calibri"/>
                <w:color w:val="000000"/>
                <w:sz w:val="20"/>
                <w:lang w:eastAsia="en-US"/>
              </w:rPr>
              <w:t xml:space="preserve"> 2016 2017</w:t>
            </w:r>
          </w:p>
          <w:p w14:paraId="6C575995" w14:textId="77777777" w:rsidR="00BE19C0" w:rsidRPr="00CE6A10" w:rsidRDefault="00DD4F55" w:rsidP="0038676D">
            <w:pPr>
              <w:pStyle w:val="Paragrafoelenco"/>
              <w:numPr>
                <w:ilvl w:val="0"/>
                <w:numId w:val="22"/>
              </w:numPr>
              <w:jc w:val="left"/>
              <w:rPr>
                <w:rFonts w:eastAsia="Times New Roman" w:cs="Calibri"/>
                <w:color w:val="000000"/>
                <w:sz w:val="20"/>
                <w:lang w:eastAsia="en-US"/>
              </w:rPr>
            </w:pPr>
            <w:r w:rsidRPr="00CE6A10">
              <w:rPr>
                <w:rFonts w:eastAsia="Times New Roman" w:cs="Calibri"/>
                <w:color w:val="000000"/>
                <w:sz w:val="20"/>
                <w:lang w:eastAsia="en-US"/>
              </w:rPr>
              <w:t xml:space="preserve">III Anni </w:t>
            </w:r>
            <w:proofErr w:type="spellStart"/>
            <w:r w:rsidRPr="00CE6A10">
              <w:rPr>
                <w:rFonts w:eastAsia="Times New Roman" w:cs="Calibri"/>
                <w:color w:val="000000"/>
                <w:sz w:val="20"/>
                <w:lang w:eastAsia="en-US"/>
              </w:rPr>
              <w:t>IeFP</w:t>
            </w:r>
            <w:proofErr w:type="spellEnd"/>
            <w:r w:rsidRPr="00CE6A10">
              <w:rPr>
                <w:rFonts w:eastAsia="Times New Roman" w:cs="Calibri"/>
                <w:color w:val="000000"/>
                <w:sz w:val="20"/>
                <w:lang w:eastAsia="en-US"/>
              </w:rPr>
              <w:t xml:space="preserve"> </w:t>
            </w:r>
            <w:proofErr w:type="spellStart"/>
            <w:r w:rsidRPr="00CE6A10">
              <w:rPr>
                <w:rFonts w:eastAsia="Times New Roman" w:cs="Calibri"/>
                <w:color w:val="000000"/>
                <w:sz w:val="20"/>
                <w:lang w:eastAsia="en-US"/>
              </w:rPr>
              <w:t>af</w:t>
            </w:r>
            <w:proofErr w:type="spellEnd"/>
            <w:r w:rsidRPr="00CE6A10">
              <w:rPr>
                <w:rFonts w:eastAsia="Times New Roman" w:cs="Calibri"/>
                <w:color w:val="000000"/>
                <w:sz w:val="20"/>
                <w:lang w:eastAsia="en-US"/>
              </w:rPr>
              <w:t xml:space="preserve"> 2017 2018</w:t>
            </w:r>
          </w:p>
          <w:p w14:paraId="6E1489EF" w14:textId="77777777" w:rsidR="00DD4F55" w:rsidRPr="00CE6A10" w:rsidRDefault="00DD4F55" w:rsidP="0038676D">
            <w:pPr>
              <w:pStyle w:val="Paragrafoelenco"/>
              <w:numPr>
                <w:ilvl w:val="0"/>
                <w:numId w:val="22"/>
              </w:numPr>
              <w:jc w:val="left"/>
              <w:rPr>
                <w:rFonts w:eastAsia="Times New Roman" w:cs="Calibri"/>
                <w:color w:val="000000"/>
                <w:sz w:val="20"/>
                <w:lang w:eastAsia="en-US"/>
              </w:rPr>
            </w:pPr>
            <w:r w:rsidRPr="00CE6A10">
              <w:rPr>
                <w:rFonts w:eastAsia="Times New Roman" w:cs="Calibri"/>
                <w:color w:val="000000"/>
                <w:sz w:val="20"/>
                <w:lang w:eastAsia="en-US"/>
              </w:rPr>
              <w:t xml:space="preserve">III Anni </w:t>
            </w:r>
            <w:proofErr w:type="spellStart"/>
            <w:r w:rsidRPr="00CE6A10">
              <w:rPr>
                <w:rFonts w:eastAsia="Times New Roman" w:cs="Calibri"/>
                <w:color w:val="000000"/>
                <w:sz w:val="20"/>
                <w:lang w:eastAsia="en-US"/>
              </w:rPr>
              <w:t>IeFP</w:t>
            </w:r>
            <w:proofErr w:type="spellEnd"/>
            <w:r w:rsidRPr="00CE6A10">
              <w:rPr>
                <w:rFonts w:eastAsia="Times New Roman" w:cs="Calibri"/>
                <w:color w:val="000000"/>
                <w:sz w:val="20"/>
                <w:lang w:eastAsia="en-US"/>
              </w:rPr>
              <w:t xml:space="preserve"> </w:t>
            </w:r>
            <w:proofErr w:type="spellStart"/>
            <w:r w:rsidRPr="00CE6A10">
              <w:rPr>
                <w:rFonts w:eastAsia="Times New Roman" w:cs="Calibri"/>
                <w:color w:val="000000"/>
                <w:sz w:val="20"/>
                <w:lang w:eastAsia="en-US"/>
              </w:rPr>
              <w:t>af</w:t>
            </w:r>
            <w:proofErr w:type="spellEnd"/>
            <w:r w:rsidRPr="00CE6A10">
              <w:rPr>
                <w:rFonts w:eastAsia="Times New Roman" w:cs="Calibri"/>
                <w:color w:val="000000"/>
                <w:sz w:val="20"/>
                <w:lang w:eastAsia="en-US"/>
              </w:rPr>
              <w:t xml:space="preserve"> 2018 2019</w:t>
            </w:r>
          </w:p>
        </w:tc>
      </w:tr>
      <w:tr w:rsidR="00DD4F55" w:rsidRPr="00CE6A10" w14:paraId="77218880" w14:textId="77777777" w:rsidTr="004242C0">
        <w:trPr>
          <w:trHeight w:val="540"/>
        </w:trPr>
        <w:tc>
          <w:tcPr>
            <w:tcW w:w="1985" w:type="pct"/>
            <w:vAlign w:val="bottom"/>
          </w:tcPr>
          <w:p w14:paraId="073CF181" w14:textId="77777777" w:rsidR="00DD4F55" w:rsidRPr="00CE6A10" w:rsidRDefault="00BE19C0"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 xml:space="preserve">IV Anni </w:t>
            </w:r>
            <w:proofErr w:type="spellStart"/>
            <w:r w:rsidRPr="00CE6A10">
              <w:rPr>
                <w:rFonts w:eastAsia="Times New Roman" w:cs="Calibri"/>
                <w:b/>
                <w:bCs/>
                <w:color w:val="000000"/>
                <w:sz w:val="20"/>
                <w:lang w:eastAsia="en-US"/>
              </w:rPr>
              <w:t>IeFP</w:t>
            </w:r>
            <w:proofErr w:type="spellEnd"/>
          </w:p>
        </w:tc>
        <w:tc>
          <w:tcPr>
            <w:tcW w:w="3015" w:type="pct"/>
            <w:shd w:val="clear" w:color="auto" w:fill="auto"/>
            <w:vAlign w:val="bottom"/>
            <w:hideMark/>
          </w:tcPr>
          <w:p w14:paraId="48098D2C" w14:textId="77777777" w:rsidR="00BE19C0" w:rsidRPr="00CE6A10" w:rsidRDefault="00DD4F55" w:rsidP="004242C0">
            <w:pPr>
              <w:pStyle w:val="Paragrafoelenco"/>
              <w:numPr>
                <w:ilvl w:val="0"/>
                <w:numId w:val="22"/>
              </w:numPr>
              <w:jc w:val="left"/>
              <w:rPr>
                <w:rFonts w:eastAsia="Times New Roman" w:cs="Calibri"/>
                <w:color w:val="000000"/>
                <w:sz w:val="20"/>
                <w:lang w:eastAsia="en-US"/>
              </w:rPr>
            </w:pPr>
            <w:r w:rsidRPr="00CE6A10">
              <w:rPr>
                <w:rFonts w:eastAsia="Times New Roman" w:cs="Calibri"/>
                <w:color w:val="000000"/>
                <w:sz w:val="20"/>
                <w:lang w:eastAsia="en-US"/>
              </w:rPr>
              <w:t xml:space="preserve">IV Anni </w:t>
            </w:r>
            <w:proofErr w:type="spellStart"/>
            <w:r w:rsidRPr="00CE6A10">
              <w:rPr>
                <w:rFonts w:eastAsia="Times New Roman" w:cs="Calibri"/>
                <w:color w:val="000000"/>
                <w:sz w:val="20"/>
                <w:lang w:eastAsia="en-US"/>
              </w:rPr>
              <w:t>IeFP</w:t>
            </w:r>
            <w:proofErr w:type="spellEnd"/>
            <w:r w:rsidRPr="00CE6A10">
              <w:rPr>
                <w:rFonts w:eastAsia="Times New Roman" w:cs="Calibri"/>
                <w:color w:val="000000"/>
                <w:sz w:val="20"/>
                <w:lang w:eastAsia="en-US"/>
              </w:rPr>
              <w:t xml:space="preserve"> </w:t>
            </w:r>
            <w:proofErr w:type="spellStart"/>
            <w:r w:rsidRPr="00CE6A10">
              <w:rPr>
                <w:rFonts w:eastAsia="Times New Roman" w:cs="Calibri"/>
                <w:color w:val="000000"/>
                <w:sz w:val="20"/>
                <w:lang w:eastAsia="en-US"/>
              </w:rPr>
              <w:t>af</w:t>
            </w:r>
            <w:proofErr w:type="spellEnd"/>
            <w:r w:rsidRPr="00CE6A10">
              <w:rPr>
                <w:rFonts w:eastAsia="Times New Roman" w:cs="Calibri"/>
                <w:color w:val="000000"/>
                <w:sz w:val="20"/>
                <w:lang w:eastAsia="en-US"/>
              </w:rPr>
              <w:t xml:space="preserve"> 2016 2017</w:t>
            </w:r>
          </w:p>
          <w:p w14:paraId="3179AA60" w14:textId="77777777" w:rsidR="00BE19C0" w:rsidRPr="00CE6A10" w:rsidRDefault="00DD4F55" w:rsidP="004242C0">
            <w:pPr>
              <w:pStyle w:val="Paragrafoelenco"/>
              <w:numPr>
                <w:ilvl w:val="0"/>
                <w:numId w:val="22"/>
              </w:numPr>
              <w:jc w:val="left"/>
              <w:rPr>
                <w:rFonts w:eastAsia="Times New Roman" w:cs="Calibri"/>
                <w:color w:val="000000"/>
                <w:sz w:val="20"/>
                <w:lang w:eastAsia="en-US"/>
              </w:rPr>
            </w:pPr>
            <w:r w:rsidRPr="00CE6A10">
              <w:rPr>
                <w:rFonts w:eastAsia="Times New Roman" w:cs="Calibri"/>
                <w:color w:val="000000"/>
                <w:sz w:val="20"/>
                <w:lang w:eastAsia="en-US"/>
              </w:rPr>
              <w:t xml:space="preserve">IV Anni </w:t>
            </w:r>
            <w:proofErr w:type="spellStart"/>
            <w:r w:rsidRPr="00CE6A10">
              <w:rPr>
                <w:rFonts w:eastAsia="Times New Roman" w:cs="Calibri"/>
                <w:color w:val="000000"/>
                <w:sz w:val="20"/>
                <w:lang w:eastAsia="en-US"/>
              </w:rPr>
              <w:t>IeFP</w:t>
            </w:r>
            <w:proofErr w:type="spellEnd"/>
            <w:r w:rsidRPr="00CE6A10">
              <w:rPr>
                <w:rFonts w:eastAsia="Times New Roman" w:cs="Calibri"/>
                <w:color w:val="000000"/>
                <w:sz w:val="20"/>
                <w:lang w:eastAsia="en-US"/>
              </w:rPr>
              <w:t xml:space="preserve"> </w:t>
            </w:r>
            <w:proofErr w:type="spellStart"/>
            <w:r w:rsidRPr="00CE6A10">
              <w:rPr>
                <w:rFonts w:eastAsia="Times New Roman" w:cs="Calibri"/>
                <w:color w:val="000000"/>
                <w:sz w:val="20"/>
                <w:lang w:eastAsia="en-US"/>
              </w:rPr>
              <w:t>af</w:t>
            </w:r>
            <w:proofErr w:type="spellEnd"/>
            <w:r w:rsidRPr="00CE6A10">
              <w:rPr>
                <w:rFonts w:eastAsia="Times New Roman" w:cs="Calibri"/>
                <w:color w:val="000000"/>
                <w:sz w:val="20"/>
                <w:lang w:eastAsia="en-US"/>
              </w:rPr>
              <w:t xml:space="preserve"> 2017 2018</w:t>
            </w:r>
          </w:p>
          <w:p w14:paraId="2389F31A" w14:textId="77777777" w:rsidR="00BE19C0" w:rsidRPr="00CE6A10" w:rsidRDefault="00DD4F55" w:rsidP="004242C0">
            <w:pPr>
              <w:pStyle w:val="Paragrafoelenco"/>
              <w:numPr>
                <w:ilvl w:val="0"/>
                <w:numId w:val="22"/>
              </w:numPr>
              <w:jc w:val="left"/>
              <w:rPr>
                <w:rFonts w:eastAsia="Times New Roman" w:cs="Calibri"/>
                <w:color w:val="000000"/>
                <w:sz w:val="20"/>
                <w:lang w:eastAsia="en-US"/>
              </w:rPr>
            </w:pPr>
            <w:r w:rsidRPr="00CE6A10">
              <w:rPr>
                <w:rFonts w:eastAsia="Times New Roman" w:cs="Calibri"/>
                <w:color w:val="000000"/>
                <w:sz w:val="20"/>
                <w:lang w:eastAsia="en-US"/>
              </w:rPr>
              <w:t xml:space="preserve">IV Anni </w:t>
            </w:r>
            <w:proofErr w:type="spellStart"/>
            <w:r w:rsidRPr="00CE6A10">
              <w:rPr>
                <w:rFonts w:eastAsia="Times New Roman" w:cs="Calibri"/>
                <w:color w:val="000000"/>
                <w:sz w:val="20"/>
                <w:lang w:eastAsia="en-US"/>
              </w:rPr>
              <w:t>IeFP</w:t>
            </w:r>
            <w:proofErr w:type="spellEnd"/>
            <w:r w:rsidRPr="00CE6A10">
              <w:rPr>
                <w:rFonts w:eastAsia="Times New Roman" w:cs="Calibri"/>
                <w:color w:val="000000"/>
                <w:sz w:val="20"/>
                <w:lang w:eastAsia="en-US"/>
              </w:rPr>
              <w:t xml:space="preserve"> </w:t>
            </w:r>
            <w:proofErr w:type="spellStart"/>
            <w:r w:rsidRPr="00CE6A10">
              <w:rPr>
                <w:rFonts w:eastAsia="Times New Roman" w:cs="Calibri"/>
                <w:color w:val="000000"/>
                <w:sz w:val="20"/>
                <w:lang w:eastAsia="en-US"/>
              </w:rPr>
              <w:t>af</w:t>
            </w:r>
            <w:proofErr w:type="spellEnd"/>
            <w:r w:rsidRPr="00CE6A10">
              <w:rPr>
                <w:rFonts w:eastAsia="Times New Roman" w:cs="Calibri"/>
                <w:color w:val="000000"/>
                <w:sz w:val="20"/>
                <w:lang w:eastAsia="en-US"/>
              </w:rPr>
              <w:t xml:space="preserve"> 2018 2019</w:t>
            </w:r>
          </w:p>
          <w:p w14:paraId="7E3FF832" w14:textId="77777777" w:rsidR="00DD4F55" w:rsidRPr="00CE6A10" w:rsidRDefault="00DD4F55" w:rsidP="004242C0">
            <w:pPr>
              <w:pStyle w:val="Paragrafoelenco"/>
              <w:numPr>
                <w:ilvl w:val="0"/>
                <w:numId w:val="22"/>
              </w:numPr>
              <w:jc w:val="left"/>
              <w:rPr>
                <w:rFonts w:eastAsia="Times New Roman" w:cs="Calibri"/>
                <w:color w:val="000000"/>
                <w:sz w:val="20"/>
                <w:lang w:eastAsia="en-US"/>
              </w:rPr>
            </w:pPr>
            <w:r w:rsidRPr="00CE6A10">
              <w:rPr>
                <w:rFonts w:eastAsia="Times New Roman" w:cs="Calibri"/>
                <w:color w:val="000000"/>
                <w:sz w:val="20"/>
                <w:lang w:eastAsia="en-US"/>
              </w:rPr>
              <w:t xml:space="preserve">IV Anni </w:t>
            </w:r>
            <w:proofErr w:type="spellStart"/>
            <w:r w:rsidRPr="00CE6A10">
              <w:rPr>
                <w:rFonts w:eastAsia="Times New Roman" w:cs="Calibri"/>
                <w:color w:val="000000"/>
                <w:sz w:val="20"/>
                <w:lang w:eastAsia="en-US"/>
              </w:rPr>
              <w:t>IeFP</w:t>
            </w:r>
            <w:proofErr w:type="spellEnd"/>
            <w:r w:rsidRPr="00CE6A10">
              <w:rPr>
                <w:rFonts w:eastAsia="Times New Roman" w:cs="Calibri"/>
                <w:color w:val="000000"/>
                <w:sz w:val="20"/>
                <w:lang w:eastAsia="en-US"/>
              </w:rPr>
              <w:t xml:space="preserve"> </w:t>
            </w:r>
            <w:proofErr w:type="spellStart"/>
            <w:r w:rsidRPr="00CE6A10">
              <w:rPr>
                <w:rFonts w:eastAsia="Times New Roman" w:cs="Calibri"/>
                <w:color w:val="000000"/>
                <w:sz w:val="20"/>
                <w:lang w:eastAsia="en-US"/>
              </w:rPr>
              <w:t>af</w:t>
            </w:r>
            <w:proofErr w:type="spellEnd"/>
            <w:r w:rsidRPr="00CE6A10">
              <w:rPr>
                <w:rFonts w:eastAsia="Times New Roman" w:cs="Calibri"/>
                <w:color w:val="000000"/>
                <w:sz w:val="20"/>
                <w:lang w:eastAsia="en-US"/>
              </w:rPr>
              <w:t xml:space="preserve"> 2019 2020</w:t>
            </w:r>
          </w:p>
        </w:tc>
      </w:tr>
      <w:tr w:rsidR="00DD4F55" w:rsidRPr="00CE6A10" w14:paraId="226CE2BE" w14:textId="77777777" w:rsidTr="004242C0">
        <w:trPr>
          <w:trHeight w:val="540"/>
        </w:trPr>
        <w:tc>
          <w:tcPr>
            <w:tcW w:w="1985" w:type="pct"/>
            <w:vAlign w:val="bottom"/>
          </w:tcPr>
          <w:p w14:paraId="5C7E9DE5" w14:textId="77777777" w:rsidR="00DD4F55" w:rsidRPr="00CE6A10" w:rsidRDefault="00BE19C0"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POR FSE 2014-2020: Avviso Lombardia Plus</w:t>
            </w:r>
          </w:p>
        </w:tc>
        <w:tc>
          <w:tcPr>
            <w:tcW w:w="3015" w:type="pct"/>
            <w:shd w:val="clear" w:color="auto" w:fill="auto"/>
            <w:vAlign w:val="bottom"/>
            <w:hideMark/>
          </w:tcPr>
          <w:p w14:paraId="007C3CBA" w14:textId="77777777" w:rsidR="00BE19C0" w:rsidRPr="00CE6A10" w:rsidRDefault="00DD4F55" w:rsidP="004242C0">
            <w:pPr>
              <w:pStyle w:val="Paragrafoelenco"/>
              <w:numPr>
                <w:ilvl w:val="0"/>
                <w:numId w:val="22"/>
              </w:numPr>
              <w:jc w:val="left"/>
              <w:rPr>
                <w:rFonts w:eastAsia="Times New Roman" w:cs="Calibri"/>
                <w:color w:val="000000"/>
                <w:sz w:val="20"/>
                <w:lang w:eastAsia="en-US"/>
              </w:rPr>
            </w:pPr>
            <w:r w:rsidRPr="00CE6A10">
              <w:rPr>
                <w:rFonts w:eastAsia="Times New Roman" w:cs="Calibri"/>
                <w:color w:val="000000"/>
                <w:sz w:val="20"/>
                <w:lang w:eastAsia="en-US"/>
              </w:rPr>
              <w:t>POR FSE 2014-2020: Avviso Lombardia Plus per l'annualità 2016</w:t>
            </w:r>
          </w:p>
          <w:p w14:paraId="39325994" w14:textId="77777777" w:rsidR="00BE19C0" w:rsidRPr="00CE6A10" w:rsidRDefault="00DD4F55" w:rsidP="004242C0">
            <w:pPr>
              <w:pStyle w:val="Paragrafoelenco"/>
              <w:numPr>
                <w:ilvl w:val="0"/>
                <w:numId w:val="22"/>
              </w:numPr>
              <w:jc w:val="left"/>
              <w:rPr>
                <w:rFonts w:eastAsia="Times New Roman" w:cs="Calibri"/>
                <w:color w:val="000000"/>
                <w:sz w:val="20"/>
                <w:lang w:eastAsia="en-US"/>
              </w:rPr>
            </w:pPr>
            <w:r w:rsidRPr="00CE6A10">
              <w:rPr>
                <w:rFonts w:eastAsia="Times New Roman" w:cs="Calibri"/>
                <w:color w:val="000000"/>
                <w:sz w:val="20"/>
                <w:lang w:eastAsia="en-US"/>
              </w:rPr>
              <w:t>POR FSE 2014-2020: Avviso Lombardia Plus per l'annualità 2017</w:t>
            </w:r>
          </w:p>
          <w:p w14:paraId="5BA34A79" w14:textId="77777777" w:rsidR="00DD4F55" w:rsidRPr="00CE6A10" w:rsidRDefault="00DD4F55" w:rsidP="004242C0">
            <w:pPr>
              <w:pStyle w:val="Paragrafoelenco"/>
              <w:numPr>
                <w:ilvl w:val="0"/>
                <w:numId w:val="22"/>
              </w:numPr>
              <w:jc w:val="left"/>
              <w:rPr>
                <w:rFonts w:eastAsia="Times New Roman" w:cs="Calibri"/>
                <w:color w:val="000000"/>
                <w:sz w:val="20"/>
                <w:lang w:eastAsia="en-US"/>
              </w:rPr>
            </w:pPr>
            <w:r w:rsidRPr="00CE6A10">
              <w:rPr>
                <w:rFonts w:eastAsia="Times New Roman" w:cs="Calibri"/>
                <w:color w:val="000000"/>
                <w:sz w:val="20"/>
                <w:lang w:eastAsia="en-US"/>
              </w:rPr>
              <w:t>POR FSE 2014-2020: Avviso Lombardia Plus - Annualità 2018</w:t>
            </w:r>
          </w:p>
        </w:tc>
      </w:tr>
      <w:tr w:rsidR="00DD4F55" w:rsidRPr="00CE6A10" w14:paraId="0785A062" w14:textId="77777777" w:rsidTr="004242C0">
        <w:trPr>
          <w:trHeight w:val="1980"/>
        </w:trPr>
        <w:tc>
          <w:tcPr>
            <w:tcW w:w="1985" w:type="pct"/>
            <w:vAlign w:val="bottom"/>
          </w:tcPr>
          <w:p w14:paraId="4643643F" w14:textId="77777777" w:rsidR="00DD4F55" w:rsidRPr="00CE6A10" w:rsidRDefault="00BE19C0"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POR FSE 2014-2020: Nuovi progetti di Istruzione e Formazione Tecnica Superiore (IFTS)</w:t>
            </w:r>
          </w:p>
        </w:tc>
        <w:tc>
          <w:tcPr>
            <w:tcW w:w="3015" w:type="pct"/>
            <w:shd w:val="clear" w:color="auto" w:fill="auto"/>
            <w:vAlign w:val="bottom"/>
            <w:hideMark/>
          </w:tcPr>
          <w:p w14:paraId="22699AD5" w14:textId="77777777" w:rsidR="00BE19C0" w:rsidRPr="00CE6A10" w:rsidRDefault="00DD4F55" w:rsidP="0038676D">
            <w:pPr>
              <w:pStyle w:val="Paragrafoelenco"/>
              <w:numPr>
                <w:ilvl w:val="0"/>
                <w:numId w:val="25"/>
              </w:numPr>
              <w:jc w:val="left"/>
              <w:rPr>
                <w:rFonts w:eastAsia="Times New Roman" w:cs="Calibri"/>
                <w:color w:val="000000"/>
                <w:sz w:val="20"/>
                <w:lang w:eastAsia="en-US"/>
              </w:rPr>
            </w:pPr>
            <w:r w:rsidRPr="00CE6A10">
              <w:rPr>
                <w:rFonts w:eastAsia="Times New Roman" w:cs="Calibri"/>
                <w:color w:val="000000"/>
                <w:sz w:val="20"/>
                <w:lang w:eastAsia="en-US"/>
              </w:rPr>
              <w:t>POR FSE 2014-2020: Nuovi progetti di Istruzione e Formazione Tecnica Superiore (IFTS) per l'anno formativo 2015/2016</w:t>
            </w:r>
          </w:p>
          <w:p w14:paraId="48659DF8" w14:textId="77777777" w:rsidR="00BE19C0" w:rsidRPr="00CE6A10" w:rsidRDefault="00DD4F55" w:rsidP="0038676D">
            <w:pPr>
              <w:pStyle w:val="Paragrafoelenco"/>
              <w:numPr>
                <w:ilvl w:val="0"/>
                <w:numId w:val="25"/>
              </w:numPr>
              <w:jc w:val="left"/>
              <w:rPr>
                <w:rFonts w:eastAsia="Times New Roman" w:cs="Calibri"/>
                <w:color w:val="000000"/>
                <w:sz w:val="20"/>
                <w:lang w:eastAsia="en-US"/>
              </w:rPr>
            </w:pPr>
            <w:r w:rsidRPr="00CE6A10">
              <w:rPr>
                <w:rFonts w:eastAsia="Times New Roman" w:cs="Calibri"/>
                <w:color w:val="000000"/>
                <w:sz w:val="20"/>
                <w:lang w:eastAsia="en-US"/>
              </w:rPr>
              <w:t>POR FSE 2014-2020: Nuovi progetti di Istruzione e Formazione Tecnica Superiore (IFTS) per l'anno formativo 2016/2017</w:t>
            </w:r>
          </w:p>
          <w:p w14:paraId="7D69FC98" w14:textId="77777777" w:rsidR="00BE19C0" w:rsidRPr="00CE6A10" w:rsidRDefault="00DD4F55" w:rsidP="0038676D">
            <w:pPr>
              <w:pStyle w:val="Paragrafoelenco"/>
              <w:numPr>
                <w:ilvl w:val="0"/>
                <w:numId w:val="25"/>
              </w:numPr>
              <w:jc w:val="left"/>
              <w:rPr>
                <w:rFonts w:eastAsia="Times New Roman" w:cs="Calibri"/>
                <w:color w:val="000000"/>
                <w:sz w:val="20"/>
                <w:lang w:eastAsia="en-US"/>
              </w:rPr>
            </w:pPr>
            <w:r w:rsidRPr="00CE6A10">
              <w:rPr>
                <w:rFonts w:eastAsia="Times New Roman" w:cs="Calibri"/>
                <w:color w:val="000000"/>
                <w:sz w:val="20"/>
                <w:lang w:eastAsia="en-US"/>
              </w:rPr>
              <w:t>POR FSE 2014-2020: Nuovi progetti di Istruzione e Formazione Tecnica Superiore (IFTS) per l'anno formativo 2017/2018</w:t>
            </w:r>
          </w:p>
          <w:p w14:paraId="660C5AB0" w14:textId="77777777" w:rsidR="00BE19C0" w:rsidRPr="00CE6A10" w:rsidRDefault="00DD4F55" w:rsidP="0038676D">
            <w:pPr>
              <w:pStyle w:val="Paragrafoelenco"/>
              <w:numPr>
                <w:ilvl w:val="0"/>
                <w:numId w:val="25"/>
              </w:numPr>
              <w:jc w:val="left"/>
              <w:rPr>
                <w:rFonts w:eastAsia="Times New Roman" w:cs="Calibri"/>
                <w:color w:val="000000"/>
                <w:sz w:val="20"/>
                <w:lang w:eastAsia="en-US"/>
              </w:rPr>
            </w:pPr>
            <w:r w:rsidRPr="00CE6A10">
              <w:rPr>
                <w:rFonts w:eastAsia="Times New Roman" w:cs="Calibri"/>
                <w:color w:val="000000"/>
                <w:sz w:val="20"/>
                <w:lang w:eastAsia="en-US"/>
              </w:rPr>
              <w:t>POR FSE 2014-2020: Nuovi progetti di Istruzione e Formazione Tecnica Superiore (IFTS) per l'anno formativo 2018/2019</w:t>
            </w:r>
          </w:p>
          <w:p w14:paraId="02FFFB5E" w14:textId="77777777" w:rsidR="00BE19C0" w:rsidRPr="00CE6A10" w:rsidRDefault="00DD4F55" w:rsidP="0038676D">
            <w:pPr>
              <w:pStyle w:val="Paragrafoelenco"/>
              <w:numPr>
                <w:ilvl w:val="0"/>
                <w:numId w:val="25"/>
              </w:numPr>
              <w:jc w:val="left"/>
              <w:rPr>
                <w:rFonts w:eastAsia="Times New Roman" w:cs="Calibri"/>
                <w:color w:val="000000"/>
                <w:sz w:val="20"/>
                <w:lang w:eastAsia="en-US"/>
              </w:rPr>
            </w:pPr>
            <w:r w:rsidRPr="00CE6A10">
              <w:rPr>
                <w:rFonts w:eastAsia="Times New Roman" w:cs="Calibri"/>
                <w:color w:val="000000"/>
                <w:sz w:val="20"/>
                <w:lang w:eastAsia="en-US"/>
              </w:rPr>
              <w:t>POR FSE 2014-2020: Nuovi progetti di Istruzione e Formazione Tecnica Superiore (IFTS) per l'anno formativo 2019/2020</w:t>
            </w:r>
          </w:p>
          <w:p w14:paraId="315AE811" w14:textId="77777777" w:rsidR="00DD4F55" w:rsidRPr="00CE6A10" w:rsidRDefault="00DD4F55" w:rsidP="0038676D">
            <w:pPr>
              <w:pStyle w:val="Paragrafoelenco"/>
              <w:numPr>
                <w:ilvl w:val="0"/>
                <w:numId w:val="25"/>
              </w:numPr>
              <w:jc w:val="left"/>
              <w:rPr>
                <w:rFonts w:eastAsia="Times New Roman" w:cs="Calibri"/>
                <w:color w:val="000000"/>
                <w:sz w:val="20"/>
                <w:lang w:eastAsia="en-US"/>
              </w:rPr>
            </w:pPr>
            <w:r w:rsidRPr="00CE6A10">
              <w:rPr>
                <w:rFonts w:eastAsia="Times New Roman" w:cs="Calibri"/>
                <w:color w:val="000000"/>
                <w:sz w:val="20"/>
                <w:lang w:eastAsia="en-US"/>
              </w:rPr>
              <w:t>POR FSE 2014-2020: Nuovi progetti di Istruzione e Formazione Tecnica Superiore (IFTS) per l’anno formativo 2020/2021</w:t>
            </w:r>
          </w:p>
        </w:tc>
      </w:tr>
      <w:tr w:rsidR="00DD4F55" w:rsidRPr="00CE6A10" w14:paraId="0CEDC91D" w14:textId="77777777" w:rsidTr="004242C0">
        <w:trPr>
          <w:trHeight w:val="780"/>
        </w:trPr>
        <w:tc>
          <w:tcPr>
            <w:tcW w:w="1985" w:type="pct"/>
            <w:vAlign w:val="bottom"/>
          </w:tcPr>
          <w:p w14:paraId="2C668FAB" w14:textId="77777777" w:rsidR="00DD4F55" w:rsidRPr="00CE6A10" w:rsidRDefault="00BE19C0" w:rsidP="002F0131">
            <w:pPr>
              <w:jc w:val="left"/>
              <w:rPr>
                <w:rFonts w:eastAsia="Times New Roman" w:cs="Calibri"/>
                <w:b/>
                <w:bCs/>
                <w:color w:val="000000"/>
                <w:sz w:val="20"/>
                <w:lang w:eastAsia="en-US"/>
              </w:rPr>
            </w:pPr>
            <w:r w:rsidRPr="00CE6A10">
              <w:rPr>
                <w:rFonts w:eastAsia="Times New Roman" w:cs="Calibri"/>
                <w:b/>
                <w:bCs/>
                <w:color w:val="000000"/>
                <w:sz w:val="20"/>
                <w:lang w:eastAsia="en-US"/>
              </w:rPr>
              <w:t>POR FSE 2014-2020: Offerta formativa ITS</w:t>
            </w:r>
          </w:p>
        </w:tc>
        <w:tc>
          <w:tcPr>
            <w:tcW w:w="3015" w:type="pct"/>
            <w:shd w:val="clear" w:color="auto" w:fill="auto"/>
            <w:vAlign w:val="bottom"/>
            <w:hideMark/>
          </w:tcPr>
          <w:p w14:paraId="75A25235" w14:textId="77777777" w:rsidR="00B817C0" w:rsidRDefault="00DD4F55" w:rsidP="0038676D">
            <w:pPr>
              <w:pStyle w:val="Paragrafoelenco"/>
              <w:numPr>
                <w:ilvl w:val="0"/>
                <w:numId w:val="26"/>
              </w:numPr>
              <w:jc w:val="left"/>
              <w:rPr>
                <w:rFonts w:eastAsia="Times New Roman" w:cs="Calibri"/>
                <w:color w:val="000000"/>
                <w:sz w:val="20"/>
                <w:lang w:eastAsia="en-US"/>
              </w:rPr>
            </w:pPr>
            <w:r w:rsidRPr="00CE6A10">
              <w:rPr>
                <w:rFonts w:eastAsia="Times New Roman" w:cs="Calibri"/>
                <w:color w:val="000000"/>
                <w:sz w:val="20"/>
                <w:lang w:eastAsia="en-US"/>
              </w:rPr>
              <w:t>POR FSE 2014-2020: Offerta formativa ITS anno formativo 2015-2016</w:t>
            </w:r>
          </w:p>
          <w:p w14:paraId="6F38B935" w14:textId="77777777" w:rsidR="00BE19C0" w:rsidRPr="00CE6A10" w:rsidRDefault="00DD4F55" w:rsidP="0038676D">
            <w:pPr>
              <w:pStyle w:val="Paragrafoelenco"/>
              <w:numPr>
                <w:ilvl w:val="0"/>
                <w:numId w:val="26"/>
              </w:numPr>
              <w:jc w:val="left"/>
              <w:rPr>
                <w:rFonts w:eastAsia="Times New Roman" w:cs="Calibri"/>
                <w:color w:val="000000"/>
                <w:sz w:val="20"/>
                <w:lang w:eastAsia="en-US"/>
              </w:rPr>
            </w:pPr>
            <w:r w:rsidRPr="00CE6A10">
              <w:rPr>
                <w:rFonts w:eastAsia="Times New Roman" w:cs="Calibri"/>
                <w:color w:val="000000"/>
                <w:sz w:val="20"/>
                <w:lang w:eastAsia="en-US"/>
              </w:rPr>
              <w:t>POR FSE 2014-2020: Offerta formativa ITS anno formativo 2016-2017</w:t>
            </w:r>
          </w:p>
          <w:p w14:paraId="6E260D21" w14:textId="77777777" w:rsidR="00B817C0" w:rsidRDefault="00DD4F55" w:rsidP="0038676D">
            <w:pPr>
              <w:pStyle w:val="Paragrafoelenco"/>
              <w:numPr>
                <w:ilvl w:val="0"/>
                <w:numId w:val="26"/>
              </w:numPr>
              <w:jc w:val="left"/>
              <w:rPr>
                <w:rFonts w:eastAsia="Times New Roman" w:cs="Calibri"/>
                <w:color w:val="000000"/>
                <w:sz w:val="20"/>
                <w:lang w:eastAsia="en-US"/>
              </w:rPr>
            </w:pPr>
            <w:r w:rsidRPr="00CE6A10">
              <w:rPr>
                <w:rFonts w:eastAsia="Times New Roman" w:cs="Calibri"/>
                <w:color w:val="000000"/>
                <w:sz w:val="20"/>
                <w:lang w:eastAsia="en-US"/>
              </w:rPr>
              <w:t>POR FSE 2014-2020: Offerta formativa ITS anno formativo 2017-2018</w:t>
            </w:r>
          </w:p>
          <w:p w14:paraId="44D293F6" w14:textId="77777777" w:rsidR="00BE19C0" w:rsidRPr="00CE6A10" w:rsidRDefault="00DD4F55" w:rsidP="0038676D">
            <w:pPr>
              <w:pStyle w:val="Paragrafoelenco"/>
              <w:numPr>
                <w:ilvl w:val="0"/>
                <w:numId w:val="26"/>
              </w:numPr>
              <w:jc w:val="left"/>
              <w:rPr>
                <w:rFonts w:eastAsia="Times New Roman" w:cs="Calibri"/>
                <w:color w:val="000000"/>
                <w:sz w:val="20"/>
                <w:lang w:eastAsia="en-US"/>
              </w:rPr>
            </w:pPr>
            <w:r w:rsidRPr="00CE6A10">
              <w:rPr>
                <w:rFonts w:eastAsia="Times New Roman" w:cs="Calibri"/>
                <w:color w:val="000000"/>
                <w:sz w:val="20"/>
                <w:lang w:eastAsia="en-US"/>
              </w:rPr>
              <w:t>POR FSE 2014-2020: Offerta formativa ITS anno formativo 2018-2019</w:t>
            </w:r>
          </w:p>
          <w:p w14:paraId="5D8330A3" w14:textId="77777777" w:rsidR="00DD4F55" w:rsidRPr="00CE6A10" w:rsidRDefault="00DD4F55" w:rsidP="0038676D">
            <w:pPr>
              <w:pStyle w:val="Paragrafoelenco"/>
              <w:numPr>
                <w:ilvl w:val="0"/>
                <w:numId w:val="26"/>
              </w:numPr>
              <w:jc w:val="left"/>
              <w:rPr>
                <w:rFonts w:eastAsia="Times New Roman" w:cs="Calibri"/>
                <w:color w:val="000000"/>
                <w:sz w:val="20"/>
                <w:lang w:eastAsia="en-US"/>
              </w:rPr>
            </w:pPr>
            <w:r w:rsidRPr="00CE6A10">
              <w:rPr>
                <w:rFonts w:eastAsia="Times New Roman" w:cs="Calibri"/>
                <w:color w:val="000000"/>
                <w:sz w:val="20"/>
                <w:lang w:eastAsia="en-US"/>
              </w:rPr>
              <w:t>ITS 2019 2020</w:t>
            </w:r>
          </w:p>
        </w:tc>
      </w:tr>
    </w:tbl>
    <w:p w14:paraId="19492698" w14:textId="77777777" w:rsidR="00BA6B39" w:rsidRDefault="00BA6B39" w:rsidP="00A6156E"/>
    <w:p w14:paraId="265A4C85" w14:textId="77777777" w:rsidR="000053B7" w:rsidRDefault="000053B7">
      <w:pPr>
        <w:spacing w:after="320" w:line="300" w:lineRule="auto"/>
        <w:jc w:val="left"/>
      </w:pPr>
    </w:p>
    <w:p w14:paraId="4938230E" w14:textId="77777777" w:rsidR="000053B7" w:rsidRDefault="000053B7" w:rsidP="000053B7">
      <w:pPr>
        <w:pStyle w:val="Titolo2"/>
      </w:pPr>
      <w:bookmarkStart w:id="144" w:name="_Toc91081423"/>
      <w:r>
        <w:t>Allegato B: figure</w:t>
      </w:r>
      <w:r w:rsidR="00B01BF0">
        <w:t xml:space="preserve"> </w:t>
      </w:r>
      <w:r w:rsidR="00761DE3">
        <w:t xml:space="preserve">e tabelle aggiuntive </w:t>
      </w:r>
      <w:r w:rsidR="00B01BF0">
        <w:t>relative al focus valutativo sull’imprenditorialità</w:t>
      </w:r>
      <w:bookmarkEnd w:id="144"/>
    </w:p>
    <w:p w14:paraId="09A5B16C" w14:textId="77777777" w:rsidR="0027415B" w:rsidRDefault="0027415B" w:rsidP="0027415B"/>
    <w:p w14:paraId="34942DD7" w14:textId="77777777" w:rsidR="0027415B" w:rsidRDefault="00216F3A" w:rsidP="00216F3A">
      <w:pPr>
        <w:pStyle w:val="Titolo3"/>
      </w:pPr>
      <w:bookmarkStart w:id="145" w:name="_Toc91081424"/>
      <w:r>
        <w:t>Gli attori del mercato dei capitali</w:t>
      </w:r>
      <w:bookmarkEnd w:id="145"/>
      <w:r>
        <w:t xml:space="preserve"> </w:t>
      </w:r>
    </w:p>
    <w:p w14:paraId="33AF4E06" w14:textId="77777777" w:rsidR="00216F3A" w:rsidRDefault="00216F3A" w:rsidP="0027415B"/>
    <w:p w14:paraId="67510981" w14:textId="77777777" w:rsidR="0027415B" w:rsidRDefault="0027415B" w:rsidP="0027415B">
      <w:r>
        <w:t>N</w:t>
      </w:r>
      <w:r w:rsidRPr="00DD1A99">
        <w:t xml:space="preserve">el 2019 sono stati investiti 7.223 milioni di euro </w:t>
      </w:r>
      <w:r>
        <w:t xml:space="preserve">(Venture Capital e Private Equity) </w:t>
      </w:r>
      <w:r w:rsidRPr="00DD1A99">
        <w:t>in 272 società per un totale di 370 operazioni (</w:t>
      </w:r>
      <w:r>
        <w:t>fi</w:t>
      </w:r>
      <w:r w:rsidRPr="00DD1A99">
        <w:t xml:space="preserve">gura </w:t>
      </w:r>
      <w:r>
        <w:t>sotto</w:t>
      </w:r>
      <w:r w:rsidRPr="00DD1A99">
        <w:t>). L’ammontare investito risulta in diminuzione rispetto al 2018.</w:t>
      </w:r>
    </w:p>
    <w:p w14:paraId="2AE68516" w14:textId="77777777" w:rsidR="0027415B" w:rsidRDefault="0027415B" w:rsidP="0027415B"/>
    <w:p w14:paraId="688C740F" w14:textId="77777777" w:rsidR="0027415B" w:rsidRPr="00DD1A99" w:rsidRDefault="0027415B" w:rsidP="0027415B">
      <w:pPr>
        <w:pStyle w:val="Didascalia"/>
      </w:pPr>
      <w:bookmarkStart w:id="146" w:name="_Toc91081502"/>
      <w:r>
        <w:t xml:space="preserve">Figura </w:t>
      </w:r>
      <w:r w:rsidR="004E6566">
        <w:fldChar w:fldCharType="begin"/>
      </w:r>
      <w:r>
        <w:instrText xml:space="preserve"> SEQ Figura \* ARABIC </w:instrText>
      </w:r>
      <w:r w:rsidR="004E6566">
        <w:fldChar w:fldCharType="separate"/>
      </w:r>
      <w:r w:rsidR="00E53D6C">
        <w:rPr>
          <w:noProof/>
        </w:rPr>
        <w:t>33</w:t>
      </w:r>
      <w:r w:rsidR="004E6566">
        <w:fldChar w:fldCharType="end"/>
      </w:r>
      <w:r>
        <w:t xml:space="preserve">. </w:t>
      </w:r>
      <w:r w:rsidRPr="00151463">
        <w:t>Evoluzione dell’attività di investimento</w:t>
      </w:r>
      <w:r>
        <w:t xml:space="preserve"> (Venture Capital e Private Equity)</w:t>
      </w:r>
      <w:bookmarkEnd w:id="146"/>
    </w:p>
    <w:p w14:paraId="6F4D3FD5" w14:textId="77777777" w:rsidR="0027415B" w:rsidRPr="00DD1A99" w:rsidRDefault="0027415B" w:rsidP="0027415B">
      <w:r w:rsidRPr="00DD1A99">
        <w:rPr>
          <w:noProof/>
          <w:lang w:eastAsia="it-IT"/>
        </w:rPr>
        <w:drawing>
          <wp:inline distT="0" distB="0" distL="0" distR="0" wp14:anchorId="76518556" wp14:editId="3075386B">
            <wp:extent cx="5467350" cy="2150110"/>
            <wp:effectExtent l="0" t="0" r="0" b="2540"/>
            <wp:docPr id="56"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52">
                      <a:duotone>
                        <a:prstClr val="black"/>
                        <a:schemeClr val="accent2">
                          <a:tint val="45000"/>
                          <a:satMod val="400000"/>
                        </a:schemeClr>
                      </a:duotone>
                    </a:blip>
                    <a:srcRect t="-1" b="2762"/>
                    <a:stretch>
                      <a:fillRect/>
                    </a:stretch>
                  </pic:blipFill>
                  <pic:spPr>
                    <a:xfrm>
                      <a:off x="0" y="0"/>
                      <a:ext cx="5476075" cy="2153541"/>
                    </a:xfrm>
                    <a:prstGeom prst="rect">
                      <a:avLst/>
                    </a:prstGeom>
                    <a:ln/>
                  </pic:spPr>
                </pic:pic>
              </a:graphicData>
            </a:graphic>
          </wp:inline>
        </w:drawing>
      </w:r>
    </w:p>
    <w:p w14:paraId="0196CD29" w14:textId="77777777" w:rsidR="0027415B" w:rsidRDefault="0027415B" w:rsidP="00F06E3B">
      <w:pPr>
        <w:pStyle w:val="Fonte"/>
      </w:pPr>
      <w:r w:rsidRPr="00DD1A99">
        <w:t>Fonte: Il mercato italiano del private equity e venture capital, 2019, AIFI</w:t>
      </w:r>
    </w:p>
    <w:p w14:paraId="11495E43" w14:textId="77777777" w:rsidR="0027415B" w:rsidRPr="00DD1A99" w:rsidRDefault="0027415B" w:rsidP="0027415B"/>
    <w:p w14:paraId="46B1E4F1" w14:textId="77777777" w:rsidR="0027415B" w:rsidRDefault="0027415B" w:rsidP="0027415B">
      <w:r w:rsidRPr="00DD1A99">
        <w:t xml:space="preserve">Soffermandosi sull’analisi dell’ammontare investito è interessante </w:t>
      </w:r>
      <w:r>
        <w:t xml:space="preserve">metterlo </w:t>
      </w:r>
      <w:r w:rsidRPr="00DD1A99">
        <w:t>in relazione alla dimensione dell’operazione (</w:t>
      </w:r>
      <w:r>
        <w:t>f</w:t>
      </w:r>
      <w:r w:rsidRPr="00DD1A99">
        <w:t xml:space="preserve">igura </w:t>
      </w:r>
      <w:r>
        <w:t>sotto</w:t>
      </w:r>
      <w:r w:rsidRPr="00DD1A99">
        <w:t xml:space="preserve">). Le statistiche elaborate distinguono le dimensioni delle operazioni in due categorie: “small e medium </w:t>
      </w:r>
      <w:proofErr w:type="spellStart"/>
      <w:r w:rsidRPr="00DD1A99">
        <w:t>deal</w:t>
      </w:r>
      <w:proofErr w:type="spellEnd"/>
      <w:r w:rsidRPr="00DD1A99">
        <w:t xml:space="preserve">” e “large e mega </w:t>
      </w:r>
      <w:proofErr w:type="spellStart"/>
      <w:r w:rsidRPr="00DD1A99">
        <w:t>deal</w:t>
      </w:r>
      <w:proofErr w:type="spellEnd"/>
      <w:r w:rsidRPr="00DD1A99">
        <w:t xml:space="preserve">”. La prima, “small e medium </w:t>
      </w:r>
      <w:proofErr w:type="spellStart"/>
      <w:r w:rsidRPr="00DD1A99">
        <w:t>deal</w:t>
      </w:r>
      <w:proofErr w:type="spellEnd"/>
      <w:r w:rsidRPr="00DD1A99">
        <w:t xml:space="preserve">”, riguarda quelle operazioni con un ammontare inferiore a 150 milioni di euro; la seconda, “large e mega </w:t>
      </w:r>
      <w:proofErr w:type="spellStart"/>
      <w:r w:rsidRPr="00DD1A99">
        <w:t>deal</w:t>
      </w:r>
      <w:proofErr w:type="spellEnd"/>
      <w:r w:rsidRPr="00DD1A99">
        <w:t xml:space="preserve">”, riguarda operazioni con equity versato superiore a tale soglia. Si può osservare come nel 2019 l’ammontare investito sia ripartito in maniera simile tra le due categorie, con un investimento leggermente più alto per le operazioni “small e medium </w:t>
      </w:r>
      <w:proofErr w:type="spellStart"/>
      <w:r w:rsidRPr="00DD1A99">
        <w:t>deal</w:t>
      </w:r>
      <w:proofErr w:type="spellEnd"/>
      <w:r w:rsidRPr="00DD1A99">
        <w:t xml:space="preserve">”. Quest’ultima tipologia di operazioni risulta in linea rispetto all’anno precedente, mentre le operazioni “large e mega </w:t>
      </w:r>
      <w:proofErr w:type="spellStart"/>
      <w:r w:rsidRPr="00DD1A99">
        <w:t>deal</w:t>
      </w:r>
      <w:proofErr w:type="spellEnd"/>
      <w:r w:rsidRPr="00DD1A99">
        <w:t>” risultano in diminuzione.</w:t>
      </w:r>
    </w:p>
    <w:p w14:paraId="31A8C429" w14:textId="77777777" w:rsidR="0027415B" w:rsidRDefault="0027415B" w:rsidP="0027415B"/>
    <w:p w14:paraId="327A2985" w14:textId="77777777" w:rsidR="0027415B" w:rsidRDefault="0027415B" w:rsidP="0027415B">
      <w:pPr>
        <w:pStyle w:val="Didascalia"/>
      </w:pPr>
      <w:bookmarkStart w:id="147" w:name="_Toc91081503"/>
      <w:r>
        <w:t xml:space="preserve">Figura </w:t>
      </w:r>
      <w:r w:rsidR="004E6566">
        <w:fldChar w:fldCharType="begin"/>
      </w:r>
      <w:r>
        <w:instrText xml:space="preserve"> SEQ Figura \* ARABIC </w:instrText>
      </w:r>
      <w:r w:rsidR="004E6566">
        <w:fldChar w:fldCharType="separate"/>
      </w:r>
      <w:r w:rsidR="00E53D6C">
        <w:rPr>
          <w:noProof/>
        </w:rPr>
        <w:t>34</w:t>
      </w:r>
      <w:r w:rsidR="004E6566">
        <w:fldChar w:fldCharType="end"/>
      </w:r>
      <w:r>
        <w:t xml:space="preserve">. </w:t>
      </w:r>
      <w:r w:rsidRPr="00E778F6">
        <w:t xml:space="preserve">Evoluzione dell’ammontare investito </w:t>
      </w:r>
      <w:r>
        <w:t xml:space="preserve">(Venture Capital e Private Equity) </w:t>
      </w:r>
      <w:r w:rsidRPr="00E778F6">
        <w:t>per dimensione dell’operazione</w:t>
      </w:r>
      <w:bookmarkEnd w:id="147"/>
    </w:p>
    <w:p w14:paraId="139797E1" w14:textId="77777777" w:rsidR="0027415B" w:rsidRPr="00DD1A99" w:rsidRDefault="0027415B" w:rsidP="0027415B">
      <w:r w:rsidRPr="00DD1A99">
        <w:rPr>
          <w:noProof/>
          <w:lang w:eastAsia="it-IT"/>
        </w:rPr>
        <w:drawing>
          <wp:inline distT="0" distB="0" distL="0" distR="0" wp14:anchorId="1C02243C" wp14:editId="1934D097">
            <wp:extent cx="5589767" cy="2277330"/>
            <wp:effectExtent l="0" t="0" r="0" b="0"/>
            <wp:docPr id="2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53">
                      <a:duotone>
                        <a:prstClr val="black"/>
                        <a:schemeClr val="accent2">
                          <a:tint val="45000"/>
                          <a:satMod val="400000"/>
                        </a:schemeClr>
                      </a:duotone>
                    </a:blip>
                    <a:srcRect/>
                    <a:stretch>
                      <a:fillRect/>
                    </a:stretch>
                  </pic:blipFill>
                  <pic:spPr>
                    <a:xfrm>
                      <a:off x="0" y="0"/>
                      <a:ext cx="5596999" cy="2280276"/>
                    </a:xfrm>
                    <a:prstGeom prst="rect">
                      <a:avLst/>
                    </a:prstGeom>
                    <a:ln/>
                  </pic:spPr>
                </pic:pic>
              </a:graphicData>
            </a:graphic>
          </wp:inline>
        </w:drawing>
      </w:r>
    </w:p>
    <w:p w14:paraId="39AA4DEF" w14:textId="77777777" w:rsidR="0027415B" w:rsidRDefault="0027415B" w:rsidP="00F06E3B">
      <w:pPr>
        <w:pStyle w:val="Fonte"/>
      </w:pPr>
      <w:r w:rsidRPr="00DD1A99">
        <w:t>Fonte: Il mercato italiano del private equity e venture capital, 2019, AIFI</w:t>
      </w:r>
    </w:p>
    <w:p w14:paraId="557C9055" w14:textId="77777777" w:rsidR="00216F3A" w:rsidRPr="00DD1A99" w:rsidRDefault="00216F3A" w:rsidP="00216F3A">
      <w:pPr>
        <w:pStyle w:val="Didascalia"/>
        <w:rPr>
          <w:b w:val="0"/>
          <w:bCs/>
        </w:rPr>
      </w:pPr>
      <w:bookmarkStart w:id="148" w:name="_Toc91081469"/>
      <w:r>
        <w:t xml:space="preserve">Tabella </w:t>
      </w:r>
      <w:r w:rsidR="004E6566">
        <w:fldChar w:fldCharType="begin"/>
      </w:r>
      <w:r>
        <w:instrText xml:space="preserve"> SEQ Tabella \* ARABIC </w:instrText>
      </w:r>
      <w:r w:rsidR="004E6566">
        <w:fldChar w:fldCharType="separate"/>
      </w:r>
      <w:r w:rsidR="00E53D6C">
        <w:rPr>
          <w:noProof/>
        </w:rPr>
        <w:t>43</w:t>
      </w:r>
      <w:r w:rsidR="004E6566">
        <w:fldChar w:fldCharType="end"/>
      </w:r>
      <w:r>
        <w:t xml:space="preserve">. </w:t>
      </w:r>
      <w:r w:rsidRPr="00B15AEE">
        <w:t>Statistiche sulle 595 offerte di equity crowdfunding del campione: target di raccolta (euro)</w:t>
      </w:r>
      <w:bookmarkEnd w:id="148"/>
    </w:p>
    <w:tbl>
      <w:tblPr>
        <w:tblW w:w="98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510"/>
        <w:gridCol w:w="1418"/>
        <w:gridCol w:w="1701"/>
        <w:gridCol w:w="1559"/>
        <w:gridCol w:w="1701"/>
      </w:tblGrid>
      <w:tr w:rsidR="00216F3A" w:rsidRPr="0032008C" w14:paraId="3E645BDE" w14:textId="77777777" w:rsidTr="00AF58DF">
        <w:trPr>
          <w:trHeight w:val="569"/>
        </w:trPr>
        <w:tc>
          <w:tcPr>
            <w:tcW w:w="3510" w:type="dxa"/>
            <w:shd w:val="clear" w:color="auto" w:fill="669748" w:themeFill="accent2" w:themeFillShade="BF"/>
            <w:vAlign w:val="center"/>
          </w:tcPr>
          <w:p w14:paraId="26B9E3CC" w14:textId="77777777" w:rsidR="00216F3A" w:rsidRPr="00825203" w:rsidRDefault="00216F3A" w:rsidP="00AF58DF">
            <w:pPr>
              <w:spacing w:line="300" w:lineRule="auto"/>
              <w:jc w:val="left"/>
              <w:rPr>
                <w:b/>
                <w:color w:val="FFFFFF" w:themeColor="background1"/>
                <w:sz w:val="20"/>
              </w:rPr>
            </w:pPr>
            <w:r w:rsidRPr="00825203">
              <w:rPr>
                <w:b/>
                <w:color w:val="FFFFFF" w:themeColor="background1"/>
                <w:sz w:val="20"/>
              </w:rPr>
              <w:t>Target di raccolta medio (€)</w:t>
            </w:r>
          </w:p>
        </w:tc>
        <w:tc>
          <w:tcPr>
            <w:tcW w:w="1418" w:type="dxa"/>
            <w:shd w:val="clear" w:color="auto" w:fill="669748" w:themeFill="accent2" w:themeFillShade="BF"/>
            <w:vAlign w:val="center"/>
          </w:tcPr>
          <w:p w14:paraId="4464D78F" w14:textId="77777777" w:rsidR="00216F3A" w:rsidRPr="00825203" w:rsidRDefault="00216F3A" w:rsidP="00825203">
            <w:pPr>
              <w:spacing w:line="300" w:lineRule="auto"/>
              <w:jc w:val="right"/>
              <w:rPr>
                <w:b/>
                <w:color w:val="FFFFFF" w:themeColor="background1"/>
                <w:sz w:val="20"/>
              </w:rPr>
            </w:pPr>
            <w:r w:rsidRPr="00825203">
              <w:rPr>
                <w:b/>
                <w:color w:val="FFFFFF" w:themeColor="background1"/>
                <w:sz w:val="20"/>
              </w:rPr>
              <w:t>Valore medio</w:t>
            </w:r>
          </w:p>
        </w:tc>
        <w:tc>
          <w:tcPr>
            <w:tcW w:w="1701" w:type="dxa"/>
            <w:shd w:val="clear" w:color="auto" w:fill="669748" w:themeFill="accent2" w:themeFillShade="BF"/>
            <w:vAlign w:val="center"/>
          </w:tcPr>
          <w:p w14:paraId="6BAE699B" w14:textId="77777777" w:rsidR="00216F3A" w:rsidRPr="00825203" w:rsidRDefault="00216F3A" w:rsidP="00825203">
            <w:pPr>
              <w:spacing w:line="300" w:lineRule="auto"/>
              <w:jc w:val="right"/>
              <w:rPr>
                <w:b/>
                <w:color w:val="FFFFFF" w:themeColor="background1"/>
                <w:sz w:val="20"/>
              </w:rPr>
            </w:pPr>
            <w:r w:rsidRPr="00825203">
              <w:rPr>
                <w:b/>
                <w:color w:val="FFFFFF" w:themeColor="background1"/>
                <w:sz w:val="20"/>
              </w:rPr>
              <w:t>Valore mediano</w:t>
            </w:r>
          </w:p>
        </w:tc>
        <w:tc>
          <w:tcPr>
            <w:tcW w:w="1559" w:type="dxa"/>
            <w:shd w:val="clear" w:color="auto" w:fill="669748" w:themeFill="accent2" w:themeFillShade="BF"/>
            <w:vAlign w:val="center"/>
          </w:tcPr>
          <w:p w14:paraId="1D16454A" w14:textId="77777777" w:rsidR="00216F3A" w:rsidRPr="00825203" w:rsidRDefault="00216F3A" w:rsidP="00825203">
            <w:pPr>
              <w:spacing w:line="300" w:lineRule="auto"/>
              <w:jc w:val="right"/>
              <w:rPr>
                <w:b/>
                <w:color w:val="FFFFFF" w:themeColor="background1"/>
                <w:sz w:val="20"/>
              </w:rPr>
            </w:pPr>
            <w:r w:rsidRPr="00825203">
              <w:rPr>
                <w:b/>
                <w:color w:val="FFFFFF" w:themeColor="background1"/>
                <w:sz w:val="20"/>
              </w:rPr>
              <w:t>Valore minimo</w:t>
            </w:r>
          </w:p>
        </w:tc>
        <w:tc>
          <w:tcPr>
            <w:tcW w:w="1701" w:type="dxa"/>
            <w:shd w:val="clear" w:color="auto" w:fill="669748" w:themeFill="accent2" w:themeFillShade="BF"/>
            <w:vAlign w:val="center"/>
          </w:tcPr>
          <w:p w14:paraId="7A6CE399" w14:textId="77777777" w:rsidR="00216F3A" w:rsidRPr="00825203" w:rsidRDefault="00216F3A" w:rsidP="00825203">
            <w:pPr>
              <w:spacing w:line="300" w:lineRule="auto"/>
              <w:jc w:val="right"/>
              <w:rPr>
                <w:b/>
                <w:color w:val="FFFFFF" w:themeColor="background1"/>
                <w:sz w:val="20"/>
              </w:rPr>
            </w:pPr>
            <w:r w:rsidRPr="00825203">
              <w:rPr>
                <w:b/>
                <w:color w:val="FFFFFF" w:themeColor="background1"/>
                <w:sz w:val="20"/>
              </w:rPr>
              <w:t>Valore massimo</w:t>
            </w:r>
          </w:p>
        </w:tc>
      </w:tr>
      <w:tr w:rsidR="00216F3A" w:rsidRPr="00DD1A99" w14:paraId="274BDD7F" w14:textId="77777777" w:rsidTr="00AF58DF">
        <w:trPr>
          <w:trHeight w:val="421"/>
        </w:trPr>
        <w:tc>
          <w:tcPr>
            <w:tcW w:w="3510" w:type="dxa"/>
            <w:shd w:val="clear" w:color="auto" w:fill="D9D9D9"/>
            <w:vAlign w:val="center"/>
          </w:tcPr>
          <w:p w14:paraId="2B253415" w14:textId="77777777" w:rsidR="00216F3A" w:rsidRPr="00825203" w:rsidRDefault="00216F3A" w:rsidP="00AF58DF">
            <w:pPr>
              <w:spacing w:line="300" w:lineRule="auto"/>
              <w:jc w:val="left"/>
              <w:rPr>
                <w:b/>
                <w:sz w:val="20"/>
              </w:rPr>
            </w:pPr>
            <w:r w:rsidRPr="00825203">
              <w:rPr>
                <w:b/>
                <w:sz w:val="20"/>
              </w:rPr>
              <w:t>Progetti non immobiliari</w:t>
            </w:r>
          </w:p>
        </w:tc>
        <w:tc>
          <w:tcPr>
            <w:tcW w:w="1418" w:type="dxa"/>
            <w:shd w:val="clear" w:color="auto" w:fill="D9D9D9"/>
            <w:vAlign w:val="center"/>
          </w:tcPr>
          <w:p w14:paraId="4D4BDAB3" w14:textId="77777777" w:rsidR="00216F3A" w:rsidRPr="00825203" w:rsidRDefault="00216F3A" w:rsidP="00825203">
            <w:pPr>
              <w:spacing w:line="300" w:lineRule="auto"/>
              <w:jc w:val="right"/>
              <w:rPr>
                <w:b/>
                <w:sz w:val="20"/>
              </w:rPr>
            </w:pPr>
            <w:r w:rsidRPr="00825203">
              <w:rPr>
                <w:b/>
                <w:sz w:val="20"/>
              </w:rPr>
              <w:t>192.481</w:t>
            </w:r>
          </w:p>
        </w:tc>
        <w:tc>
          <w:tcPr>
            <w:tcW w:w="1701" w:type="dxa"/>
            <w:shd w:val="clear" w:color="auto" w:fill="D9D9D9"/>
            <w:vAlign w:val="center"/>
          </w:tcPr>
          <w:p w14:paraId="7211F365" w14:textId="77777777" w:rsidR="00216F3A" w:rsidRPr="00825203" w:rsidRDefault="00216F3A" w:rsidP="00825203">
            <w:pPr>
              <w:spacing w:line="300" w:lineRule="auto"/>
              <w:jc w:val="right"/>
              <w:rPr>
                <w:b/>
                <w:sz w:val="20"/>
              </w:rPr>
            </w:pPr>
            <w:r w:rsidRPr="00825203">
              <w:rPr>
                <w:b/>
                <w:sz w:val="20"/>
              </w:rPr>
              <w:t>100.000</w:t>
            </w:r>
          </w:p>
        </w:tc>
        <w:tc>
          <w:tcPr>
            <w:tcW w:w="1559" w:type="dxa"/>
            <w:shd w:val="clear" w:color="auto" w:fill="D9D9D9"/>
            <w:vAlign w:val="center"/>
          </w:tcPr>
          <w:p w14:paraId="35B358E3" w14:textId="77777777" w:rsidR="00216F3A" w:rsidRPr="00825203" w:rsidRDefault="00216F3A" w:rsidP="00825203">
            <w:pPr>
              <w:spacing w:line="300" w:lineRule="auto"/>
              <w:jc w:val="right"/>
              <w:rPr>
                <w:b/>
                <w:sz w:val="20"/>
              </w:rPr>
            </w:pPr>
            <w:r w:rsidRPr="00825203">
              <w:rPr>
                <w:b/>
                <w:sz w:val="20"/>
              </w:rPr>
              <w:t>13.500</w:t>
            </w:r>
          </w:p>
        </w:tc>
        <w:tc>
          <w:tcPr>
            <w:tcW w:w="1701" w:type="dxa"/>
            <w:shd w:val="clear" w:color="auto" w:fill="D9D9D9"/>
            <w:vAlign w:val="center"/>
          </w:tcPr>
          <w:p w14:paraId="3C65C539" w14:textId="77777777" w:rsidR="00216F3A" w:rsidRPr="00825203" w:rsidRDefault="00216F3A" w:rsidP="00825203">
            <w:pPr>
              <w:spacing w:line="300" w:lineRule="auto"/>
              <w:jc w:val="right"/>
              <w:rPr>
                <w:b/>
                <w:sz w:val="20"/>
              </w:rPr>
            </w:pPr>
            <w:r w:rsidRPr="00825203">
              <w:rPr>
                <w:b/>
                <w:sz w:val="20"/>
              </w:rPr>
              <w:t>3.000.000</w:t>
            </w:r>
          </w:p>
        </w:tc>
      </w:tr>
      <w:tr w:rsidR="00216F3A" w:rsidRPr="00DD1A99" w14:paraId="74BD3B39" w14:textId="77777777" w:rsidTr="00AF58DF">
        <w:tc>
          <w:tcPr>
            <w:tcW w:w="3510" w:type="dxa"/>
            <w:vAlign w:val="center"/>
          </w:tcPr>
          <w:p w14:paraId="247D170C" w14:textId="77777777" w:rsidR="00216F3A" w:rsidRPr="00825203" w:rsidRDefault="00216F3A" w:rsidP="00AF58DF">
            <w:pPr>
              <w:spacing w:line="300" w:lineRule="auto"/>
              <w:jc w:val="left"/>
              <w:rPr>
                <w:sz w:val="20"/>
              </w:rPr>
            </w:pPr>
            <w:r w:rsidRPr="00825203">
              <w:rPr>
                <w:sz w:val="20"/>
              </w:rPr>
              <w:t>2014</w:t>
            </w:r>
          </w:p>
        </w:tc>
        <w:tc>
          <w:tcPr>
            <w:tcW w:w="1418" w:type="dxa"/>
            <w:vAlign w:val="center"/>
          </w:tcPr>
          <w:p w14:paraId="6DE9ECE4" w14:textId="77777777" w:rsidR="00216F3A" w:rsidRPr="00825203" w:rsidRDefault="00216F3A" w:rsidP="00825203">
            <w:pPr>
              <w:spacing w:line="300" w:lineRule="auto"/>
              <w:jc w:val="right"/>
              <w:rPr>
                <w:sz w:val="20"/>
              </w:rPr>
            </w:pPr>
            <w:r w:rsidRPr="00825203">
              <w:rPr>
                <w:sz w:val="20"/>
              </w:rPr>
              <w:t>284.745</w:t>
            </w:r>
          </w:p>
        </w:tc>
        <w:tc>
          <w:tcPr>
            <w:tcW w:w="1701" w:type="dxa"/>
            <w:vAlign w:val="center"/>
          </w:tcPr>
          <w:p w14:paraId="4231D63F" w14:textId="77777777" w:rsidR="00216F3A" w:rsidRPr="00825203" w:rsidRDefault="00216F3A" w:rsidP="00825203">
            <w:pPr>
              <w:spacing w:line="300" w:lineRule="auto"/>
              <w:jc w:val="right"/>
              <w:rPr>
                <w:sz w:val="20"/>
              </w:rPr>
            </w:pPr>
            <w:r w:rsidRPr="00825203">
              <w:rPr>
                <w:sz w:val="20"/>
              </w:rPr>
              <w:t>250.000</w:t>
            </w:r>
          </w:p>
        </w:tc>
        <w:tc>
          <w:tcPr>
            <w:tcW w:w="1559" w:type="dxa"/>
            <w:vAlign w:val="center"/>
          </w:tcPr>
          <w:p w14:paraId="0CF50CA0" w14:textId="77777777" w:rsidR="00216F3A" w:rsidRPr="00825203" w:rsidRDefault="00216F3A" w:rsidP="00825203">
            <w:pPr>
              <w:spacing w:line="300" w:lineRule="auto"/>
              <w:jc w:val="right"/>
              <w:rPr>
                <w:sz w:val="20"/>
              </w:rPr>
            </w:pPr>
            <w:r w:rsidRPr="00825203">
              <w:rPr>
                <w:sz w:val="20"/>
              </w:rPr>
              <w:t>99.200</w:t>
            </w:r>
          </w:p>
        </w:tc>
        <w:tc>
          <w:tcPr>
            <w:tcW w:w="1701" w:type="dxa"/>
            <w:vAlign w:val="center"/>
          </w:tcPr>
          <w:p w14:paraId="2FF21285" w14:textId="77777777" w:rsidR="00216F3A" w:rsidRPr="00825203" w:rsidRDefault="00216F3A" w:rsidP="00825203">
            <w:pPr>
              <w:spacing w:line="300" w:lineRule="auto"/>
              <w:jc w:val="right"/>
              <w:rPr>
                <w:sz w:val="20"/>
              </w:rPr>
            </w:pPr>
            <w:r w:rsidRPr="00825203">
              <w:rPr>
                <w:sz w:val="20"/>
              </w:rPr>
              <w:t>636.000</w:t>
            </w:r>
          </w:p>
        </w:tc>
      </w:tr>
      <w:tr w:rsidR="00216F3A" w:rsidRPr="00DD1A99" w14:paraId="550ADEE3" w14:textId="77777777" w:rsidTr="00AF58DF">
        <w:tc>
          <w:tcPr>
            <w:tcW w:w="3510" w:type="dxa"/>
            <w:vAlign w:val="center"/>
          </w:tcPr>
          <w:p w14:paraId="1A9601C8" w14:textId="77777777" w:rsidR="00216F3A" w:rsidRPr="00825203" w:rsidRDefault="00216F3A" w:rsidP="00AF58DF">
            <w:pPr>
              <w:spacing w:line="300" w:lineRule="auto"/>
              <w:jc w:val="left"/>
              <w:rPr>
                <w:sz w:val="20"/>
              </w:rPr>
            </w:pPr>
            <w:r w:rsidRPr="00825203">
              <w:rPr>
                <w:sz w:val="20"/>
              </w:rPr>
              <w:t>2015</w:t>
            </w:r>
          </w:p>
        </w:tc>
        <w:tc>
          <w:tcPr>
            <w:tcW w:w="1418" w:type="dxa"/>
            <w:vAlign w:val="center"/>
          </w:tcPr>
          <w:p w14:paraId="07CF03BE" w14:textId="77777777" w:rsidR="00216F3A" w:rsidRPr="00825203" w:rsidRDefault="00216F3A" w:rsidP="00825203">
            <w:pPr>
              <w:spacing w:line="300" w:lineRule="auto"/>
              <w:jc w:val="right"/>
              <w:rPr>
                <w:sz w:val="20"/>
              </w:rPr>
            </w:pPr>
            <w:r w:rsidRPr="00825203">
              <w:rPr>
                <w:sz w:val="20"/>
              </w:rPr>
              <w:t>421.201</w:t>
            </w:r>
          </w:p>
        </w:tc>
        <w:tc>
          <w:tcPr>
            <w:tcW w:w="1701" w:type="dxa"/>
            <w:vAlign w:val="center"/>
          </w:tcPr>
          <w:p w14:paraId="2BCF3856" w14:textId="77777777" w:rsidR="00216F3A" w:rsidRPr="00825203" w:rsidRDefault="00216F3A" w:rsidP="00825203">
            <w:pPr>
              <w:spacing w:line="300" w:lineRule="auto"/>
              <w:jc w:val="right"/>
              <w:rPr>
                <w:sz w:val="20"/>
              </w:rPr>
            </w:pPr>
            <w:r w:rsidRPr="00825203">
              <w:rPr>
                <w:sz w:val="20"/>
              </w:rPr>
              <w:t>325.000</w:t>
            </w:r>
          </w:p>
        </w:tc>
        <w:tc>
          <w:tcPr>
            <w:tcW w:w="1559" w:type="dxa"/>
            <w:vAlign w:val="center"/>
          </w:tcPr>
          <w:p w14:paraId="47B10A71" w14:textId="77777777" w:rsidR="00216F3A" w:rsidRPr="00825203" w:rsidRDefault="00216F3A" w:rsidP="00825203">
            <w:pPr>
              <w:spacing w:line="300" w:lineRule="auto"/>
              <w:jc w:val="right"/>
              <w:rPr>
                <w:sz w:val="20"/>
              </w:rPr>
            </w:pPr>
            <w:r w:rsidRPr="00825203">
              <w:rPr>
                <w:sz w:val="20"/>
              </w:rPr>
              <w:t>80.000</w:t>
            </w:r>
          </w:p>
        </w:tc>
        <w:tc>
          <w:tcPr>
            <w:tcW w:w="1701" w:type="dxa"/>
            <w:vAlign w:val="center"/>
          </w:tcPr>
          <w:p w14:paraId="6DEA6AAA" w14:textId="77777777" w:rsidR="00216F3A" w:rsidRPr="00825203" w:rsidRDefault="00216F3A" w:rsidP="00825203">
            <w:pPr>
              <w:spacing w:line="300" w:lineRule="auto"/>
              <w:jc w:val="right"/>
              <w:rPr>
                <w:sz w:val="20"/>
              </w:rPr>
            </w:pPr>
            <w:r w:rsidRPr="00825203">
              <w:rPr>
                <w:sz w:val="20"/>
              </w:rPr>
              <w:t>1.000.227</w:t>
            </w:r>
          </w:p>
        </w:tc>
      </w:tr>
      <w:tr w:rsidR="00216F3A" w:rsidRPr="00DD1A99" w14:paraId="125E8A53" w14:textId="77777777" w:rsidTr="00AF58DF">
        <w:tc>
          <w:tcPr>
            <w:tcW w:w="3510" w:type="dxa"/>
            <w:vAlign w:val="center"/>
          </w:tcPr>
          <w:p w14:paraId="1D15904B" w14:textId="77777777" w:rsidR="00216F3A" w:rsidRPr="00825203" w:rsidRDefault="00216F3A" w:rsidP="00AF58DF">
            <w:pPr>
              <w:spacing w:line="300" w:lineRule="auto"/>
              <w:jc w:val="left"/>
              <w:rPr>
                <w:sz w:val="20"/>
              </w:rPr>
            </w:pPr>
            <w:r w:rsidRPr="00825203">
              <w:rPr>
                <w:sz w:val="20"/>
              </w:rPr>
              <w:t>2016</w:t>
            </w:r>
          </w:p>
        </w:tc>
        <w:tc>
          <w:tcPr>
            <w:tcW w:w="1418" w:type="dxa"/>
            <w:vAlign w:val="center"/>
          </w:tcPr>
          <w:p w14:paraId="5F4D6150" w14:textId="77777777" w:rsidR="00216F3A" w:rsidRPr="00825203" w:rsidRDefault="00216F3A" w:rsidP="00825203">
            <w:pPr>
              <w:spacing w:line="300" w:lineRule="auto"/>
              <w:jc w:val="right"/>
              <w:rPr>
                <w:sz w:val="20"/>
              </w:rPr>
            </w:pPr>
            <w:r w:rsidRPr="00825203">
              <w:rPr>
                <w:sz w:val="20"/>
              </w:rPr>
              <w:t>210.233</w:t>
            </w:r>
          </w:p>
        </w:tc>
        <w:tc>
          <w:tcPr>
            <w:tcW w:w="1701" w:type="dxa"/>
            <w:vAlign w:val="center"/>
          </w:tcPr>
          <w:p w14:paraId="369B329F" w14:textId="77777777" w:rsidR="00216F3A" w:rsidRPr="00825203" w:rsidRDefault="00216F3A" w:rsidP="00825203">
            <w:pPr>
              <w:spacing w:line="300" w:lineRule="auto"/>
              <w:jc w:val="right"/>
              <w:rPr>
                <w:sz w:val="20"/>
              </w:rPr>
            </w:pPr>
            <w:r w:rsidRPr="00825203">
              <w:rPr>
                <w:sz w:val="20"/>
              </w:rPr>
              <w:t>149.980</w:t>
            </w:r>
          </w:p>
        </w:tc>
        <w:tc>
          <w:tcPr>
            <w:tcW w:w="1559" w:type="dxa"/>
            <w:vAlign w:val="center"/>
          </w:tcPr>
          <w:p w14:paraId="7AF1E190" w14:textId="77777777" w:rsidR="00216F3A" w:rsidRPr="00825203" w:rsidRDefault="00216F3A" w:rsidP="00825203">
            <w:pPr>
              <w:spacing w:line="300" w:lineRule="auto"/>
              <w:jc w:val="right"/>
              <w:rPr>
                <w:sz w:val="20"/>
              </w:rPr>
            </w:pPr>
            <w:r w:rsidRPr="00825203">
              <w:rPr>
                <w:sz w:val="20"/>
              </w:rPr>
              <w:t>50.000</w:t>
            </w:r>
          </w:p>
        </w:tc>
        <w:tc>
          <w:tcPr>
            <w:tcW w:w="1701" w:type="dxa"/>
            <w:vAlign w:val="center"/>
          </w:tcPr>
          <w:p w14:paraId="2C674F6B" w14:textId="77777777" w:rsidR="00216F3A" w:rsidRPr="00825203" w:rsidRDefault="00216F3A" w:rsidP="00825203">
            <w:pPr>
              <w:spacing w:line="300" w:lineRule="auto"/>
              <w:jc w:val="right"/>
              <w:rPr>
                <w:sz w:val="20"/>
              </w:rPr>
            </w:pPr>
            <w:r w:rsidRPr="00825203">
              <w:rPr>
                <w:sz w:val="20"/>
              </w:rPr>
              <w:t>720.000</w:t>
            </w:r>
          </w:p>
        </w:tc>
      </w:tr>
      <w:tr w:rsidR="00216F3A" w:rsidRPr="00DD1A99" w14:paraId="0BEF6F8C" w14:textId="77777777" w:rsidTr="00AF58DF">
        <w:tc>
          <w:tcPr>
            <w:tcW w:w="3510" w:type="dxa"/>
            <w:vAlign w:val="center"/>
          </w:tcPr>
          <w:p w14:paraId="4FED4C72" w14:textId="77777777" w:rsidR="00216F3A" w:rsidRPr="00825203" w:rsidRDefault="00216F3A" w:rsidP="00AF58DF">
            <w:pPr>
              <w:spacing w:line="300" w:lineRule="auto"/>
              <w:jc w:val="left"/>
              <w:rPr>
                <w:sz w:val="20"/>
              </w:rPr>
            </w:pPr>
            <w:r w:rsidRPr="00825203">
              <w:rPr>
                <w:sz w:val="20"/>
              </w:rPr>
              <w:t>2017</w:t>
            </w:r>
          </w:p>
        </w:tc>
        <w:tc>
          <w:tcPr>
            <w:tcW w:w="1418" w:type="dxa"/>
            <w:vAlign w:val="center"/>
          </w:tcPr>
          <w:p w14:paraId="5D9A9764" w14:textId="77777777" w:rsidR="00216F3A" w:rsidRPr="00825203" w:rsidRDefault="00216F3A" w:rsidP="00825203">
            <w:pPr>
              <w:spacing w:line="300" w:lineRule="auto"/>
              <w:jc w:val="right"/>
              <w:rPr>
                <w:sz w:val="20"/>
              </w:rPr>
            </w:pPr>
            <w:r w:rsidRPr="00825203">
              <w:rPr>
                <w:sz w:val="20"/>
              </w:rPr>
              <w:t>174.001</w:t>
            </w:r>
          </w:p>
        </w:tc>
        <w:tc>
          <w:tcPr>
            <w:tcW w:w="1701" w:type="dxa"/>
            <w:vAlign w:val="center"/>
          </w:tcPr>
          <w:p w14:paraId="0EAEB956" w14:textId="77777777" w:rsidR="00216F3A" w:rsidRPr="00825203" w:rsidRDefault="00216F3A" w:rsidP="00825203">
            <w:pPr>
              <w:spacing w:line="300" w:lineRule="auto"/>
              <w:jc w:val="right"/>
              <w:rPr>
                <w:sz w:val="20"/>
              </w:rPr>
            </w:pPr>
            <w:r w:rsidRPr="00825203">
              <w:rPr>
                <w:sz w:val="20"/>
              </w:rPr>
              <w:t>120.000</w:t>
            </w:r>
          </w:p>
        </w:tc>
        <w:tc>
          <w:tcPr>
            <w:tcW w:w="1559" w:type="dxa"/>
            <w:vAlign w:val="center"/>
          </w:tcPr>
          <w:p w14:paraId="6008E232" w14:textId="77777777" w:rsidR="00216F3A" w:rsidRPr="00825203" w:rsidRDefault="00216F3A" w:rsidP="00825203">
            <w:pPr>
              <w:spacing w:line="300" w:lineRule="auto"/>
              <w:jc w:val="right"/>
              <w:rPr>
                <w:sz w:val="20"/>
              </w:rPr>
            </w:pPr>
            <w:r w:rsidRPr="00825203">
              <w:rPr>
                <w:sz w:val="20"/>
              </w:rPr>
              <w:t>40.000</w:t>
            </w:r>
          </w:p>
        </w:tc>
        <w:tc>
          <w:tcPr>
            <w:tcW w:w="1701" w:type="dxa"/>
            <w:vAlign w:val="center"/>
          </w:tcPr>
          <w:p w14:paraId="4FDA7CB8" w14:textId="77777777" w:rsidR="00216F3A" w:rsidRPr="00825203" w:rsidRDefault="00216F3A" w:rsidP="00825203">
            <w:pPr>
              <w:spacing w:line="300" w:lineRule="auto"/>
              <w:jc w:val="right"/>
              <w:rPr>
                <w:sz w:val="20"/>
              </w:rPr>
            </w:pPr>
            <w:r w:rsidRPr="00825203">
              <w:rPr>
                <w:sz w:val="20"/>
              </w:rPr>
              <w:t>1.507.908</w:t>
            </w:r>
          </w:p>
        </w:tc>
      </w:tr>
      <w:tr w:rsidR="00216F3A" w:rsidRPr="00DD1A99" w14:paraId="6A97BEB1" w14:textId="77777777" w:rsidTr="00AF58DF">
        <w:tc>
          <w:tcPr>
            <w:tcW w:w="3510" w:type="dxa"/>
            <w:vAlign w:val="center"/>
          </w:tcPr>
          <w:p w14:paraId="7B96F305" w14:textId="77777777" w:rsidR="00216F3A" w:rsidRPr="00825203" w:rsidRDefault="00216F3A" w:rsidP="00AF58DF">
            <w:pPr>
              <w:spacing w:line="300" w:lineRule="auto"/>
              <w:jc w:val="left"/>
              <w:rPr>
                <w:sz w:val="20"/>
              </w:rPr>
            </w:pPr>
            <w:r w:rsidRPr="00825203">
              <w:rPr>
                <w:sz w:val="20"/>
              </w:rPr>
              <w:t>2018</w:t>
            </w:r>
          </w:p>
        </w:tc>
        <w:tc>
          <w:tcPr>
            <w:tcW w:w="1418" w:type="dxa"/>
            <w:vAlign w:val="center"/>
          </w:tcPr>
          <w:p w14:paraId="68F60A9D" w14:textId="77777777" w:rsidR="00216F3A" w:rsidRPr="00825203" w:rsidRDefault="00216F3A" w:rsidP="00825203">
            <w:pPr>
              <w:spacing w:line="300" w:lineRule="auto"/>
              <w:jc w:val="right"/>
              <w:rPr>
                <w:sz w:val="20"/>
              </w:rPr>
            </w:pPr>
            <w:r w:rsidRPr="00825203">
              <w:rPr>
                <w:sz w:val="20"/>
              </w:rPr>
              <w:t>182.477</w:t>
            </w:r>
          </w:p>
        </w:tc>
        <w:tc>
          <w:tcPr>
            <w:tcW w:w="1701" w:type="dxa"/>
            <w:vAlign w:val="center"/>
          </w:tcPr>
          <w:p w14:paraId="4202165B" w14:textId="77777777" w:rsidR="00216F3A" w:rsidRPr="00825203" w:rsidRDefault="00216F3A" w:rsidP="00825203">
            <w:pPr>
              <w:spacing w:line="300" w:lineRule="auto"/>
              <w:jc w:val="right"/>
              <w:rPr>
                <w:sz w:val="20"/>
              </w:rPr>
            </w:pPr>
            <w:r w:rsidRPr="00825203">
              <w:rPr>
                <w:sz w:val="20"/>
              </w:rPr>
              <w:t>100.000</w:t>
            </w:r>
          </w:p>
        </w:tc>
        <w:tc>
          <w:tcPr>
            <w:tcW w:w="1559" w:type="dxa"/>
            <w:vAlign w:val="center"/>
          </w:tcPr>
          <w:p w14:paraId="65207B6C" w14:textId="77777777" w:rsidR="00216F3A" w:rsidRPr="00825203" w:rsidRDefault="00216F3A" w:rsidP="00825203">
            <w:pPr>
              <w:spacing w:line="300" w:lineRule="auto"/>
              <w:jc w:val="right"/>
              <w:rPr>
                <w:sz w:val="20"/>
              </w:rPr>
            </w:pPr>
            <w:r w:rsidRPr="00825203">
              <w:rPr>
                <w:sz w:val="20"/>
              </w:rPr>
              <w:t>36.000</w:t>
            </w:r>
          </w:p>
        </w:tc>
        <w:tc>
          <w:tcPr>
            <w:tcW w:w="1701" w:type="dxa"/>
            <w:vAlign w:val="center"/>
          </w:tcPr>
          <w:p w14:paraId="2A2BBA53" w14:textId="77777777" w:rsidR="00216F3A" w:rsidRPr="00825203" w:rsidRDefault="00216F3A" w:rsidP="00825203">
            <w:pPr>
              <w:spacing w:line="300" w:lineRule="auto"/>
              <w:jc w:val="right"/>
              <w:rPr>
                <w:sz w:val="20"/>
              </w:rPr>
            </w:pPr>
            <w:r w:rsidRPr="00825203">
              <w:rPr>
                <w:sz w:val="20"/>
              </w:rPr>
              <w:t>3.000.000</w:t>
            </w:r>
          </w:p>
        </w:tc>
      </w:tr>
      <w:tr w:rsidR="00216F3A" w:rsidRPr="00DD1A99" w14:paraId="2DAA67BC" w14:textId="77777777" w:rsidTr="00AF58DF">
        <w:tc>
          <w:tcPr>
            <w:tcW w:w="3510" w:type="dxa"/>
            <w:vAlign w:val="center"/>
          </w:tcPr>
          <w:p w14:paraId="5A7B8383" w14:textId="77777777" w:rsidR="00216F3A" w:rsidRPr="00825203" w:rsidRDefault="00216F3A" w:rsidP="00AF58DF">
            <w:pPr>
              <w:spacing w:line="300" w:lineRule="auto"/>
              <w:jc w:val="left"/>
              <w:rPr>
                <w:sz w:val="20"/>
              </w:rPr>
            </w:pPr>
            <w:r w:rsidRPr="00825203">
              <w:rPr>
                <w:sz w:val="20"/>
              </w:rPr>
              <w:t>2019</w:t>
            </w:r>
          </w:p>
        </w:tc>
        <w:tc>
          <w:tcPr>
            <w:tcW w:w="1418" w:type="dxa"/>
            <w:vAlign w:val="center"/>
          </w:tcPr>
          <w:p w14:paraId="4F71120E" w14:textId="77777777" w:rsidR="00216F3A" w:rsidRPr="00825203" w:rsidRDefault="00216F3A" w:rsidP="00825203">
            <w:pPr>
              <w:spacing w:line="300" w:lineRule="auto"/>
              <w:jc w:val="right"/>
              <w:rPr>
                <w:sz w:val="20"/>
              </w:rPr>
            </w:pPr>
            <w:r w:rsidRPr="00825203">
              <w:rPr>
                <w:sz w:val="20"/>
              </w:rPr>
              <w:t>168.855</w:t>
            </w:r>
          </w:p>
        </w:tc>
        <w:tc>
          <w:tcPr>
            <w:tcW w:w="1701" w:type="dxa"/>
            <w:vAlign w:val="center"/>
          </w:tcPr>
          <w:p w14:paraId="3FCE7848" w14:textId="77777777" w:rsidR="00216F3A" w:rsidRPr="00825203" w:rsidRDefault="00216F3A" w:rsidP="00825203">
            <w:pPr>
              <w:spacing w:line="300" w:lineRule="auto"/>
              <w:jc w:val="right"/>
              <w:rPr>
                <w:sz w:val="20"/>
              </w:rPr>
            </w:pPr>
            <w:r w:rsidRPr="00825203">
              <w:rPr>
                <w:sz w:val="20"/>
              </w:rPr>
              <w:t>100.000</w:t>
            </w:r>
          </w:p>
        </w:tc>
        <w:tc>
          <w:tcPr>
            <w:tcW w:w="1559" w:type="dxa"/>
            <w:vAlign w:val="center"/>
          </w:tcPr>
          <w:p w14:paraId="6EE929C9" w14:textId="77777777" w:rsidR="00216F3A" w:rsidRPr="00825203" w:rsidRDefault="00216F3A" w:rsidP="00825203">
            <w:pPr>
              <w:spacing w:line="300" w:lineRule="auto"/>
              <w:jc w:val="right"/>
              <w:rPr>
                <w:sz w:val="20"/>
              </w:rPr>
            </w:pPr>
            <w:r w:rsidRPr="00825203">
              <w:rPr>
                <w:sz w:val="20"/>
              </w:rPr>
              <w:t>20.000</w:t>
            </w:r>
          </w:p>
        </w:tc>
        <w:tc>
          <w:tcPr>
            <w:tcW w:w="1701" w:type="dxa"/>
            <w:vAlign w:val="center"/>
          </w:tcPr>
          <w:p w14:paraId="01F4F6BD" w14:textId="77777777" w:rsidR="00216F3A" w:rsidRPr="00825203" w:rsidRDefault="00216F3A" w:rsidP="00825203">
            <w:pPr>
              <w:spacing w:line="300" w:lineRule="auto"/>
              <w:jc w:val="right"/>
              <w:rPr>
                <w:sz w:val="20"/>
              </w:rPr>
            </w:pPr>
            <w:r w:rsidRPr="00825203">
              <w:rPr>
                <w:sz w:val="20"/>
              </w:rPr>
              <w:t>1.000.000</w:t>
            </w:r>
          </w:p>
        </w:tc>
      </w:tr>
      <w:tr w:rsidR="00216F3A" w:rsidRPr="00DD1A99" w14:paraId="03C88D5D" w14:textId="77777777" w:rsidTr="00AF58DF">
        <w:tc>
          <w:tcPr>
            <w:tcW w:w="3510" w:type="dxa"/>
            <w:vAlign w:val="center"/>
          </w:tcPr>
          <w:p w14:paraId="7D5A5E2E" w14:textId="77777777" w:rsidR="00216F3A" w:rsidRPr="00825203" w:rsidRDefault="00216F3A" w:rsidP="00AF58DF">
            <w:pPr>
              <w:spacing w:line="300" w:lineRule="auto"/>
              <w:jc w:val="left"/>
              <w:rPr>
                <w:sz w:val="20"/>
              </w:rPr>
            </w:pPr>
            <w:r w:rsidRPr="00825203">
              <w:rPr>
                <w:sz w:val="20"/>
              </w:rPr>
              <w:t>2020 (1° semestre)</w:t>
            </w:r>
          </w:p>
        </w:tc>
        <w:tc>
          <w:tcPr>
            <w:tcW w:w="1418" w:type="dxa"/>
            <w:vAlign w:val="center"/>
          </w:tcPr>
          <w:p w14:paraId="0EDBF51D" w14:textId="77777777" w:rsidR="00216F3A" w:rsidRPr="00825203" w:rsidRDefault="00216F3A" w:rsidP="00825203">
            <w:pPr>
              <w:spacing w:line="300" w:lineRule="auto"/>
              <w:jc w:val="right"/>
              <w:rPr>
                <w:sz w:val="20"/>
              </w:rPr>
            </w:pPr>
            <w:r w:rsidRPr="00825203">
              <w:rPr>
                <w:sz w:val="20"/>
              </w:rPr>
              <w:t>190.840</w:t>
            </w:r>
          </w:p>
        </w:tc>
        <w:tc>
          <w:tcPr>
            <w:tcW w:w="1701" w:type="dxa"/>
            <w:vAlign w:val="center"/>
          </w:tcPr>
          <w:p w14:paraId="27570A51" w14:textId="77777777" w:rsidR="00216F3A" w:rsidRPr="00825203" w:rsidRDefault="00216F3A" w:rsidP="00825203">
            <w:pPr>
              <w:spacing w:line="300" w:lineRule="auto"/>
              <w:jc w:val="right"/>
              <w:rPr>
                <w:sz w:val="20"/>
              </w:rPr>
            </w:pPr>
            <w:r w:rsidRPr="00825203">
              <w:rPr>
                <w:sz w:val="20"/>
              </w:rPr>
              <w:t>100.000</w:t>
            </w:r>
          </w:p>
        </w:tc>
        <w:tc>
          <w:tcPr>
            <w:tcW w:w="1559" w:type="dxa"/>
            <w:vAlign w:val="center"/>
          </w:tcPr>
          <w:p w14:paraId="5133826B" w14:textId="77777777" w:rsidR="00216F3A" w:rsidRPr="00825203" w:rsidRDefault="00216F3A" w:rsidP="00825203">
            <w:pPr>
              <w:spacing w:line="300" w:lineRule="auto"/>
              <w:jc w:val="right"/>
              <w:rPr>
                <w:sz w:val="20"/>
              </w:rPr>
            </w:pPr>
            <w:r w:rsidRPr="00825203">
              <w:rPr>
                <w:sz w:val="20"/>
              </w:rPr>
              <w:t>13.500</w:t>
            </w:r>
          </w:p>
        </w:tc>
        <w:tc>
          <w:tcPr>
            <w:tcW w:w="1701" w:type="dxa"/>
            <w:vAlign w:val="center"/>
          </w:tcPr>
          <w:p w14:paraId="401F172A" w14:textId="77777777" w:rsidR="00216F3A" w:rsidRPr="00825203" w:rsidRDefault="00216F3A" w:rsidP="00825203">
            <w:pPr>
              <w:spacing w:line="300" w:lineRule="auto"/>
              <w:jc w:val="right"/>
              <w:rPr>
                <w:sz w:val="20"/>
              </w:rPr>
            </w:pPr>
            <w:r w:rsidRPr="00825203">
              <w:rPr>
                <w:sz w:val="20"/>
              </w:rPr>
              <w:t>2.000.000</w:t>
            </w:r>
          </w:p>
        </w:tc>
      </w:tr>
      <w:tr w:rsidR="00216F3A" w:rsidRPr="00DD1A99" w14:paraId="04D1B608" w14:textId="77777777" w:rsidTr="00AF58DF">
        <w:trPr>
          <w:trHeight w:val="353"/>
        </w:trPr>
        <w:tc>
          <w:tcPr>
            <w:tcW w:w="3510" w:type="dxa"/>
            <w:shd w:val="clear" w:color="auto" w:fill="D9D9D9"/>
            <w:vAlign w:val="center"/>
          </w:tcPr>
          <w:p w14:paraId="3FE3D9DD" w14:textId="77777777" w:rsidR="00216F3A" w:rsidRPr="00825203" w:rsidRDefault="00216F3A" w:rsidP="00AF58DF">
            <w:pPr>
              <w:spacing w:line="300" w:lineRule="auto"/>
              <w:jc w:val="left"/>
              <w:rPr>
                <w:b/>
                <w:sz w:val="20"/>
              </w:rPr>
            </w:pPr>
            <w:r w:rsidRPr="00825203">
              <w:rPr>
                <w:b/>
                <w:sz w:val="20"/>
              </w:rPr>
              <w:t>Progetti immobiliari</w:t>
            </w:r>
          </w:p>
        </w:tc>
        <w:tc>
          <w:tcPr>
            <w:tcW w:w="1418" w:type="dxa"/>
            <w:shd w:val="clear" w:color="auto" w:fill="D9D9D9"/>
            <w:vAlign w:val="center"/>
          </w:tcPr>
          <w:p w14:paraId="2329CC27" w14:textId="77777777" w:rsidR="00216F3A" w:rsidRPr="00825203" w:rsidRDefault="00216F3A" w:rsidP="00825203">
            <w:pPr>
              <w:spacing w:line="300" w:lineRule="auto"/>
              <w:jc w:val="right"/>
              <w:rPr>
                <w:b/>
                <w:sz w:val="20"/>
              </w:rPr>
            </w:pPr>
            <w:r w:rsidRPr="00825203">
              <w:rPr>
                <w:b/>
                <w:sz w:val="20"/>
              </w:rPr>
              <w:t>804.914</w:t>
            </w:r>
          </w:p>
        </w:tc>
        <w:tc>
          <w:tcPr>
            <w:tcW w:w="1701" w:type="dxa"/>
            <w:shd w:val="clear" w:color="auto" w:fill="D9D9D9"/>
            <w:vAlign w:val="center"/>
          </w:tcPr>
          <w:p w14:paraId="1589B7FB" w14:textId="77777777" w:rsidR="00216F3A" w:rsidRPr="00825203" w:rsidRDefault="00216F3A" w:rsidP="00825203">
            <w:pPr>
              <w:spacing w:line="300" w:lineRule="auto"/>
              <w:jc w:val="right"/>
              <w:rPr>
                <w:b/>
                <w:sz w:val="20"/>
              </w:rPr>
            </w:pPr>
            <w:r w:rsidRPr="00825203">
              <w:rPr>
                <w:b/>
                <w:sz w:val="20"/>
              </w:rPr>
              <w:t>500.000</w:t>
            </w:r>
          </w:p>
        </w:tc>
        <w:tc>
          <w:tcPr>
            <w:tcW w:w="1559" w:type="dxa"/>
            <w:shd w:val="clear" w:color="auto" w:fill="D9D9D9"/>
            <w:vAlign w:val="center"/>
          </w:tcPr>
          <w:p w14:paraId="5F63DA6B" w14:textId="77777777" w:rsidR="00216F3A" w:rsidRPr="00825203" w:rsidRDefault="00216F3A" w:rsidP="00825203">
            <w:pPr>
              <w:spacing w:line="300" w:lineRule="auto"/>
              <w:jc w:val="right"/>
              <w:rPr>
                <w:b/>
                <w:sz w:val="20"/>
              </w:rPr>
            </w:pPr>
            <w:r w:rsidRPr="00825203">
              <w:rPr>
                <w:b/>
                <w:sz w:val="20"/>
              </w:rPr>
              <w:t>32.000</w:t>
            </w:r>
          </w:p>
        </w:tc>
        <w:tc>
          <w:tcPr>
            <w:tcW w:w="1701" w:type="dxa"/>
            <w:shd w:val="clear" w:color="auto" w:fill="D9D9D9"/>
            <w:vAlign w:val="center"/>
          </w:tcPr>
          <w:p w14:paraId="14BF2A98" w14:textId="77777777" w:rsidR="00216F3A" w:rsidRPr="00825203" w:rsidRDefault="00216F3A" w:rsidP="00825203">
            <w:pPr>
              <w:spacing w:line="300" w:lineRule="auto"/>
              <w:jc w:val="right"/>
              <w:rPr>
                <w:b/>
                <w:sz w:val="20"/>
              </w:rPr>
            </w:pPr>
            <w:r w:rsidRPr="00825203">
              <w:rPr>
                <w:b/>
                <w:sz w:val="20"/>
              </w:rPr>
              <w:t>3.600.000</w:t>
            </w:r>
          </w:p>
        </w:tc>
      </w:tr>
      <w:tr w:rsidR="00216F3A" w:rsidRPr="00DD1A99" w14:paraId="23E25EE3" w14:textId="77777777" w:rsidTr="00AF58DF">
        <w:tc>
          <w:tcPr>
            <w:tcW w:w="3510" w:type="dxa"/>
            <w:vAlign w:val="center"/>
          </w:tcPr>
          <w:p w14:paraId="7C40F5D8" w14:textId="77777777" w:rsidR="00216F3A" w:rsidRPr="00825203" w:rsidRDefault="00216F3A" w:rsidP="00AF58DF">
            <w:pPr>
              <w:spacing w:line="300" w:lineRule="auto"/>
              <w:jc w:val="left"/>
              <w:rPr>
                <w:sz w:val="20"/>
              </w:rPr>
            </w:pPr>
            <w:r w:rsidRPr="00825203">
              <w:rPr>
                <w:sz w:val="20"/>
              </w:rPr>
              <w:t>2018</w:t>
            </w:r>
          </w:p>
        </w:tc>
        <w:tc>
          <w:tcPr>
            <w:tcW w:w="1418" w:type="dxa"/>
            <w:vAlign w:val="center"/>
          </w:tcPr>
          <w:p w14:paraId="63244E5C" w14:textId="77777777" w:rsidR="00216F3A" w:rsidRPr="00825203" w:rsidRDefault="00216F3A" w:rsidP="00825203">
            <w:pPr>
              <w:spacing w:line="300" w:lineRule="auto"/>
              <w:jc w:val="right"/>
              <w:rPr>
                <w:sz w:val="20"/>
              </w:rPr>
            </w:pPr>
            <w:r w:rsidRPr="00825203">
              <w:rPr>
                <w:sz w:val="20"/>
              </w:rPr>
              <w:t>500.000</w:t>
            </w:r>
          </w:p>
        </w:tc>
        <w:tc>
          <w:tcPr>
            <w:tcW w:w="1701" w:type="dxa"/>
            <w:vAlign w:val="center"/>
          </w:tcPr>
          <w:p w14:paraId="02DF1909" w14:textId="77777777" w:rsidR="00216F3A" w:rsidRPr="00825203" w:rsidRDefault="00216F3A" w:rsidP="00825203">
            <w:pPr>
              <w:spacing w:line="300" w:lineRule="auto"/>
              <w:jc w:val="right"/>
              <w:rPr>
                <w:sz w:val="20"/>
              </w:rPr>
            </w:pPr>
            <w:r w:rsidRPr="00825203">
              <w:rPr>
                <w:sz w:val="20"/>
              </w:rPr>
              <w:t>500.000</w:t>
            </w:r>
          </w:p>
        </w:tc>
        <w:tc>
          <w:tcPr>
            <w:tcW w:w="1559" w:type="dxa"/>
            <w:vAlign w:val="center"/>
          </w:tcPr>
          <w:p w14:paraId="43D01A2D" w14:textId="77777777" w:rsidR="00216F3A" w:rsidRPr="00825203" w:rsidRDefault="00216F3A" w:rsidP="00825203">
            <w:pPr>
              <w:spacing w:line="300" w:lineRule="auto"/>
              <w:jc w:val="right"/>
              <w:rPr>
                <w:sz w:val="20"/>
              </w:rPr>
            </w:pPr>
            <w:r w:rsidRPr="00825203">
              <w:rPr>
                <w:sz w:val="20"/>
              </w:rPr>
              <w:t>500.000</w:t>
            </w:r>
          </w:p>
        </w:tc>
        <w:tc>
          <w:tcPr>
            <w:tcW w:w="1701" w:type="dxa"/>
            <w:vAlign w:val="center"/>
          </w:tcPr>
          <w:p w14:paraId="21891B20" w14:textId="77777777" w:rsidR="00216F3A" w:rsidRPr="00825203" w:rsidRDefault="00216F3A" w:rsidP="00825203">
            <w:pPr>
              <w:spacing w:line="300" w:lineRule="auto"/>
              <w:jc w:val="right"/>
              <w:rPr>
                <w:sz w:val="20"/>
              </w:rPr>
            </w:pPr>
            <w:r w:rsidRPr="00825203">
              <w:rPr>
                <w:sz w:val="20"/>
              </w:rPr>
              <w:t>500.000</w:t>
            </w:r>
          </w:p>
        </w:tc>
      </w:tr>
      <w:tr w:rsidR="00216F3A" w:rsidRPr="00DD1A99" w14:paraId="0A0BEB63" w14:textId="77777777" w:rsidTr="00AF58DF">
        <w:tc>
          <w:tcPr>
            <w:tcW w:w="3510" w:type="dxa"/>
            <w:vAlign w:val="center"/>
          </w:tcPr>
          <w:p w14:paraId="3E5EF026" w14:textId="77777777" w:rsidR="00216F3A" w:rsidRPr="00825203" w:rsidRDefault="00216F3A" w:rsidP="00AF58DF">
            <w:pPr>
              <w:spacing w:line="300" w:lineRule="auto"/>
              <w:jc w:val="left"/>
              <w:rPr>
                <w:sz w:val="20"/>
              </w:rPr>
            </w:pPr>
            <w:r w:rsidRPr="00825203">
              <w:rPr>
                <w:sz w:val="20"/>
              </w:rPr>
              <w:t>2019</w:t>
            </w:r>
          </w:p>
        </w:tc>
        <w:tc>
          <w:tcPr>
            <w:tcW w:w="1418" w:type="dxa"/>
            <w:vAlign w:val="center"/>
          </w:tcPr>
          <w:p w14:paraId="5B2FB8CC" w14:textId="77777777" w:rsidR="00216F3A" w:rsidRPr="00825203" w:rsidRDefault="00216F3A" w:rsidP="00825203">
            <w:pPr>
              <w:spacing w:line="300" w:lineRule="auto"/>
              <w:jc w:val="right"/>
              <w:rPr>
                <w:sz w:val="20"/>
              </w:rPr>
            </w:pPr>
            <w:r w:rsidRPr="00825203">
              <w:rPr>
                <w:sz w:val="20"/>
              </w:rPr>
              <w:t>707.737</w:t>
            </w:r>
          </w:p>
        </w:tc>
        <w:tc>
          <w:tcPr>
            <w:tcW w:w="1701" w:type="dxa"/>
            <w:vAlign w:val="center"/>
          </w:tcPr>
          <w:p w14:paraId="50D13F87" w14:textId="77777777" w:rsidR="00216F3A" w:rsidRPr="00825203" w:rsidRDefault="00216F3A" w:rsidP="00825203">
            <w:pPr>
              <w:spacing w:line="300" w:lineRule="auto"/>
              <w:jc w:val="right"/>
              <w:rPr>
                <w:sz w:val="20"/>
              </w:rPr>
            </w:pPr>
            <w:r w:rsidRPr="00825203">
              <w:rPr>
                <w:sz w:val="20"/>
              </w:rPr>
              <w:t>550.000</w:t>
            </w:r>
          </w:p>
        </w:tc>
        <w:tc>
          <w:tcPr>
            <w:tcW w:w="1559" w:type="dxa"/>
            <w:vAlign w:val="center"/>
          </w:tcPr>
          <w:p w14:paraId="067EFA95" w14:textId="77777777" w:rsidR="00216F3A" w:rsidRPr="00825203" w:rsidRDefault="00216F3A" w:rsidP="00825203">
            <w:pPr>
              <w:spacing w:line="300" w:lineRule="auto"/>
              <w:jc w:val="right"/>
              <w:rPr>
                <w:sz w:val="20"/>
              </w:rPr>
            </w:pPr>
            <w:r w:rsidRPr="00825203">
              <w:rPr>
                <w:sz w:val="20"/>
              </w:rPr>
              <w:t>32.000</w:t>
            </w:r>
          </w:p>
        </w:tc>
        <w:tc>
          <w:tcPr>
            <w:tcW w:w="1701" w:type="dxa"/>
            <w:vAlign w:val="center"/>
          </w:tcPr>
          <w:p w14:paraId="505FE61E" w14:textId="77777777" w:rsidR="00216F3A" w:rsidRPr="00825203" w:rsidRDefault="00216F3A" w:rsidP="00825203">
            <w:pPr>
              <w:spacing w:line="300" w:lineRule="auto"/>
              <w:jc w:val="right"/>
              <w:rPr>
                <w:sz w:val="20"/>
              </w:rPr>
            </w:pPr>
            <w:r w:rsidRPr="00825203">
              <w:rPr>
                <w:sz w:val="20"/>
              </w:rPr>
              <w:t>1.500.000</w:t>
            </w:r>
          </w:p>
        </w:tc>
      </w:tr>
      <w:tr w:rsidR="00216F3A" w:rsidRPr="00DD1A99" w14:paraId="1DADAA48" w14:textId="77777777" w:rsidTr="00AF58DF">
        <w:tc>
          <w:tcPr>
            <w:tcW w:w="3510" w:type="dxa"/>
            <w:vAlign w:val="center"/>
          </w:tcPr>
          <w:p w14:paraId="0651EA51" w14:textId="77777777" w:rsidR="00216F3A" w:rsidRPr="00825203" w:rsidRDefault="00216F3A" w:rsidP="00AF58DF">
            <w:pPr>
              <w:spacing w:line="300" w:lineRule="auto"/>
              <w:jc w:val="left"/>
              <w:rPr>
                <w:sz w:val="20"/>
              </w:rPr>
            </w:pPr>
            <w:r w:rsidRPr="00825203">
              <w:rPr>
                <w:sz w:val="20"/>
              </w:rPr>
              <w:t>2020 (1° semestre)</w:t>
            </w:r>
          </w:p>
        </w:tc>
        <w:tc>
          <w:tcPr>
            <w:tcW w:w="1418" w:type="dxa"/>
            <w:vAlign w:val="center"/>
          </w:tcPr>
          <w:p w14:paraId="0F96E57E" w14:textId="77777777" w:rsidR="00216F3A" w:rsidRPr="00825203" w:rsidRDefault="00216F3A" w:rsidP="00825203">
            <w:pPr>
              <w:spacing w:line="300" w:lineRule="auto"/>
              <w:jc w:val="right"/>
              <w:rPr>
                <w:sz w:val="20"/>
              </w:rPr>
            </w:pPr>
            <w:r w:rsidRPr="00825203">
              <w:rPr>
                <w:sz w:val="20"/>
              </w:rPr>
              <w:t>1.340.625</w:t>
            </w:r>
          </w:p>
        </w:tc>
        <w:tc>
          <w:tcPr>
            <w:tcW w:w="1701" w:type="dxa"/>
            <w:vAlign w:val="center"/>
          </w:tcPr>
          <w:p w14:paraId="2AEED1DD" w14:textId="77777777" w:rsidR="00216F3A" w:rsidRPr="00825203" w:rsidRDefault="00216F3A" w:rsidP="00825203">
            <w:pPr>
              <w:spacing w:line="300" w:lineRule="auto"/>
              <w:jc w:val="right"/>
              <w:rPr>
                <w:sz w:val="20"/>
              </w:rPr>
            </w:pPr>
            <w:r w:rsidRPr="00825203">
              <w:rPr>
                <w:sz w:val="20"/>
              </w:rPr>
              <w:t>1.250.000</w:t>
            </w:r>
          </w:p>
        </w:tc>
        <w:tc>
          <w:tcPr>
            <w:tcW w:w="1559" w:type="dxa"/>
            <w:vAlign w:val="center"/>
          </w:tcPr>
          <w:p w14:paraId="26F5E2E1" w14:textId="77777777" w:rsidR="00216F3A" w:rsidRPr="00825203" w:rsidRDefault="00216F3A" w:rsidP="00825203">
            <w:pPr>
              <w:spacing w:line="300" w:lineRule="auto"/>
              <w:jc w:val="right"/>
              <w:rPr>
                <w:sz w:val="20"/>
              </w:rPr>
            </w:pPr>
            <w:r w:rsidRPr="00825203">
              <w:rPr>
                <w:sz w:val="20"/>
              </w:rPr>
              <w:t>150.000</w:t>
            </w:r>
          </w:p>
        </w:tc>
        <w:tc>
          <w:tcPr>
            <w:tcW w:w="1701" w:type="dxa"/>
            <w:vAlign w:val="center"/>
          </w:tcPr>
          <w:p w14:paraId="420D922D" w14:textId="77777777" w:rsidR="00216F3A" w:rsidRPr="00825203" w:rsidRDefault="00216F3A" w:rsidP="00825203">
            <w:pPr>
              <w:spacing w:line="300" w:lineRule="auto"/>
              <w:jc w:val="right"/>
              <w:rPr>
                <w:sz w:val="20"/>
              </w:rPr>
            </w:pPr>
            <w:r w:rsidRPr="00825203">
              <w:rPr>
                <w:sz w:val="20"/>
              </w:rPr>
              <w:t>3.600.000</w:t>
            </w:r>
          </w:p>
        </w:tc>
      </w:tr>
    </w:tbl>
    <w:p w14:paraId="2A6A4F25" w14:textId="77777777" w:rsidR="00216F3A" w:rsidRPr="00DD1A99" w:rsidRDefault="00216F3A" w:rsidP="00F06E3B">
      <w:pPr>
        <w:pStyle w:val="Fonte"/>
      </w:pPr>
      <w:r w:rsidRPr="00DD1A99">
        <w:t xml:space="preserve">Fonte: 5° Report italiano sul </w:t>
      </w:r>
      <w:proofErr w:type="spellStart"/>
      <w:r w:rsidRPr="00DD1A99">
        <w:t>CrowdInvesting</w:t>
      </w:r>
      <w:proofErr w:type="spellEnd"/>
      <w:r w:rsidRPr="00DD1A99">
        <w:t>. Dipartimento di Ingegneria Gestionale, Politecnico di Milano, 2020</w:t>
      </w:r>
    </w:p>
    <w:p w14:paraId="4B6B00C1" w14:textId="77777777" w:rsidR="00216F3A" w:rsidRDefault="00216F3A" w:rsidP="0027415B"/>
    <w:p w14:paraId="6308BC6F" w14:textId="77777777" w:rsidR="0027415B" w:rsidRDefault="0027415B" w:rsidP="0027415B"/>
    <w:p w14:paraId="6131E3BC" w14:textId="77777777" w:rsidR="0027415B" w:rsidRPr="0027415B" w:rsidRDefault="0027415B" w:rsidP="0027415B"/>
    <w:p w14:paraId="51FA9556" w14:textId="77777777" w:rsidR="00B42629" w:rsidRDefault="0096090A" w:rsidP="00B42629">
      <w:pPr>
        <w:pStyle w:val="Titolo3"/>
      </w:pPr>
      <w:bookmarkStart w:id="149" w:name="_Toc91081425"/>
      <w:r>
        <w:t>Il fenomeno delle startup innovative</w:t>
      </w:r>
      <w:bookmarkEnd w:id="149"/>
    </w:p>
    <w:p w14:paraId="153FEF9E" w14:textId="77777777" w:rsidR="00B42629" w:rsidRDefault="00B42629" w:rsidP="00B42629"/>
    <w:p w14:paraId="50D83F0A" w14:textId="77777777" w:rsidR="007251AB" w:rsidRPr="00847FED" w:rsidRDefault="007251AB" w:rsidP="007251AB">
      <w:pPr>
        <w:pStyle w:val="Didascalia"/>
      </w:pPr>
      <w:bookmarkStart w:id="150" w:name="_Toc91081504"/>
      <w:r>
        <w:t xml:space="preserve">Figura </w:t>
      </w:r>
      <w:r w:rsidR="004E6566">
        <w:fldChar w:fldCharType="begin"/>
      </w:r>
      <w:r>
        <w:instrText xml:space="preserve"> SEQ Figura \* ARABIC </w:instrText>
      </w:r>
      <w:r w:rsidR="004E6566">
        <w:fldChar w:fldCharType="separate"/>
      </w:r>
      <w:r w:rsidR="00E53D6C">
        <w:rPr>
          <w:noProof/>
        </w:rPr>
        <w:t>35</w:t>
      </w:r>
      <w:r w:rsidR="004E6566">
        <w:fldChar w:fldCharType="end"/>
      </w:r>
      <w:r>
        <w:t xml:space="preserve">. </w:t>
      </w:r>
      <w:r w:rsidRPr="000C479B">
        <w:t>imprese fuoriuscite dalla sezione speciale delle startup innovative iscritte alla sezione speciale delle PMI innovative, per regione</w:t>
      </w:r>
      <w:r>
        <w:t xml:space="preserve"> (%)</w:t>
      </w:r>
      <w:bookmarkEnd w:id="150"/>
    </w:p>
    <w:p w14:paraId="12F736C8" w14:textId="77777777" w:rsidR="00B42629" w:rsidRDefault="00B42629" w:rsidP="00B42629">
      <w:pPr>
        <w:rPr>
          <w:sz w:val="18"/>
          <w:szCs w:val="18"/>
        </w:rPr>
      </w:pPr>
      <w:r>
        <w:rPr>
          <w:noProof/>
          <w:sz w:val="18"/>
          <w:szCs w:val="18"/>
          <w:lang w:eastAsia="it-IT"/>
        </w:rPr>
        <w:drawing>
          <wp:inline distT="0" distB="0" distL="0" distR="0" wp14:anchorId="1A32EC93" wp14:editId="2EAA9454">
            <wp:extent cx="5175885" cy="2743200"/>
            <wp:effectExtent l="0" t="0" r="571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75885" cy="2743200"/>
                    </a:xfrm>
                    <a:prstGeom prst="rect">
                      <a:avLst/>
                    </a:prstGeom>
                    <a:noFill/>
                  </pic:spPr>
                </pic:pic>
              </a:graphicData>
            </a:graphic>
          </wp:inline>
        </w:drawing>
      </w:r>
      <w:r w:rsidRPr="00847FED">
        <w:rPr>
          <w:sz w:val="18"/>
          <w:szCs w:val="18"/>
        </w:rPr>
        <w:t xml:space="preserve"> </w:t>
      </w:r>
    </w:p>
    <w:p w14:paraId="30FD4975" w14:textId="77777777" w:rsidR="007251AB" w:rsidRDefault="007251AB" w:rsidP="007251AB">
      <w:pPr>
        <w:pStyle w:val="Didascalia"/>
      </w:pPr>
      <w:bookmarkStart w:id="151" w:name="_Toc91081505"/>
      <w:r>
        <w:t xml:space="preserve">Figura </w:t>
      </w:r>
      <w:r w:rsidR="004E6566">
        <w:fldChar w:fldCharType="begin"/>
      </w:r>
      <w:r>
        <w:instrText xml:space="preserve"> SEQ Figura \* ARABIC </w:instrText>
      </w:r>
      <w:r w:rsidR="004E6566">
        <w:fldChar w:fldCharType="separate"/>
      </w:r>
      <w:r w:rsidR="00E53D6C">
        <w:rPr>
          <w:noProof/>
        </w:rPr>
        <w:t>36</w:t>
      </w:r>
      <w:r w:rsidR="004E6566">
        <w:fldChar w:fldCharType="end"/>
      </w:r>
      <w:r>
        <w:t xml:space="preserve">. </w:t>
      </w:r>
      <w:r w:rsidRPr="003F5C57">
        <w:t>Percentuale di imprese a prevalenza femminile</w:t>
      </w:r>
      <w:r>
        <w:t>, iscritte e attive</w:t>
      </w:r>
      <w:r w:rsidRPr="003F5C57">
        <w:t xml:space="preserve"> per regione, febbraio 2021</w:t>
      </w:r>
      <w:bookmarkEnd w:id="151"/>
    </w:p>
    <w:p w14:paraId="7FF7ED2F" w14:textId="77777777" w:rsidR="007251AB" w:rsidRDefault="007251AB" w:rsidP="007251AB">
      <w:r>
        <w:rPr>
          <w:noProof/>
          <w:lang w:eastAsia="it-IT"/>
        </w:rPr>
        <w:drawing>
          <wp:inline distT="0" distB="0" distL="0" distR="0" wp14:anchorId="61091495" wp14:editId="34678F91">
            <wp:extent cx="3180521" cy="3306545"/>
            <wp:effectExtent l="0" t="0" r="1270" b="825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85711" cy="3311940"/>
                    </a:xfrm>
                    <a:prstGeom prst="rect">
                      <a:avLst/>
                    </a:prstGeom>
                    <a:noFill/>
                  </pic:spPr>
                </pic:pic>
              </a:graphicData>
            </a:graphic>
          </wp:inline>
        </w:drawing>
      </w:r>
    </w:p>
    <w:p w14:paraId="6553228D" w14:textId="77777777" w:rsidR="007251AB" w:rsidRDefault="007251AB" w:rsidP="007251AB"/>
    <w:p w14:paraId="41616C71" w14:textId="77777777" w:rsidR="007251AB" w:rsidRDefault="007251AB" w:rsidP="007251AB"/>
    <w:p w14:paraId="5189F022" w14:textId="77777777" w:rsidR="007251AB" w:rsidRDefault="007251AB" w:rsidP="007251AB">
      <w:pPr>
        <w:pStyle w:val="Didascalia"/>
      </w:pPr>
      <w:bookmarkStart w:id="152" w:name="_Toc91081506"/>
      <w:r>
        <w:t xml:space="preserve">Figura </w:t>
      </w:r>
      <w:r w:rsidR="004E6566">
        <w:fldChar w:fldCharType="begin"/>
      </w:r>
      <w:r>
        <w:instrText xml:space="preserve"> SEQ Figura \* ARABIC </w:instrText>
      </w:r>
      <w:r w:rsidR="004E6566">
        <w:fldChar w:fldCharType="separate"/>
      </w:r>
      <w:r w:rsidR="00E53D6C">
        <w:rPr>
          <w:noProof/>
        </w:rPr>
        <w:t>37</w:t>
      </w:r>
      <w:r w:rsidR="004E6566">
        <w:fldChar w:fldCharType="end"/>
      </w:r>
      <w:r>
        <w:t>.</w:t>
      </w:r>
      <w:r w:rsidRPr="007251AB">
        <w:t xml:space="preserve"> Percentuale di imprese a prevalenza giovanile</w:t>
      </w:r>
      <w:r>
        <w:t>, iscritte e attive</w:t>
      </w:r>
      <w:r w:rsidRPr="007251AB">
        <w:t xml:space="preserve"> per regione, febbraio 2021</w:t>
      </w:r>
      <w:bookmarkEnd w:id="152"/>
    </w:p>
    <w:p w14:paraId="33CE3453" w14:textId="77777777" w:rsidR="007251AB" w:rsidRDefault="007251AB" w:rsidP="007251AB">
      <w:pPr>
        <w:rPr>
          <w:noProof/>
          <w:lang w:eastAsia="it-IT"/>
        </w:rPr>
      </w:pPr>
      <w:r>
        <w:rPr>
          <w:noProof/>
          <w:lang w:eastAsia="it-IT"/>
        </w:rPr>
        <w:drawing>
          <wp:inline distT="0" distB="0" distL="0" distR="0" wp14:anchorId="03FB75B0" wp14:editId="60DE8367">
            <wp:extent cx="3237230" cy="3365500"/>
            <wp:effectExtent l="0" t="0" r="1270" b="635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37230" cy="3365500"/>
                    </a:xfrm>
                    <a:prstGeom prst="rect">
                      <a:avLst/>
                    </a:prstGeom>
                    <a:noFill/>
                  </pic:spPr>
                </pic:pic>
              </a:graphicData>
            </a:graphic>
          </wp:inline>
        </w:drawing>
      </w:r>
    </w:p>
    <w:p w14:paraId="08BA242E" w14:textId="77777777" w:rsidR="007251AB" w:rsidRDefault="007251AB" w:rsidP="007251AB">
      <w:pPr>
        <w:rPr>
          <w:noProof/>
          <w:lang w:eastAsia="it-IT"/>
        </w:rPr>
      </w:pPr>
    </w:p>
    <w:p w14:paraId="680AABE3" w14:textId="77777777" w:rsidR="007251AB" w:rsidRPr="007251AB" w:rsidRDefault="007251AB" w:rsidP="007251AB">
      <w:r w:rsidRPr="00896993">
        <w:rPr>
          <w:sz w:val="18"/>
          <w:szCs w:val="18"/>
        </w:rPr>
        <w:t>Fonte: Elaborazione Ismeri su dati CCIAA</w:t>
      </w:r>
    </w:p>
    <w:p w14:paraId="7C70FFA0" w14:textId="77777777" w:rsidR="00B42629" w:rsidRPr="002A0D1B" w:rsidRDefault="00B42629" w:rsidP="00B42629"/>
    <w:p w14:paraId="160B8700" w14:textId="77777777" w:rsidR="00BC332C" w:rsidRDefault="00BC332C">
      <w:pPr>
        <w:spacing w:after="320" w:line="300" w:lineRule="auto"/>
        <w:jc w:val="left"/>
      </w:pPr>
      <w:r>
        <w:br w:type="page"/>
      </w:r>
    </w:p>
    <w:p w14:paraId="5346D7CD" w14:textId="77777777" w:rsidR="00B42629" w:rsidRDefault="00BC332C" w:rsidP="00BC332C">
      <w:pPr>
        <w:pStyle w:val="Titolo2"/>
      </w:pPr>
      <w:bookmarkStart w:id="153" w:name="_Toc91081426"/>
      <w:r>
        <w:t>Allegato C: bibliografia</w:t>
      </w:r>
      <w:bookmarkEnd w:id="153"/>
      <w:r w:rsidR="00365D4C">
        <w:t xml:space="preserve"> </w:t>
      </w:r>
    </w:p>
    <w:p w14:paraId="5FD1B447" w14:textId="77777777" w:rsidR="0041152A" w:rsidRPr="00014FA7" w:rsidRDefault="0041152A" w:rsidP="0041152A">
      <w:pPr>
        <w:spacing w:after="60"/>
        <w:rPr>
          <w:sz w:val="20"/>
          <w:lang w:val="en-US"/>
        </w:rPr>
      </w:pPr>
      <w:proofErr w:type="spellStart"/>
      <w:r w:rsidRPr="00014FA7">
        <w:rPr>
          <w:sz w:val="20"/>
          <w:lang w:val="en-US"/>
        </w:rPr>
        <w:t>Acs</w:t>
      </w:r>
      <w:proofErr w:type="spellEnd"/>
      <w:r w:rsidRPr="00014FA7">
        <w:rPr>
          <w:sz w:val="20"/>
          <w:lang w:val="en-US"/>
        </w:rPr>
        <w:t xml:space="preserve">, Z. J., </w:t>
      </w:r>
      <w:proofErr w:type="spellStart"/>
      <w:r w:rsidRPr="00014FA7">
        <w:rPr>
          <w:sz w:val="20"/>
          <w:lang w:val="en-US"/>
        </w:rPr>
        <w:t>Armington</w:t>
      </w:r>
      <w:proofErr w:type="spellEnd"/>
      <w:r w:rsidRPr="00014FA7">
        <w:rPr>
          <w:sz w:val="20"/>
          <w:lang w:val="en-US"/>
        </w:rPr>
        <w:t>, C., &amp; Zhang, T. (2007). The determinants of new-firm survival across regional economies: The role of human capital stock and knowledge spillover. Papers in Regional Science, 86(3), 367-391.</w:t>
      </w:r>
    </w:p>
    <w:p w14:paraId="0AFDFBB6" w14:textId="77777777" w:rsidR="0041152A" w:rsidRPr="0041152A" w:rsidRDefault="0041152A" w:rsidP="0041152A">
      <w:pPr>
        <w:spacing w:after="60"/>
        <w:rPr>
          <w:sz w:val="20"/>
        </w:rPr>
      </w:pPr>
      <w:proofErr w:type="spellStart"/>
      <w:r w:rsidRPr="00014FA7">
        <w:rPr>
          <w:sz w:val="20"/>
          <w:lang w:val="en-US"/>
        </w:rPr>
        <w:t>Acs</w:t>
      </w:r>
      <w:proofErr w:type="spellEnd"/>
      <w:r w:rsidRPr="00014FA7">
        <w:rPr>
          <w:sz w:val="20"/>
          <w:lang w:val="en-US"/>
        </w:rPr>
        <w:t xml:space="preserve">, Z.J., </w:t>
      </w:r>
      <w:proofErr w:type="spellStart"/>
      <w:r w:rsidRPr="00014FA7">
        <w:rPr>
          <w:sz w:val="20"/>
          <w:lang w:val="en-US"/>
        </w:rPr>
        <w:t>Autio</w:t>
      </w:r>
      <w:proofErr w:type="spellEnd"/>
      <w:r w:rsidRPr="00014FA7">
        <w:rPr>
          <w:sz w:val="20"/>
          <w:lang w:val="en-US"/>
        </w:rPr>
        <w:t xml:space="preserve">, E., &amp; </w:t>
      </w:r>
      <w:proofErr w:type="spellStart"/>
      <w:r w:rsidRPr="00014FA7">
        <w:rPr>
          <w:sz w:val="20"/>
          <w:lang w:val="en-US"/>
        </w:rPr>
        <w:t>Szerb</w:t>
      </w:r>
      <w:proofErr w:type="spellEnd"/>
      <w:r w:rsidRPr="00014FA7">
        <w:rPr>
          <w:sz w:val="20"/>
          <w:lang w:val="en-US"/>
        </w:rPr>
        <w:t xml:space="preserve">, L. (2014). National systems of entrepreneurship: measurement issues and policy implications. </w:t>
      </w:r>
      <w:r w:rsidRPr="0041152A">
        <w:rPr>
          <w:sz w:val="20"/>
        </w:rPr>
        <w:t>Res. Policy, 43(3), 476–494.</w:t>
      </w:r>
    </w:p>
    <w:p w14:paraId="4CAE2884" w14:textId="77777777" w:rsidR="0041152A" w:rsidRPr="0041152A" w:rsidRDefault="0041152A" w:rsidP="0041152A">
      <w:pPr>
        <w:spacing w:after="60"/>
        <w:rPr>
          <w:sz w:val="20"/>
        </w:rPr>
      </w:pPr>
      <w:r w:rsidRPr="0041152A">
        <w:rPr>
          <w:sz w:val="20"/>
        </w:rPr>
        <w:t>Agriconsulting (2021), Rapporto Annuale di Valutazione, PSR FEASR 2014-20 Regione Lombardia</w:t>
      </w:r>
    </w:p>
    <w:p w14:paraId="50554105" w14:textId="77777777" w:rsidR="0041152A" w:rsidRPr="00014FA7" w:rsidRDefault="0041152A" w:rsidP="0041152A">
      <w:pPr>
        <w:spacing w:after="60"/>
        <w:rPr>
          <w:sz w:val="20"/>
          <w:lang w:val="en-US"/>
        </w:rPr>
      </w:pPr>
      <w:proofErr w:type="spellStart"/>
      <w:r w:rsidRPr="00014FA7">
        <w:rPr>
          <w:sz w:val="20"/>
          <w:lang w:val="en-US"/>
        </w:rPr>
        <w:t>Altindag</w:t>
      </w:r>
      <w:proofErr w:type="spellEnd"/>
      <w:r w:rsidRPr="00014FA7">
        <w:rPr>
          <w:sz w:val="20"/>
          <w:lang w:val="en-US"/>
        </w:rPr>
        <w:t xml:space="preserve">, E., </w:t>
      </w:r>
      <w:proofErr w:type="spellStart"/>
      <w:r w:rsidRPr="00014FA7">
        <w:rPr>
          <w:sz w:val="20"/>
          <w:lang w:val="en-US"/>
        </w:rPr>
        <w:t>Zehir</w:t>
      </w:r>
      <w:proofErr w:type="spellEnd"/>
      <w:r w:rsidRPr="00014FA7">
        <w:rPr>
          <w:sz w:val="20"/>
          <w:lang w:val="en-US"/>
        </w:rPr>
        <w:t xml:space="preserve">, C., &amp; </w:t>
      </w:r>
      <w:proofErr w:type="spellStart"/>
      <w:r w:rsidRPr="00014FA7">
        <w:rPr>
          <w:sz w:val="20"/>
          <w:lang w:val="en-US"/>
        </w:rPr>
        <w:t>Acar</w:t>
      </w:r>
      <w:proofErr w:type="spellEnd"/>
      <w:r w:rsidRPr="00014FA7">
        <w:rPr>
          <w:sz w:val="20"/>
          <w:lang w:val="en-US"/>
        </w:rPr>
        <w:t xml:space="preserve">, A. Z. (2011). Strategic orientations and their effects on firm performance in Turkish </w:t>
      </w:r>
      <w:proofErr w:type="gramStart"/>
      <w:r w:rsidRPr="00014FA7">
        <w:rPr>
          <w:sz w:val="20"/>
          <w:lang w:val="en-US"/>
        </w:rPr>
        <w:t>family owned</w:t>
      </w:r>
      <w:proofErr w:type="gramEnd"/>
      <w:r w:rsidRPr="00014FA7">
        <w:rPr>
          <w:sz w:val="20"/>
          <w:lang w:val="en-US"/>
        </w:rPr>
        <w:t xml:space="preserve"> firms. Eurasian Business Review, 1(1), 18–36.</w:t>
      </w:r>
    </w:p>
    <w:p w14:paraId="71AC3A53" w14:textId="77777777" w:rsidR="0041152A" w:rsidRPr="00014FA7" w:rsidRDefault="0041152A" w:rsidP="0041152A">
      <w:pPr>
        <w:spacing w:after="60"/>
        <w:rPr>
          <w:sz w:val="20"/>
          <w:lang w:val="en-US"/>
        </w:rPr>
      </w:pPr>
      <w:r w:rsidRPr="00014FA7">
        <w:rPr>
          <w:sz w:val="20"/>
          <w:lang w:val="en-US"/>
        </w:rPr>
        <w:t xml:space="preserve">Andersson, P., &amp; </w:t>
      </w:r>
      <w:proofErr w:type="spellStart"/>
      <w:r w:rsidRPr="00014FA7">
        <w:rPr>
          <w:sz w:val="20"/>
          <w:lang w:val="en-US"/>
        </w:rPr>
        <w:t>Wadensjö</w:t>
      </w:r>
      <w:proofErr w:type="spellEnd"/>
      <w:r w:rsidRPr="00014FA7">
        <w:rPr>
          <w:sz w:val="20"/>
          <w:lang w:val="en-US"/>
        </w:rPr>
        <w:t>, E. (2007). Do the Unemployed Become Successful Entrepreneurs? International Journal of Manpower, 28, 604-626.</w:t>
      </w:r>
    </w:p>
    <w:p w14:paraId="7746765D" w14:textId="77777777" w:rsidR="0041152A" w:rsidRPr="00014FA7" w:rsidRDefault="0041152A" w:rsidP="0041152A">
      <w:pPr>
        <w:spacing w:after="60"/>
        <w:rPr>
          <w:sz w:val="20"/>
          <w:lang w:val="en-US"/>
        </w:rPr>
      </w:pPr>
      <w:proofErr w:type="spellStart"/>
      <w:r w:rsidRPr="00014FA7">
        <w:rPr>
          <w:sz w:val="20"/>
          <w:lang w:val="en-US"/>
        </w:rPr>
        <w:t>Arauzo-Carod</w:t>
      </w:r>
      <w:proofErr w:type="spellEnd"/>
      <w:r w:rsidRPr="00014FA7">
        <w:rPr>
          <w:sz w:val="20"/>
          <w:lang w:val="en-US"/>
        </w:rPr>
        <w:t>, J. M., &amp; Segarra-</w:t>
      </w:r>
      <w:proofErr w:type="spellStart"/>
      <w:r w:rsidRPr="00014FA7">
        <w:rPr>
          <w:sz w:val="20"/>
          <w:lang w:val="en-US"/>
        </w:rPr>
        <w:t>Blasco</w:t>
      </w:r>
      <w:proofErr w:type="spellEnd"/>
      <w:r w:rsidRPr="00014FA7">
        <w:rPr>
          <w:sz w:val="20"/>
          <w:lang w:val="en-US"/>
        </w:rPr>
        <w:t>, A. (2005). The determinants of entry are not independent of start-up size: some evidence from Spanish manufacturing. Review of Industrial Organization, 27, 147–165.</w:t>
      </w:r>
    </w:p>
    <w:p w14:paraId="6537C37F" w14:textId="77777777" w:rsidR="0041152A" w:rsidRPr="00014FA7" w:rsidRDefault="0041152A" w:rsidP="0041152A">
      <w:pPr>
        <w:spacing w:after="60"/>
        <w:rPr>
          <w:sz w:val="20"/>
          <w:lang w:val="en-US"/>
        </w:rPr>
      </w:pPr>
      <w:proofErr w:type="spellStart"/>
      <w:r w:rsidRPr="00014FA7">
        <w:rPr>
          <w:sz w:val="20"/>
          <w:lang w:val="en-US"/>
        </w:rPr>
        <w:t>Arrighetti</w:t>
      </w:r>
      <w:proofErr w:type="spellEnd"/>
      <w:r w:rsidRPr="00014FA7">
        <w:rPr>
          <w:sz w:val="20"/>
          <w:lang w:val="en-US"/>
        </w:rPr>
        <w:t xml:space="preserve">, A., &amp; </w:t>
      </w:r>
      <w:proofErr w:type="spellStart"/>
      <w:r w:rsidRPr="00014FA7">
        <w:rPr>
          <w:sz w:val="20"/>
          <w:lang w:val="en-US"/>
        </w:rPr>
        <w:t>Vivarelli</w:t>
      </w:r>
      <w:proofErr w:type="spellEnd"/>
      <w:r w:rsidRPr="00014FA7">
        <w:rPr>
          <w:sz w:val="20"/>
          <w:lang w:val="en-US"/>
        </w:rPr>
        <w:t xml:space="preserve">, M. (1999). The role of innovation in the </w:t>
      </w:r>
      <w:proofErr w:type="spellStart"/>
      <w:r w:rsidRPr="00014FA7">
        <w:rPr>
          <w:sz w:val="20"/>
          <w:lang w:val="en-US"/>
        </w:rPr>
        <w:t>postentry</w:t>
      </w:r>
      <w:proofErr w:type="spellEnd"/>
      <w:r w:rsidRPr="00014FA7">
        <w:rPr>
          <w:sz w:val="20"/>
          <w:lang w:val="en-US"/>
        </w:rPr>
        <w:t xml:space="preserve"> performance of new small firms: evidence from Italy. Southern Economic Journal, 65, 927–939.</w:t>
      </w:r>
    </w:p>
    <w:p w14:paraId="2753C6C4" w14:textId="77777777" w:rsidR="0041152A" w:rsidRPr="00014FA7" w:rsidRDefault="0041152A" w:rsidP="0041152A">
      <w:pPr>
        <w:spacing w:after="60"/>
        <w:rPr>
          <w:sz w:val="20"/>
          <w:lang w:val="en-US"/>
        </w:rPr>
      </w:pPr>
      <w:proofErr w:type="spellStart"/>
      <w:r w:rsidRPr="00014FA7">
        <w:rPr>
          <w:sz w:val="20"/>
          <w:lang w:val="en-US"/>
        </w:rPr>
        <w:t>Arvanitis</w:t>
      </w:r>
      <w:proofErr w:type="spellEnd"/>
      <w:r w:rsidRPr="00014FA7">
        <w:rPr>
          <w:sz w:val="20"/>
          <w:lang w:val="en-US"/>
        </w:rPr>
        <w:t xml:space="preserve">, S. (2005). Modes of </w:t>
      </w:r>
      <w:proofErr w:type="spellStart"/>
      <w:r w:rsidRPr="00014FA7">
        <w:rPr>
          <w:sz w:val="20"/>
          <w:lang w:val="en-US"/>
        </w:rPr>
        <w:t>labour</w:t>
      </w:r>
      <w:proofErr w:type="spellEnd"/>
      <w:r w:rsidRPr="00014FA7">
        <w:rPr>
          <w:sz w:val="20"/>
          <w:lang w:val="en-US"/>
        </w:rPr>
        <w:t xml:space="preserve"> flexibility at firm level: are there any implications for performance and innovation? Evidence for the Swiss economy. Ind. Corp. Change, 14(6), 993–1016.</w:t>
      </w:r>
    </w:p>
    <w:p w14:paraId="53FD08B2" w14:textId="77777777" w:rsidR="0041152A" w:rsidRPr="00014FA7" w:rsidRDefault="0041152A" w:rsidP="0041152A">
      <w:pPr>
        <w:spacing w:after="60"/>
        <w:rPr>
          <w:sz w:val="20"/>
          <w:lang w:val="en-US"/>
        </w:rPr>
      </w:pPr>
      <w:proofErr w:type="spellStart"/>
      <w:r w:rsidRPr="00014FA7">
        <w:rPr>
          <w:sz w:val="20"/>
          <w:lang w:val="en-US"/>
        </w:rPr>
        <w:t>Åstebro</w:t>
      </w:r>
      <w:proofErr w:type="spellEnd"/>
      <w:r w:rsidRPr="00014FA7">
        <w:rPr>
          <w:sz w:val="20"/>
          <w:lang w:val="en-US"/>
        </w:rPr>
        <w:t>, T. (2003). The return to independent invention: evidence of risk-seeking, extreme optimism or skewness loving? Economic Journal, 113, 226–239.</w:t>
      </w:r>
    </w:p>
    <w:p w14:paraId="2D43770C" w14:textId="77777777" w:rsidR="0041152A" w:rsidRPr="00014FA7" w:rsidRDefault="0041152A" w:rsidP="0041152A">
      <w:pPr>
        <w:spacing w:after="60"/>
        <w:rPr>
          <w:sz w:val="20"/>
          <w:lang w:val="en-US"/>
        </w:rPr>
      </w:pPr>
      <w:proofErr w:type="spellStart"/>
      <w:r w:rsidRPr="00014FA7">
        <w:rPr>
          <w:sz w:val="20"/>
          <w:lang w:val="en-US"/>
        </w:rPr>
        <w:t>Åstebro</w:t>
      </w:r>
      <w:proofErr w:type="spellEnd"/>
      <w:r w:rsidRPr="00014FA7">
        <w:rPr>
          <w:sz w:val="20"/>
          <w:lang w:val="en-US"/>
        </w:rPr>
        <w:t xml:space="preserve">, T. (2005). Does it pay to be a jack-of-all-trades? </w:t>
      </w:r>
      <w:proofErr w:type="spellStart"/>
      <w:r w:rsidRPr="00014FA7">
        <w:rPr>
          <w:sz w:val="20"/>
          <w:lang w:val="en-US"/>
        </w:rPr>
        <w:t>Rotman</w:t>
      </w:r>
      <w:proofErr w:type="spellEnd"/>
      <w:r w:rsidRPr="00014FA7">
        <w:rPr>
          <w:sz w:val="20"/>
          <w:lang w:val="en-US"/>
        </w:rPr>
        <w:t xml:space="preserve"> School of Management, University of Toronto, mimeo, Toronto.</w:t>
      </w:r>
    </w:p>
    <w:p w14:paraId="103ACDCC" w14:textId="77777777" w:rsidR="0041152A" w:rsidRPr="00014FA7" w:rsidRDefault="0041152A" w:rsidP="0041152A">
      <w:pPr>
        <w:spacing w:after="60"/>
        <w:rPr>
          <w:sz w:val="20"/>
          <w:lang w:val="en-US"/>
        </w:rPr>
      </w:pPr>
      <w:proofErr w:type="spellStart"/>
      <w:r w:rsidRPr="00014FA7">
        <w:rPr>
          <w:sz w:val="20"/>
          <w:lang w:val="en-US"/>
        </w:rPr>
        <w:t>Åstebro</w:t>
      </w:r>
      <w:proofErr w:type="spellEnd"/>
      <w:r w:rsidRPr="00014FA7">
        <w:rPr>
          <w:sz w:val="20"/>
          <w:lang w:val="en-US"/>
        </w:rPr>
        <w:t>, T., &amp; Thompson, P. (2011). Entrepreneurs, Jacks of all trades or Hobos? Research Policy, 40(5), 637-649.</w:t>
      </w:r>
    </w:p>
    <w:p w14:paraId="3AF5B4B2" w14:textId="77777777" w:rsidR="0041152A" w:rsidRPr="00014FA7" w:rsidRDefault="0041152A" w:rsidP="0041152A">
      <w:pPr>
        <w:spacing w:after="60"/>
        <w:rPr>
          <w:sz w:val="20"/>
          <w:lang w:val="en-US"/>
        </w:rPr>
      </w:pPr>
      <w:proofErr w:type="spellStart"/>
      <w:r w:rsidRPr="00014FA7">
        <w:rPr>
          <w:sz w:val="20"/>
          <w:lang w:val="en-US"/>
        </w:rPr>
        <w:t>Audretsch</w:t>
      </w:r>
      <w:proofErr w:type="spellEnd"/>
      <w:r w:rsidRPr="00014FA7">
        <w:rPr>
          <w:sz w:val="20"/>
          <w:lang w:val="en-US"/>
        </w:rPr>
        <w:t xml:space="preserve">, D. B., &amp; </w:t>
      </w:r>
      <w:proofErr w:type="spellStart"/>
      <w:r w:rsidRPr="00014FA7">
        <w:rPr>
          <w:sz w:val="20"/>
          <w:lang w:val="en-US"/>
        </w:rPr>
        <w:t>Vivarelli</w:t>
      </w:r>
      <w:proofErr w:type="spellEnd"/>
      <w:r w:rsidRPr="00014FA7">
        <w:rPr>
          <w:sz w:val="20"/>
          <w:lang w:val="en-US"/>
        </w:rPr>
        <w:t xml:space="preserve">, M. (1995). New firm formation in Italy. Economics Letters, 48, 77–81. </w:t>
      </w:r>
    </w:p>
    <w:p w14:paraId="7F21E33B" w14:textId="77777777" w:rsidR="0041152A" w:rsidRPr="00014FA7" w:rsidRDefault="0041152A" w:rsidP="0041152A">
      <w:pPr>
        <w:spacing w:after="60"/>
        <w:rPr>
          <w:sz w:val="20"/>
          <w:lang w:val="en-US"/>
        </w:rPr>
      </w:pPr>
      <w:proofErr w:type="spellStart"/>
      <w:r w:rsidRPr="00014FA7">
        <w:rPr>
          <w:sz w:val="20"/>
          <w:lang w:val="en-US"/>
        </w:rPr>
        <w:t>Audretsch</w:t>
      </w:r>
      <w:proofErr w:type="spellEnd"/>
      <w:r w:rsidRPr="00014FA7">
        <w:rPr>
          <w:sz w:val="20"/>
          <w:lang w:val="en-US"/>
        </w:rPr>
        <w:t xml:space="preserve">, D. B., &amp; </w:t>
      </w:r>
      <w:proofErr w:type="spellStart"/>
      <w:r w:rsidRPr="00014FA7">
        <w:rPr>
          <w:sz w:val="20"/>
          <w:lang w:val="en-US"/>
        </w:rPr>
        <w:t>Vivarelli</w:t>
      </w:r>
      <w:proofErr w:type="spellEnd"/>
      <w:r w:rsidRPr="00014FA7">
        <w:rPr>
          <w:sz w:val="20"/>
          <w:lang w:val="en-US"/>
        </w:rPr>
        <w:t xml:space="preserve">, M. (1996a). Determinants of new-firm startups in Italy. </w:t>
      </w:r>
      <w:proofErr w:type="spellStart"/>
      <w:r w:rsidRPr="00014FA7">
        <w:rPr>
          <w:sz w:val="20"/>
          <w:lang w:val="en-US"/>
        </w:rPr>
        <w:t>Empirica</w:t>
      </w:r>
      <w:proofErr w:type="spellEnd"/>
      <w:r w:rsidRPr="00014FA7">
        <w:rPr>
          <w:sz w:val="20"/>
          <w:lang w:val="en-US"/>
        </w:rPr>
        <w:t>, 23, 91–105.</w:t>
      </w:r>
    </w:p>
    <w:p w14:paraId="52175514" w14:textId="77777777" w:rsidR="0041152A" w:rsidRPr="00014FA7" w:rsidRDefault="0041152A" w:rsidP="0041152A">
      <w:pPr>
        <w:spacing w:after="60"/>
        <w:rPr>
          <w:sz w:val="20"/>
          <w:lang w:val="en-US"/>
        </w:rPr>
      </w:pPr>
      <w:proofErr w:type="spellStart"/>
      <w:r w:rsidRPr="00014FA7">
        <w:rPr>
          <w:sz w:val="20"/>
          <w:lang w:val="en-US"/>
        </w:rPr>
        <w:t>Audretsch</w:t>
      </w:r>
      <w:proofErr w:type="spellEnd"/>
      <w:r w:rsidRPr="00014FA7">
        <w:rPr>
          <w:sz w:val="20"/>
          <w:lang w:val="en-US"/>
        </w:rPr>
        <w:t xml:space="preserve">, D. B., </w:t>
      </w:r>
      <w:proofErr w:type="spellStart"/>
      <w:r w:rsidRPr="00014FA7">
        <w:rPr>
          <w:sz w:val="20"/>
          <w:lang w:val="en-US"/>
        </w:rPr>
        <w:t>Keilbach</w:t>
      </w:r>
      <w:proofErr w:type="spellEnd"/>
      <w:r w:rsidRPr="00014FA7">
        <w:rPr>
          <w:sz w:val="20"/>
          <w:lang w:val="en-US"/>
        </w:rPr>
        <w:t>, M. C., &amp; Lehmann, E. E. (2006). Entrepreneurship and economic growth. Oxford: Oxford University Press.</w:t>
      </w:r>
    </w:p>
    <w:p w14:paraId="6427C9D6" w14:textId="77777777" w:rsidR="0041152A" w:rsidRPr="00014FA7" w:rsidRDefault="0041152A" w:rsidP="0041152A">
      <w:pPr>
        <w:spacing w:after="60"/>
        <w:rPr>
          <w:sz w:val="20"/>
          <w:lang w:val="en-US"/>
        </w:rPr>
      </w:pPr>
      <w:proofErr w:type="spellStart"/>
      <w:r w:rsidRPr="0041152A">
        <w:rPr>
          <w:sz w:val="20"/>
        </w:rPr>
        <w:t>Audretsch</w:t>
      </w:r>
      <w:proofErr w:type="spellEnd"/>
      <w:r w:rsidRPr="0041152A">
        <w:rPr>
          <w:sz w:val="20"/>
        </w:rPr>
        <w:t xml:space="preserve">, D., Colombelli, A., Grilli, L., Minola, T., &amp; Rasmussen, E. (2020). </w:t>
      </w:r>
      <w:r w:rsidRPr="00014FA7">
        <w:rPr>
          <w:sz w:val="20"/>
          <w:lang w:val="en-US"/>
        </w:rPr>
        <w:t>Innovative start-ups and policy initiatives. Research Policy, 49(10).</w:t>
      </w:r>
    </w:p>
    <w:p w14:paraId="65771452" w14:textId="77777777" w:rsidR="0041152A" w:rsidRPr="00014FA7" w:rsidRDefault="0041152A" w:rsidP="0041152A">
      <w:pPr>
        <w:spacing w:after="60"/>
        <w:rPr>
          <w:sz w:val="20"/>
          <w:lang w:val="en-US"/>
        </w:rPr>
      </w:pPr>
      <w:proofErr w:type="spellStart"/>
      <w:r w:rsidRPr="00014FA7">
        <w:rPr>
          <w:sz w:val="20"/>
          <w:lang w:val="en-US"/>
        </w:rPr>
        <w:t>Autio</w:t>
      </w:r>
      <w:proofErr w:type="spellEnd"/>
      <w:r w:rsidRPr="00014FA7">
        <w:rPr>
          <w:sz w:val="20"/>
          <w:lang w:val="en-US"/>
        </w:rPr>
        <w:t xml:space="preserve">, E. (1997). New, technology-based firms in innovation networks </w:t>
      </w:r>
      <w:proofErr w:type="spellStart"/>
      <w:r w:rsidRPr="00014FA7">
        <w:rPr>
          <w:sz w:val="20"/>
          <w:lang w:val="en-US"/>
        </w:rPr>
        <w:t>symplectic</w:t>
      </w:r>
      <w:proofErr w:type="spellEnd"/>
      <w:r w:rsidRPr="00014FA7">
        <w:rPr>
          <w:sz w:val="20"/>
          <w:lang w:val="en-US"/>
        </w:rPr>
        <w:t xml:space="preserve"> and generative impacts. Res. Policy, 26(3), 263–281.</w:t>
      </w:r>
    </w:p>
    <w:p w14:paraId="2453781D" w14:textId="77777777" w:rsidR="0041152A" w:rsidRPr="00014FA7" w:rsidRDefault="0041152A" w:rsidP="0041152A">
      <w:pPr>
        <w:spacing w:after="60"/>
        <w:rPr>
          <w:sz w:val="20"/>
          <w:lang w:val="en-US"/>
        </w:rPr>
      </w:pPr>
      <w:proofErr w:type="spellStart"/>
      <w:r w:rsidRPr="00014FA7">
        <w:rPr>
          <w:sz w:val="20"/>
          <w:lang w:val="en-US"/>
        </w:rPr>
        <w:t>Autio</w:t>
      </w:r>
      <w:proofErr w:type="spellEnd"/>
      <w:r w:rsidRPr="00014FA7">
        <w:rPr>
          <w:sz w:val="20"/>
          <w:lang w:val="en-US"/>
        </w:rPr>
        <w:t>, E. (2005). Global Entrepreneurship Report, (2005). Report on High-Expectation Entrepreneurship. London Business School, London.</w:t>
      </w:r>
    </w:p>
    <w:p w14:paraId="3133C0B6" w14:textId="77777777" w:rsidR="0041152A" w:rsidRPr="0041152A" w:rsidRDefault="0041152A" w:rsidP="0041152A">
      <w:pPr>
        <w:spacing w:after="60"/>
        <w:rPr>
          <w:sz w:val="20"/>
        </w:rPr>
      </w:pPr>
      <w:proofErr w:type="spellStart"/>
      <w:r w:rsidRPr="00014FA7">
        <w:rPr>
          <w:sz w:val="20"/>
          <w:lang w:val="en-US"/>
        </w:rPr>
        <w:t>Autio</w:t>
      </w:r>
      <w:proofErr w:type="spellEnd"/>
      <w:r w:rsidRPr="00014FA7">
        <w:rPr>
          <w:sz w:val="20"/>
          <w:lang w:val="en-US"/>
        </w:rPr>
        <w:t xml:space="preserve">, E., Kenney, M., </w:t>
      </w:r>
      <w:proofErr w:type="spellStart"/>
      <w:r w:rsidRPr="00014FA7">
        <w:rPr>
          <w:sz w:val="20"/>
          <w:lang w:val="en-US"/>
        </w:rPr>
        <w:t>Mustar</w:t>
      </w:r>
      <w:proofErr w:type="spellEnd"/>
      <w:r w:rsidRPr="00014FA7">
        <w:rPr>
          <w:sz w:val="20"/>
          <w:lang w:val="en-US"/>
        </w:rPr>
        <w:t xml:space="preserve">, P., Siegel, D., &amp; Wright, M. (2014). </w:t>
      </w:r>
      <w:proofErr w:type="spellStart"/>
      <w:r w:rsidRPr="0041152A">
        <w:rPr>
          <w:sz w:val="20"/>
        </w:rPr>
        <w:t>Entrepreneurial</w:t>
      </w:r>
      <w:proofErr w:type="spellEnd"/>
      <w:r w:rsidRPr="0041152A">
        <w:rPr>
          <w:sz w:val="20"/>
        </w:rPr>
        <w:t xml:space="preserve"> </w:t>
      </w:r>
      <w:proofErr w:type="spellStart"/>
      <w:r w:rsidRPr="0041152A">
        <w:rPr>
          <w:sz w:val="20"/>
        </w:rPr>
        <w:t>innovation</w:t>
      </w:r>
      <w:proofErr w:type="spellEnd"/>
      <w:r w:rsidRPr="0041152A">
        <w:rPr>
          <w:sz w:val="20"/>
        </w:rPr>
        <w:t xml:space="preserve">: the </w:t>
      </w:r>
      <w:proofErr w:type="spellStart"/>
      <w:r w:rsidRPr="0041152A">
        <w:rPr>
          <w:sz w:val="20"/>
        </w:rPr>
        <w:t>importance</w:t>
      </w:r>
      <w:proofErr w:type="spellEnd"/>
      <w:r w:rsidRPr="0041152A">
        <w:rPr>
          <w:sz w:val="20"/>
        </w:rPr>
        <w:t xml:space="preserve"> of </w:t>
      </w:r>
      <w:proofErr w:type="spellStart"/>
      <w:r w:rsidRPr="0041152A">
        <w:rPr>
          <w:sz w:val="20"/>
        </w:rPr>
        <w:t>context</w:t>
      </w:r>
      <w:proofErr w:type="spellEnd"/>
      <w:r w:rsidRPr="0041152A">
        <w:rPr>
          <w:sz w:val="20"/>
        </w:rPr>
        <w:t>. Res. Policy, 43(7), 1097–1108.</w:t>
      </w:r>
    </w:p>
    <w:p w14:paraId="2974C73B" w14:textId="77777777" w:rsidR="0041152A" w:rsidRPr="0041152A" w:rsidRDefault="0041152A" w:rsidP="0041152A">
      <w:pPr>
        <w:spacing w:after="60"/>
        <w:rPr>
          <w:sz w:val="20"/>
        </w:rPr>
      </w:pPr>
      <w:r w:rsidRPr="0041152A">
        <w:rPr>
          <w:sz w:val="20"/>
        </w:rPr>
        <w:t>Banca d’Italia (2020), L'economia della Lombardia, Aggiornamento congiunturale.</w:t>
      </w:r>
    </w:p>
    <w:p w14:paraId="000BF65C" w14:textId="77777777" w:rsidR="0041152A" w:rsidRPr="0041152A" w:rsidRDefault="0041152A" w:rsidP="0041152A">
      <w:pPr>
        <w:spacing w:after="60"/>
        <w:rPr>
          <w:sz w:val="20"/>
        </w:rPr>
      </w:pPr>
      <w:r w:rsidRPr="0041152A">
        <w:rPr>
          <w:sz w:val="20"/>
        </w:rPr>
        <w:t>Banca d’Italia (2020), L'economia della Lombardia, Rapporto annuale.</w:t>
      </w:r>
    </w:p>
    <w:p w14:paraId="65F6C551" w14:textId="77777777" w:rsidR="0041152A" w:rsidRPr="00014FA7" w:rsidRDefault="0041152A" w:rsidP="0041152A">
      <w:pPr>
        <w:spacing w:after="60"/>
        <w:rPr>
          <w:sz w:val="20"/>
          <w:lang w:val="en-US"/>
        </w:rPr>
      </w:pPr>
      <w:r w:rsidRPr="00014FA7">
        <w:rPr>
          <w:sz w:val="20"/>
          <w:lang w:val="en-US"/>
        </w:rPr>
        <w:t xml:space="preserve">Baptista, R., &amp; </w:t>
      </w:r>
      <w:proofErr w:type="spellStart"/>
      <w:r w:rsidRPr="00014FA7">
        <w:rPr>
          <w:sz w:val="20"/>
          <w:lang w:val="en-US"/>
        </w:rPr>
        <w:t>Mendonça</w:t>
      </w:r>
      <w:proofErr w:type="spellEnd"/>
      <w:r w:rsidRPr="00014FA7">
        <w:rPr>
          <w:sz w:val="20"/>
          <w:lang w:val="en-US"/>
        </w:rPr>
        <w:t>, J. (2010). Proximity to knowledge sources and the location of knowledge-based start-ups. The Annals of Regional Science, 45, 5–29.</w:t>
      </w:r>
    </w:p>
    <w:p w14:paraId="46FCA079" w14:textId="77777777" w:rsidR="0041152A" w:rsidRPr="00014FA7" w:rsidRDefault="0041152A" w:rsidP="0041152A">
      <w:pPr>
        <w:spacing w:after="60"/>
        <w:rPr>
          <w:sz w:val="20"/>
          <w:lang w:val="en-US"/>
        </w:rPr>
      </w:pPr>
      <w:r w:rsidRPr="00014FA7">
        <w:rPr>
          <w:sz w:val="20"/>
          <w:lang w:val="en-US"/>
        </w:rPr>
        <w:t>Bates, T. (1990). Entrepreneur human capital inputs and small business longevity. Review of Economics and Statistics, 72, 551–559.</w:t>
      </w:r>
    </w:p>
    <w:p w14:paraId="64A52695" w14:textId="77777777" w:rsidR="0041152A" w:rsidRPr="00014FA7" w:rsidRDefault="0041152A" w:rsidP="0041152A">
      <w:pPr>
        <w:spacing w:after="60"/>
        <w:rPr>
          <w:sz w:val="20"/>
          <w:lang w:val="en-US"/>
        </w:rPr>
      </w:pPr>
      <w:proofErr w:type="spellStart"/>
      <w:r w:rsidRPr="00014FA7">
        <w:rPr>
          <w:sz w:val="20"/>
          <w:lang w:val="en-US"/>
        </w:rPr>
        <w:t>Baughn</w:t>
      </w:r>
      <w:proofErr w:type="spellEnd"/>
      <w:r w:rsidRPr="00014FA7">
        <w:rPr>
          <w:sz w:val="20"/>
          <w:lang w:val="en-US"/>
        </w:rPr>
        <w:t>, C.C., &amp; Neupert, K.E. (2003). Culture and national condition facilitating entrepreneurial start-ups. J. Int. Entrepreneurship, 1, 313–330.</w:t>
      </w:r>
    </w:p>
    <w:p w14:paraId="2EC62029" w14:textId="77777777" w:rsidR="0041152A" w:rsidRPr="00014FA7" w:rsidRDefault="0041152A" w:rsidP="0041152A">
      <w:pPr>
        <w:spacing w:after="60"/>
        <w:rPr>
          <w:sz w:val="20"/>
          <w:lang w:val="en-US"/>
        </w:rPr>
      </w:pPr>
      <w:proofErr w:type="spellStart"/>
      <w:r w:rsidRPr="00014FA7">
        <w:rPr>
          <w:sz w:val="20"/>
          <w:lang w:val="en-US"/>
        </w:rPr>
        <w:t>Baughn</w:t>
      </w:r>
      <w:proofErr w:type="spellEnd"/>
      <w:r w:rsidRPr="00014FA7">
        <w:rPr>
          <w:sz w:val="20"/>
          <w:lang w:val="en-US"/>
        </w:rPr>
        <w:t xml:space="preserve">, C.C., </w:t>
      </w:r>
      <w:proofErr w:type="spellStart"/>
      <w:r w:rsidRPr="00014FA7">
        <w:rPr>
          <w:sz w:val="20"/>
          <w:lang w:val="en-US"/>
        </w:rPr>
        <w:t>Sugheir</w:t>
      </w:r>
      <w:proofErr w:type="spellEnd"/>
      <w:r w:rsidRPr="00014FA7">
        <w:rPr>
          <w:sz w:val="20"/>
          <w:lang w:val="en-US"/>
        </w:rPr>
        <w:t>, J., &amp; Neupert, K.E. (2008). Labor flexibility and the prevalence of high-growth entrepreneurial activity. Front. Entrepreneurship Res., 28(18), Article 1.</w:t>
      </w:r>
    </w:p>
    <w:p w14:paraId="01CC8C4E" w14:textId="77777777" w:rsidR="0041152A" w:rsidRPr="00014FA7" w:rsidRDefault="0041152A" w:rsidP="0041152A">
      <w:pPr>
        <w:spacing w:after="60"/>
        <w:rPr>
          <w:sz w:val="20"/>
          <w:lang w:val="en-US"/>
        </w:rPr>
      </w:pPr>
      <w:r w:rsidRPr="00014FA7">
        <w:rPr>
          <w:sz w:val="20"/>
          <w:lang w:val="en-US"/>
        </w:rPr>
        <w:t xml:space="preserve">Baumol, W. J. (1990). Entrepreneurship: Productive, unproductive and destructive. Journal of Political Economy, 98(5), 893–921. </w:t>
      </w:r>
    </w:p>
    <w:p w14:paraId="1F2F43C9" w14:textId="77777777" w:rsidR="0041152A" w:rsidRPr="00014FA7" w:rsidRDefault="0041152A" w:rsidP="0041152A">
      <w:pPr>
        <w:spacing w:after="60"/>
        <w:rPr>
          <w:sz w:val="20"/>
          <w:lang w:val="en-US"/>
        </w:rPr>
      </w:pPr>
      <w:r w:rsidRPr="00014FA7">
        <w:rPr>
          <w:sz w:val="20"/>
          <w:lang w:val="en-US"/>
        </w:rPr>
        <w:t xml:space="preserve">Baumol, W. J. (2005). Entrepreneurship and invention: Toward their microeconomic value theory, AEI-Brookings Joint Center for Regulatory Studies, related publication n. 05-38, Washington, Joint Center. </w:t>
      </w:r>
    </w:p>
    <w:p w14:paraId="73483961" w14:textId="77777777" w:rsidR="0041152A" w:rsidRPr="00014FA7" w:rsidRDefault="0041152A" w:rsidP="0041152A">
      <w:pPr>
        <w:spacing w:after="60"/>
        <w:rPr>
          <w:sz w:val="20"/>
          <w:lang w:val="en-US"/>
        </w:rPr>
      </w:pPr>
      <w:r w:rsidRPr="00014FA7">
        <w:rPr>
          <w:sz w:val="20"/>
          <w:lang w:val="en-US"/>
        </w:rPr>
        <w:t>Baumol, W.J., &amp; Strom, R.J. (2007). Entrepreneurship and economic growth. Strategic Entrepreneurship J., 1(3-4), 233–237.</w:t>
      </w:r>
    </w:p>
    <w:p w14:paraId="34CE3A65" w14:textId="77777777" w:rsidR="0041152A" w:rsidRPr="00014FA7" w:rsidRDefault="0041152A" w:rsidP="0041152A">
      <w:pPr>
        <w:spacing w:after="60"/>
        <w:rPr>
          <w:sz w:val="20"/>
          <w:lang w:val="en-US"/>
        </w:rPr>
      </w:pPr>
      <w:proofErr w:type="spellStart"/>
      <w:r w:rsidRPr="00014FA7">
        <w:rPr>
          <w:sz w:val="20"/>
          <w:lang w:val="en-US"/>
        </w:rPr>
        <w:t>Becchetti</w:t>
      </w:r>
      <w:proofErr w:type="spellEnd"/>
      <w:r w:rsidRPr="00014FA7">
        <w:rPr>
          <w:sz w:val="20"/>
          <w:lang w:val="en-US"/>
        </w:rPr>
        <w:t xml:space="preserve">, L., &amp; </w:t>
      </w:r>
      <w:proofErr w:type="spellStart"/>
      <w:r w:rsidRPr="00014FA7">
        <w:rPr>
          <w:sz w:val="20"/>
          <w:lang w:val="en-US"/>
        </w:rPr>
        <w:t>Trovato</w:t>
      </w:r>
      <w:proofErr w:type="spellEnd"/>
      <w:r w:rsidRPr="00014FA7">
        <w:rPr>
          <w:sz w:val="20"/>
          <w:lang w:val="en-US"/>
        </w:rPr>
        <w:t>, G. (2002). The determinants of growth for small and medium sized firms. The role of availability of external finance. Small Business Economics, 19, 291–306.</w:t>
      </w:r>
    </w:p>
    <w:p w14:paraId="66A30DC7" w14:textId="77777777" w:rsidR="0041152A" w:rsidRPr="00014FA7" w:rsidRDefault="0041152A" w:rsidP="0041152A">
      <w:pPr>
        <w:spacing w:after="60"/>
        <w:rPr>
          <w:sz w:val="20"/>
          <w:lang w:val="en-US"/>
        </w:rPr>
      </w:pPr>
      <w:r w:rsidRPr="00014FA7">
        <w:rPr>
          <w:sz w:val="20"/>
          <w:lang w:val="en-US"/>
        </w:rPr>
        <w:t>Blanchflower, D., &amp; Meyer, B. (1994). A longitudinal analysis of young entrepreneurs in Australia and the United States. Small Business Economics, 6, 1–20.</w:t>
      </w:r>
    </w:p>
    <w:p w14:paraId="18548A60" w14:textId="77777777" w:rsidR="0041152A" w:rsidRPr="00014FA7" w:rsidRDefault="0041152A" w:rsidP="0041152A">
      <w:pPr>
        <w:spacing w:after="60"/>
        <w:rPr>
          <w:sz w:val="20"/>
          <w:lang w:val="en-US"/>
        </w:rPr>
      </w:pPr>
      <w:r w:rsidRPr="00014FA7">
        <w:rPr>
          <w:sz w:val="20"/>
          <w:lang w:val="en-US"/>
        </w:rPr>
        <w:t>Blanchflower, D., &amp; Oswald, A. (1998). What makes an entrepreneur? Journal of Labor Economics, 16, 26–60.</w:t>
      </w:r>
    </w:p>
    <w:p w14:paraId="7E4D3ABF" w14:textId="77777777" w:rsidR="0041152A" w:rsidRPr="00014FA7" w:rsidRDefault="0041152A" w:rsidP="0041152A">
      <w:pPr>
        <w:spacing w:after="60"/>
        <w:rPr>
          <w:sz w:val="20"/>
          <w:lang w:val="en-US"/>
        </w:rPr>
      </w:pPr>
      <w:r w:rsidRPr="00014FA7">
        <w:rPr>
          <w:sz w:val="20"/>
          <w:lang w:val="en-US"/>
        </w:rPr>
        <w:t xml:space="preserve">Brown, R., &amp; Mason, C. (2017). Looking Inside the Spiky Bits: A Critical Review and </w:t>
      </w:r>
      <w:proofErr w:type="spellStart"/>
      <w:r w:rsidRPr="00014FA7">
        <w:rPr>
          <w:sz w:val="20"/>
          <w:lang w:val="en-US"/>
        </w:rPr>
        <w:t>Conceptualisation</w:t>
      </w:r>
      <w:proofErr w:type="spellEnd"/>
      <w:r w:rsidRPr="00014FA7">
        <w:rPr>
          <w:sz w:val="20"/>
          <w:lang w:val="en-US"/>
        </w:rPr>
        <w:t xml:space="preserve"> of Entrepreneurial Ecosystems. Small Business Economics, 49(1), 11-30.</w:t>
      </w:r>
    </w:p>
    <w:p w14:paraId="73D3A23A" w14:textId="77777777" w:rsidR="0041152A" w:rsidRPr="00014FA7" w:rsidRDefault="0041152A" w:rsidP="0041152A">
      <w:pPr>
        <w:spacing w:after="60"/>
        <w:rPr>
          <w:sz w:val="20"/>
          <w:lang w:val="en-US"/>
        </w:rPr>
      </w:pPr>
      <w:proofErr w:type="spellStart"/>
      <w:r w:rsidRPr="00014FA7">
        <w:rPr>
          <w:sz w:val="20"/>
          <w:lang w:val="en-US"/>
        </w:rPr>
        <w:t>Bruderl</w:t>
      </w:r>
      <w:proofErr w:type="spellEnd"/>
      <w:r w:rsidRPr="00014FA7">
        <w:rPr>
          <w:sz w:val="20"/>
          <w:lang w:val="en-US"/>
        </w:rPr>
        <w:t xml:space="preserve">, J., </w:t>
      </w:r>
      <w:proofErr w:type="spellStart"/>
      <w:r w:rsidRPr="00014FA7">
        <w:rPr>
          <w:sz w:val="20"/>
          <w:lang w:val="en-US"/>
        </w:rPr>
        <w:t>Preisendorfer</w:t>
      </w:r>
      <w:proofErr w:type="spellEnd"/>
      <w:r w:rsidRPr="00014FA7">
        <w:rPr>
          <w:sz w:val="20"/>
          <w:lang w:val="en-US"/>
        </w:rPr>
        <w:t xml:space="preserve">, P., &amp; Ziegler, R. (1992). Survival chances of newly founded business organizations. Am. </w:t>
      </w:r>
      <w:proofErr w:type="spellStart"/>
      <w:r w:rsidRPr="00014FA7">
        <w:rPr>
          <w:sz w:val="20"/>
          <w:lang w:val="en-US"/>
        </w:rPr>
        <w:t>Sociol</w:t>
      </w:r>
      <w:proofErr w:type="spellEnd"/>
      <w:r w:rsidRPr="00014FA7">
        <w:rPr>
          <w:sz w:val="20"/>
          <w:lang w:val="en-US"/>
        </w:rPr>
        <w:t>. Rev., 57(2), 227–242.</w:t>
      </w:r>
    </w:p>
    <w:p w14:paraId="19037A31" w14:textId="77777777" w:rsidR="0041152A" w:rsidRPr="00014FA7" w:rsidRDefault="0041152A" w:rsidP="0041152A">
      <w:pPr>
        <w:spacing w:after="60"/>
        <w:rPr>
          <w:sz w:val="20"/>
          <w:lang w:val="en-US"/>
        </w:rPr>
      </w:pPr>
      <w:r w:rsidRPr="00014FA7">
        <w:rPr>
          <w:sz w:val="20"/>
          <w:lang w:val="en-US"/>
        </w:rPr>
        <w:t>Burke, A., FitzRoy, F., &amp; Nolan, M. A. (2008). What Makes a Die-Hard Entrepreneur? Beyond the ‘Employee or Entrepreneur’ Dichotomy. Small Business Economics, 31(2), 93-115.</w:t>
      </w:r>
    </w:p>
    <w:p w14:paraId="35736BAA" w14:textId="77777777" w:rsidR="0041152A" w:rsidRPr="00014FA7" w:rsidRDefault="0041152A" w:rsidP="0041152A">
      <w:pPr>
        <w:spacing w:after="60"/>
        <w:rPr>
          <w:sz w:val="20"/>
          <w:lang w:val="en-US"/>
        </w:rPr>
      </w:pPr>
      <w:r w:rsidRPr="00014FA7">
        <w:rPr>
          <w:sz w:val="20"/>
          <w:lang w:val="en-US"/>
        </w:rPr>
        <w:t xml:space="preserve">Calvino, F., </w:t>
      </w:r>
      <w:proofErr w:type="spellStart"/>
      <w:r w:rsidRPr="00014FA7">
        <w:rPr>
          <w:sz w:val="20"/>
          <w:lang w:val="en-US"/>
        </w:rPr>
        <w:t>Criscuolo</w:t>
      </w:r>
      <w:proofErr w:type="spellEnd"/>
      <w:r w:rsidRPr="00014FA7">
        <w:rPr>
          <w:sz w:val="20"/>
          <w:lang w:val="en-US"/>
        </w:rPr>
        <w:t xml:space="preserve">, C., &amp; Menon, C. (2016). No country for young </w:t>
      </w:r>
      <w:proofErr w:type="gramStart"/>
      <w:r w:rsidRPr="00014FA7">
        <w:rPr>
          <w:sz w:val="20"/>
          <w:lang w:val="en-US"/>
        </w:rPr>
        <w:t>firms?:</w:t>
      </w:r>
      <w:proofErr w:type="gramEnd"/>
      <w:r w:rsidRPr="00014FA7">
        <w:rPr>
          <w:sz w:val="20"/>
          <w:lang w:val="en-US"/>
        </w:rPr>
        <w:t xml:space="preserve"> Start-up dynamics and national policies.</w:t>
      </w:r>
    </w:p>
    <w:p w14:paraId="27F625A3" w14:textId="77777777" w:rsidR="0041152A" w:rsidRPr="00014FA7" w:rsidRDefault="0041152A" w:rsidP="0041152A">
      <w:pPr>
        <w:spacing w:after="60"/>
        <w:rPr>
          <w:sz w:val="20"/>
          <w:lang w:val="en-US"/>
        </w:rPr>
      </w:pPr>
      <w:r w:rsidRPr="00014FA7">
        <w:rPr>
          <w:sz w:val="20"/>
          <w:lang w:val="en-US"/>
        </w:rPr>
        <w:t xml:space="preserve">Camerer, C., &amp; </w:t>
      </w:r>
      <w:proofErr w:type="spellStart"/>
      <w:r w:rsidRPr="00014FA7">
        <w:rPr>
          <w:sz w:val="20"/>
          <w:lang w:val="en-US"/>
        </w:rPr>
        <w:t>Lovallo</w:t>
      </w:r>
      <w:proofErr w:type="spellEnd"/>
      <w:r w:rsidRPr="00014FA7">
        <w:rPr>
          <w:sz w:val="20"/>
          <w:lang w:val="en-US"/>
        </w:rPr>
        <w:t>, D. (1999). Overconfidence and excess entry: an experimental approach. American Economic Review, 89, 306–318.</w:t>
      </w:r>
    </w:p>
    <w:p w14:paraId="290E9FA1" w14:textId="77777777" w:rsidR="0041152A" w:rsidRPr="00014FA7" w:rsidRDefault="0041152A" w:rsidP="0041152A">
      <w:pPr>
        <w:spacing w:after="60"/>
        <w:rPr>
          <w:sz w:val="20"/>
          <w:lang w:val="en-US"/>
        </w:rPr>
      </w:pPr>
      <w:r w:rsidRPr="00014FA7">
        <w:rPr>
          <w:sz w:val="20"/>
          <w:lang w:val="en-US"/>
        </w:rPr>
        <w:t>Carpenter, R. E., &amp; Petersen, B. C. (2002). Is the growth of small firms constrained by internal finance? Review of Economics and Statistics, 84, 298–309.</w:t>
      </w:r>
    </w:p>
    <w:p w14:paraId="310EACEB" w14:textId="77777777" w:rsidR="0041152A" w:rsidRPr="00014FA7" w:rsidRDefault="0041152A" w:rsidP="0041152A">
      <w:pPr>
        <w:spacing w:after="60"/>
        <w:rPr>
          <w:sz w:val="20"/>
          <w:lang w:val="en-US"/>
        </w:rPr>
      </w:pPr>
      <w:r w:rsidRPr="00014FA7">
        <w:rPr>
          <w:sz w:val="20"/>
          <w:lang w:val="en-US"/>
        </w:rPr>
        <w:t>Carrasco, R. (1999). Transitions to and from self-employment in Spain. Oxford Bulletin of Economics and Statistics, 61, 315–341.</w:t>
      </w:r>
    </w:p>
    <w:p w14:paraId="1B0C8D83" w14:textId="77777777" w:rsidR="0041152A" w:rsidRPr="00014FA7" w:rsidRDefault="0041152A" w:rsidP="0041152A">
      <w:pPr>
        <w:spacing w:after="60"/>
        <w:rPr>
          <w:sz w:val="20"/>
          <w:lang w:val="en-US"/>
        </w:rPr>
      </w:pPr>
      <w:proofErr w:type="spellStart"/>
      <w:r w:rsidRPr="00014FA7">
        <w:rPr>
          <w:sz w:val="20"/>
          <w:lang w:val="en-US"/>
        </w:rPr>
        <w:t>Cefis</w:t>
      </w:r>
      <w:proofErr w:type="spellEnd"/>
      <w:r w:rsidRPr="00014FA7">
        <w:rPr>
          <w:sz w:val="20"/>
          <w:lang w:val="en-US"/>
        </w:rPr>
        <w:t xml:space="preserve">, E., &amp; </w:t>
      </w:r>
      <w:proofErr w:type="spellStart"/>
      <w:r w:rsidRPr="00014FA7">
        <w:rPr>
          <w:sz w:val="20"/>
          <w:lang w:val="en-US"/>
        </w:rPr>
        <w:t>Marsili</w:t>
      </w:r>
      <w:proofErr w:type="spellEnd"/>
      <w:r w:rsidRPr="00014FA7">
        <w:rPr>
          <w:sz w:val="20"/>
          <w:lang w:val="en-US"/>
        </w:rPr>
        <w:t>, O. (2005). A matter of life and death: innovation and firm survival. Industrial and Corporate Change, 14, 1167–1192.</w:t>
      </w:r>
    </w:p>
    <w:p w14:paraId="4B9DA1C5" w14:textId="77777777" w:rsidR="0041152A" w:rsidRPr="00014FA7" w:rsidRDefault="0041152A" w:rsidP="0041152A">
      <w:pPr>
        <w:spacing w:after="60"/>
        <w:rPr>
          <w:sz w:val="20"/>
          <w:lang w:val="en-US"/>
        </w:rPr>
      </w:pPr>
      <w:proofErr w:type="spellStart"/>
      <w:r w:rsidRPr="00014FA7">
        <w:rPr>
          <w:sz w:val="20"/>
          <w:lang w:val="en-US"/>
        </w:rPr>
        <w:t>Cefis</w:t>
      </w:r>
      <w:proofErr w:type="spellEnd"/>
      <w:r w:rsidRPr="00014FA7">
        <w:rPr>
          <w:sz w:val="20"/>
          <w:lang w:val="en-US"/>
        </w:rPr>
        <w:t xml:space="preserve">, E., &amp; </w:t>
      </w:r>
      <w:proofErr w:type="spellStart"/>
      <w:r w:rsidRPr="00014FA7">
        <w:rPr>
          <w:sz w:val="20"/>
          <w:lang w:val="en-US"/>
        </w:rPr>
        <w:t>Marsili</w:t>
      </w:r>
      <w:proofErr w:type="spellEnd"/>
      <w:r w:rsidRPr="00014FA7">
        <w:rPr>
          <w:sz w:val="20"/>
          <w:lang w:val="en-US"/>
        </w:rPr>
        <w:t xml:space="preserve">, O. (2006a). Innovation premium and the survival of entrepreneurial firms in the Netherlands. in E. </w:t>
      </w:r>
      <w:proofErr w:type="spellStart"/>
      <w:r w:rsidRPr="00014FA7">
        <w:rPr>
          <w:sz w:val="20"/>
          <w:lang w:val="en-US"/>
        </w:rPr>
        <w:t>Santarelli</w:t>
      </w:r>
      <w:proofErr w:type="spellEnd"/>
      <w:r w:rsidRPr="00014FA7">
        <w:rPr>
          <w:sz w:val="20"/>
          <w:lang w:val="en-US"/>
        </w:rPr>
        <w:t xml:space="preserve"> (ed.), Entrepreneurship, Growth, and Innovation: The Dynamics of Firms and Industries. Springer: New York, pp. 183–198. </w:t>
      </w:r>
    </w:p>
    <w:p w14:paraId="7953F1D5" w14:textId="77777777" w:rsidR="0041152A" w:rsidRPr="00014FA7" w:rsidRDefault="0041152A" w:rsidP="0041152A">
      <w:pPr>
        <w:spacing w:after="60"/>
        <w:rPr>
          <w:sz w:val="20"/>
          <w:lang w:val="en-US"/>
        </w:rPr>
      </w:pPr>
      <w:proofErr w:type="spellStart"/>
      <w:r w:rsidRPr="00014FA7">
        <w:rPr>
          <w:sz w:val="20"/>
          <w:lang w:val="en-US"/>
        </w:rPr>
        <w:t>Cefis</w:t>
      </w:r>
      <w:proofErr w:type="spellEnd"/>
      <w:r w:rsidRPr="00014FA7">
        <w:rPr>
          <w:sz w:val="20"/>
          <w:lang w:val="en-US"/>
        </w:rPr>
        <w:t xml:space="preserve">, E., &amp; </w:t>
      </w:r>
      <w:proofErr w:type="spellStart"/>
      <w:r w:rsidRPr="00014FA7">
        <w:rPr>
          <w:sz w:val="20"/>
          <w:lang w:val="en-US"/>
        </w:rPr>
        <w:t>Marsili</w:t>
      </w:r>
      <w:proofErr w:type="spellEnd"/>
      <w:r w:rsidRPr="00014FA7">
        <w:rPr>
          <w:sz w:val="20"/>
          <w:lang w:val="en-US"/>
        </w:rPr>
        <w:t>, O. (2006b). Survivor: the role of innovation in firm’s survival. Research Policy, 35, 626–641.</w:t>
      </w:r>
    </w:p>
    <w:p w14:paraId="24716E78" w14:textId="77777777" w:rsidR="0041152A" w:rsidRPr="0041152A" w:rsidRDefault="0041152A" w:rsidP="0041152A">
      <w:pPr>
        <w:spacing w:after="60"/>
        <w:rPr>
          <w:sz w:val="20"/>
        </w:rPr>
      </w:pPr>
      <w:r w:rsidRPr="00014FA7">
        <w:rPr>
          <w:sz w:val="20"/>
          <w:lang w:val="en-US"/>
        </w:rPr>
        <w:t xml:space="preserve">Chittenden, F., </w:t>
      </w:r>
      <w:proofErr w:type="spellStart"/>
      <w:r w:rsidRPr="00014FA7">
        <w:rPr>
          <w:sz w:val="20"/>
          <w:lang w:val="en-US"/>
        </w:rPr>
        <w:t>Kauser</w:t>
      </w:r>
      <w:proofErr w:type="spellEnd"/>
      <w:r w:rsidRPr="00014FA7">
        <w:rPr>
          <w:sz w:val="20"/>
          <w:lang w:val="en-US"/>
        </w:rPr>
        <w:t xml:space="preserve">, S., &amp; </w:t>
      </w:r>
      <w:proofErr w:type="spellStart"/>
      <w:r w:rsidRPr="00014FA7">
        <w:rPr>
          <w:sz w:val="20"/>
          <w:lang w:val="en-US"/>
        </w:rPr>
        <w:t>Poutziouris</w:t>
      </w:r>
      <w:proofErr w:type="spellEnd"/>
      <w:r w:rsidRPr="00014FA7">
        <w:rPr>
          <w:sz w:val="20"/>
          <w:lang w:val="en-US"/>
        </w:rPr>
        <w:t xml:space="preserve">, P. (2005). PAYE-NIC compliance costs - Empirical evidence from the UKSME economy. </w:t>
      </w:r>
      <w:r w:rsidRPr="0041152A">
        <w:rPr>
          <w:sz w:val="20"/>
        </w:rPr>
        <w:t>International Small Business Journal, 23(6), 635-656.</w:t>
      </w:r>
    </w:p>
    <w:p w14:paraId="2EA7AF43" w14:textId="77777777" w:rsidR="0041152A" w:rsidRPr="0041152A" w:rsidRDefault="0041152A" w:rsidP="0041152A">
      <w:pPr>
        <w:spacing w:after="60"/>
        <w:rPr>
          <w:sz w:val="20"/>
        </w:rPr>
      </w:pPr>
      <w:r w:rsidRPr="0041152A">
        <w:rPr>
          <w:sz w:val="20"/>
        </w:rPr>
        <w:t>Clara Sabatini C. (2021), Autorità Pari Opportunità, Azioni per la parità di genere, le pari opportunità e la non discriminazione, Comitato di Sorveglianza maggio 2021 (slides)</w:t>
      </w:r>
    </w:p>
    <w:p w14:paraId="71FB639F" w14:textId="77777777" w:rsidR="0041152A" w:rsidRPr="00014FA7" w:rsidRDefault="0041152A" w:rsidP="0041152A">
      <w:pPr>
        <w:spacing w:after="60"/>
        <w:rPr>
          <w:sz w:val="20"/>
          <w:lang w:val="en-US"/>
        </w:rPr>
      </w:pPr>
      <w:r w:rsidRPr="00014FA7">
        <w:rPr>
          <w:sz w:val="20"/>
          <w:lang w:val="en-US"/>
        </w:rPr>
        <w:t xml:space="preserve">Coad, A., &amp; Rao, R. (2008). Innovation and firm growth in </w:t>
      </w:r>
      <w:proofErr w:type="spellStart"/>
      <w:r w:rsidRPr="00014FA7">
        <w:rPr>
          <w:sz w:val="20"/>
          <w:lang w:val="en-US"/>
        </w:rPr>
        <w:t>hightech</w:t>
      </w:r>
      <w:proofErr w:type="spellEnd"/>
      <w:r w:rsidRPr="00014FA7">
        <w:rPr>
          <w:sz w:val="20"/>
          <w:lang w:val="en-US"/>
        </w:rPr>
        <w:t xml:space="preserve"> sectors: A quantile regression approach. Research Policy, 37(4), 633–648.</w:t>
      </w:r>
    </w:p>
    <w:p w14:paraId="5429B323" w14:textId="77777777" w:rsidR="0041152A" w:rsidRPr="00014FA7" w:rsidRDefault="0041152A" w:rsidP="0041152A">
      <w:pPr>
        <w:spacing w:after="60"/>
        <w:rPr>
          <w:sz w:val="20"/>
          <w:lang w:val="en-US"/>
        </w:rPr>
      </w:pPr>
      <w:r w:rsidRPr="00014FA7">
        <w:rPr>
          <w:sz w:val="20"/>
          <w:lang w:val="en-US"/>
        </w:rPr>
        <w:t xml:space="preserve">Coelho, M. P., de Meza, D., &amp; </w:t>
      </w:r>
      <w:proofErr w:type="spellStart"/>
      <w:r w:rsidRPr="00014FA7">
        <w:rPr>
          <w:sz w:val="20"/>
          <w:lang w:val="en-US"/>
        </w:rPr>
        <w:t>Reyniers</w:t>
      </w:r>
      <w:proofErr w:type="spellEnd"/>
      <w:r w:rsidRPr="00014FA7">
        <w:rPr>
          <w:sz w:val="20"/>
          <w:lang w:val="en-US"/>
        </w:rPr>
        <w:t>, D. (2004). Irrational exuberance, entrepreneurial finance and public policy. International Tax and Public Finance, 11, 391–417.</w:t>
      </w:r>
    </w:p>
    <w:p w14:paraId="5ECA209A" w14:textId="77777777" w:rsidR="0041152A" w:rsidRPr="0041152A" w:rsidRDefault="0041152A" w:rsidP="0041152A">
      <w:pPr>
        <w:spacing w:after="60"/>
        <w:rPr>
          <w:sz w:val="20"/>
        </w:rPr>
      </w:pPr>
      <w:r w:rsidRPr="00014FA7">
        <w:rPr>
          <w:sz w:val="20"/>
          <w:lang w:val="en-US"/>
        </w:rPr>
        <w:t xml:space="preserve">Collins, C.J., &amp; Smith, K.G. (2006). Knowledge exchange and combination: the role of human resource practices in the performance of high-technology firms. </w:t>
      </w:r>
      <w:proofErr w:type="spellStart"/>
      <w:r w:rsidRPr="0041152A">
        <w:rPr>
          <w:sz w:val="20"/>
        </w:rPr>
        <w:t>Acad</w:t>
      </w:r>
      <w:proofErr w:type="spellEnd"/>
      <w:r w:rsidRPr="0041152A">
        <w:rPr>
          <w:sz w:val="20"/>
        </w:rPr>
        <w:t xml:space="preserve">. </w:t>
      </w:r>
      <w:proofErr w:type="spellStart"/>
      <w:r w:rsidRPr="0041152A">
        <w:rPr>
          <w:sz w:val="20"/>
        </w:rPr>
        <w:t>Manag</w:t>
      </w:r>
      <w:proofErr w:type="spellEnd"/>
      <w:r w:rsidRPr="0041152A">
        <w:rPr>
          <w:sz w:val="20"/>
        </w:rPr>
        <w:t xml:space="preserve">. J., 49(3), 544–560. </w:t>
      </w:r>
    </w:p>
    <w:p w14:paraId="0B519A73" w14:textId="77777777" w:rsidR="0041152A" w:rsidRPr="00014FA7" w:rsidRDefault="0041152A" w:rsidP="0041152A">
      <w:pPr>
        <w:spacing w:after="60"/>
        <w:rPr>
          <w:sz w:val="20"/>
          <w:lang w:val="en-US"/>
        </w:rPr>
      </w:pPr>
      <w:r w:rsidRPr="0041152A">
        <w:rPr>
          <w:sz w:val="20"/>
        </w:rPr>
        <w:t xml:space="preserve">Colombelli, A., Grilli, L., Minola, T., &amp; </w:t>
      </w:r>
      <w:proofErr w:type="spellStart"/>
      <w:r w:rsidRPr="0041152A">
        <w:rPr>
          <w:sz w:val="20"/>
        </w:rPr>
        <w:t>Mrkajic</w:t>
      </w:r>
      <w:proofErr w:type="spellEnd"/>
      <w:r w:rsidRPr="0041152A">
        <w:rPr>
          <w:sz w:val="20"/>
        </w:rPr>
        <w:t xml:space="preserve">, B. (2020). </w:t>
      </w:r>
      <w:r w:rsidRPr="00014FA7">
        <w:rPr>
          <w:sz w:val="20"/>
          <w:lang w:val="en-US"/>
        </w:rPr>
        <w:t>To what extent do young innovative companies take advantage of policy support to enact innovation appropriation mechanisms? Research Policy. https://doi.org/10.1016/j.respol.2019.05. 006.</w:t>
      </w:r>
    </w:p>
    <w:p w14:paraId="549EF3D6" w14:textId="77777777" w:rsidR="0041152A" w:rsidRPr="00014FA7" w:rsidRDefault="0041152A" w:rsidP="0041152A">
      <w:pPr>
        <w:spacing w:after="60"/>
        <w:rPr>
          <w:sz w:val="20"/>
          <w:lang w:val="en-US"/>
        </w:rPr>
      </w:pPr>
      <w:r w:rsidRPr="00014FA7">
        <w:rPr>
          <w:sz w:val="20"/>
          <w:lang w:val="en-US"/>
        </w:rPr>
        <w:t xml:space="preserve">Colombelli, A., </w:t>
      </w:r>
      <w:proofErr w:type="spellStart"/>
      <w:r w:rsidRPr="00014FA7">
        <w:rPr>
          <w:sz w:val="20"/>
          <w:lang w:val="en-US"/>
        </w:rPr>
        <w:t>Krafft</w:t>
      </w:r>
      <w:proofErr w:type="spellEnd"/>
      <w:r w:rsidRPr="00014FA7">
        <w:rPr>
          <w:sz w:val="20"/>
          <w:lang w:val="en-US"/>
        </w:rPr>
        <w:t>, J., &amp; Quatraro, F. (2013). Properties of knowledge base and firm survival: Evidence from a sample of French manufacturing firms. Technological Forecasting and Social Change, 80(8), 1469–1484.</w:t>
      </w:r>
    </w:p>
    <w:p w14:paraId="70FD2C36" w14:textId="77777777" w:rsidR="0041152A" w:rsidRPr="00014FA7" w:rsidRDefault="0041152A" w:rsidP="0041152A">
      <w:pPr>
        <w:spacing w:after="60"/>
        <w:rPr>
          <w:sz w:val="20"/>
          <w:lang w:val="en-US"/>
        </w:rPr>
      </w:pPr>
      <w:r w:rsidRPr="00014FA7">
        <w:rPr>
          <w:sz w:val="20"/>
          <w:lang w:val="en-US"/>
        </w:rPr>
        <w:t xml:space="preserve">Colombelli, A., </w:t>
      </w:r>
      <w:proofErr w:type="spellStart"/>
      <w:r w:rsidRPr="00014FA7">
        <w:rPr>
          <w:sz w:val="20"/>
          <w:lang w:val="en-US"/>
        </w:rPr>
        <w:t>Krafft</w:t>
      </w:r>
      <w:proofErr w:type="spellEnd"/>
      <w:r w:rsidRPr="00014FA7">
        <w:rPr>
          <w:sz w:val="20"/>
          <w:lang w:val="en-US"/>
        </w:rPr>
        <w:t xml:space="preserve">, J., &amp; Quatraro, F. (2014a). High growth firms and technological knowledge: Do gazelles follow exploration or exploitation strategies? Industrial and Corporate Change, 23(1), 261–291. </w:t>
      </w:r>
    </w:p>
    <w:p w14:paraId="3B95FACB" w14:textId="77777777" w:rsidR="0041152A" w:rsidRPr="00014FA7" w:rsidRDefault="0041152A" w:rsidP="0041152A">
      <w:pPr>
        <w:spacing w:after="60"/>
        <w:rPr>
          <w:sz w:val="20"/>
          <w:lang w:val="en-US"/>
        </w:rPr>
      </w:pPr>
      <w:r w:rsidRPr="00014FA7">
        <w:rPr>
          <w:sz w:val="20"/>
          <w:lang w:val="en-US"/>
        </w:rPr>
        <w:t xml:space="preserve">Colombelli, A., </w:t>
      </w:r>
      <w:proofErr w:type="spellStart"/>
      <w:r w:rsidRPr="00014FA7">
        <w:rPr>
          <w:sz w:val="20"/>
          <w:lang w:val="en-US"/>
        </w:rPr>
        <w:t>Krafft</w:t>
      </w:r>
      <w:proofErr w:type="spellEnd"/>
      <w:r w:rsidRPr="00014FA7">
        <w:rPr>
          <w:sz w:val="20"/>
          <w:lang w:val="en-US"/>
        </w:rPr>
        <w:t>, J., &amp; Quatraro, F. (2014b). The emergence of new technology-based sectors in European regions: A proximity-based analysis of nanotechnology. Research Policy, 43(10), 1681–1696.</w:t>
      </w:r>
    </w:p>
    <w:p w14:paraId="03C31C3C" w14:textId="77777777" w:rsidR="0041152A" w:rsidRPr="00014FA7" w:rsidRDefault="0041152A" w:rsidP="0041152A">
      <w:pPr>
        <w:spacing w:after="60"/>
        <w:rPr>
          <w:sz w:val="20"/>
          <w:lang w:val="en-US"/>
        </w:rPr>
      </w:pPr>
      <w:r w:rsidRPr="00014FA7">
        <w:rPr>
          <w:sz w:val="20"/>
          <w:lang w:val="en-US"/>
        </w:rPr>
        <w:t xml:space="preserve">Colombelli, A., </w:t>
      </w:r>
      <w:proofErr w:type="spellStart"/>
      <w:r w:rsidRPr="00014FA7">
        <w:rPr>
          <w:sz w:val="20"/>
          <w:lang w:val="en-US"/>
        </w:rPr>
        <w:t>Krafft</w:t>
      </w:r>
      <w:proofErr w:type="spellEnd"/>
      <w:r w:rsidRPr="00014FA7">
        <w:rPr>
          <w:sz w:val="20"/>
          <w:lang w:val="en-US"/>
        </w:rPr>
        <w:t xml:space="preserve">, J., &amp; </w:t>
      </w:r>
      <w:proofErr w:type="spellStart"/>
      <w:r w:rsidRPr="00014FA7">
        <w:rPr>
          <w:sz w:val="20"/>
          <w:lang w:val="en-US"/>
        </w:rPr>
        <w:t>Vivarelli</w:t>
      </w:r>
      <w:proofErr w:type="spellEnd"/>
      <w:r w:rsidRPr="00014FA7">
        <w:rPr>
          <w:sz w:val="20"/>
          <w:lang w:val="en-US"/>
        </w:rPr>
        <w:t xml:space="preserve">, M. (2016). To be born is not enough: the key role of innovative start-ups. Small Business Economics, 47(2), 277-291. </w:t>
      </w:r>
    </w:p>
    <w:p w14:paraId="6F1EDF25" w14:textId="77777777" w:rsidR="0041152A" w:rsidRPr="00014FA7" w:rsidRDefault="0041152A" w:rsidP="0041152A">
      <w:pPr>
        <w:spacing w:after="60"/>
        <w:rPr>
          <w:sz w:val="20"/>
          <w:lang w:val="en-US"/>
        </w:rPr>
      </w:pPr>
      <w:r w:rsidRPr="00014FA7">
        <w:rPr>
          <w:sz w:val="20"/>
          <w:lang w:val="en-US"/>
        </w:rPr>
        <w:t xml:space="preserve">Colombelli, A., </w:t>
      </w:r>
      <w:proofErr w:type="spellStart"/>
      <w:r w:rsidRPr="00014FA7">
        <w:rPr>
          <w:sz w:val="20"/>
          <w:lang w:val="en-US"/>
        </w:rPr>
        <w:t>Orsatti</w:t>
      </w:r>
      <w:proofErr w:type="spellEnd"/>
      <w:r w:rsidRPr="00014FA7">
        <w:rPr>
          <w:sz w:val="20"/>
          <w:lang w:val="en-US"/>
        </w:rPr>
        <w:t>, G., &amp; Quatraro, F. (2019). Local knowledge composition and the emergence of entrepreneurial activities across industries: evidence from Italian NUTS-3 regions. Small Bus. Econ., 1–23.</w:t>
      </w:r>
    </w:p>
    <w:p w14:paraId="0E6374DF" w14:textId="77777777" w:rsidR="0041152A" w:rsidRPr="00014FA7" w:rsidRDefault="0041152A" w:rsidP="0041152A">
      <w:pPr>
        <w:spacing w:after="60"/>
        <w:rPr>
          <w:sz w:val="20"/>
          <w:lang w:val="en-US"/>
        </w:rPr>
      </w:pPr>
      <w:r w:rsidRPr="00014FA7">
        <w:rPr>
          <w:sz w:val="20"/>
          <w:lang w:val="en-US"/>
        </w:rPr>
        <w:t xml:space="preserve">Colombo, M. G., &amp; </w:t>
      </w:r>
      <w:proofErr w:type="spellStart"/>
      <w:r w:rsidRPr="00014FA7">
        <w:rPr>
          <w:sz w:val="20"/>
          <w:lang w:val="en-US"/>
        </w:rPr>
        <w:t>Grilli</w:t>
      </w:r>
      <w:proofErr w:type="spellEnd"/>
      <w:r w:rsidRPr="00014FA7">
        <w:rPr>
          <w:sz w:val="20"/>
          <w:lang w:val="en-US"/>
        </w:rPr>
        <w:t>, L. (2005). Founders’ human capital and the growth of new technology-based firms: a competence-based view. Research Policy, 34, 795–816.</w:t>
      </w:r>
    </w:p>
    <w:p w14:paraId="18874E2E" w14:textId="77777777" w:rsidR="0041152A" w:rsidRPr="00014FA7" w:rsidRDefault="0041152A" w:rsidP="0041152A">
      <w:pPr>
        <w:spacing w:after="60"/>
        <w:rPr>
          <w:sz w:val="20"/>
          <w:lang w:val="en-US"/>
        </w:rPr>
      </w:pPr>
      <w:r w:rsidRPr="00014FA7">
        <w:rPr>
          <w:sz w:val="20"/>
          <w:lang w:val="en-US"/>
        </w:rPr>
        <w:t xml:space="preserve">Colombo, M. G., &amp; </w:t>
      </w:r>
      <w:proofErr w:type="spellStart"/>
      <w:r w:rsidRPr="00014FA7">
        <w:rPr>
          <w:sz w:val="20"/>
          <w:lang w:val="en-US"/>
        </w:rPr>
        <w:t>Grilli</w:t>
      </w:r>
      <w:proofErr w:type="spellEnd"/>
      <w:r w:rsidRPr="00014FA7">
        <w:rPr>
          <w:sz w:val="20"/>
          <w:lang w:val="en-US"/>
        </w:rPr>
        <w:t xml:space="preserve">, L. (2010). On growth drivers of </w:t>
      </w:r>
      <w:proofErr w:type="spellStart"/>
      <w:r w:rsidRPr="00014FA7">
        <w:rPr>
          <w:sz w:val="20"/>
          <w:lang w:val="en-US"/>
        </w:rPr>
        <w:t>hightech</w:t>
      </w:r>
      <w:proofErr w:type="spellEnd"/>
      <w:r w:rsidRPr="00014FA7">
        <w:rPr>
          <w:sz w:val="20"/>
          <w:lang w:val="en-US"/>
        </w:rPr>
        <w:t xml:space="preserve"> start-ups: Exploring the role of founders’ human capital and venture capital. Journal of Business Venturing, 25(6), 610–626.</w:t>
      </w:r>
    </w:p>
    <w:p w14:paraId="19CEF2E9" w14:textId="77777777" w:rsidR="0041152A" w:rsidRPr="00014FA7" w:rsidRDefault="0041152A" w:rsidP="0041152A">
      <w:pPr>
        <w:spacing w:after="60"/>
        <w:rPr>
          <w:sz w:val="20"/>
          <w:lang w:val="en-US"/>
        </w:rPr>
      </w:pPr>
      <w:r w:rsidRPr="00014FA7">
        <w:rPr>
          <w:sz w:val="20"/>
          <w:lang w:val="en-US"/>
        </w:rPr>
        <w:t>Creedy, J., &amp; Johnson, P. S. (1983). Firm formation in manufacturing industry. Applied Economics, 15, 177–185.</w:t>
      </w:r>
    </w:p>
    <w:p w14:paraId="334990F7" w14:textId="77777777" w:rsidR="0041152A" w:rsidRPr="00014FA7" w:rsidRDefault="0041152A" w:rsidP="0041152A">
      <w:pPr>
        <w:spacing w:after="60"/>
        <w:rPr>
          <w:sz w:val="20"/>
          <w:lang w:val="en-US"/>
        </w:rPr>
      </w:pPr>
      <w:proofErr w:type="spellStart"/>
      <w:r w:rsidRPr="00014FA7">
        <w:rPr>
          <w:sz w:val="20"/>
          <w:lang w:val="en-US"/>
        </w:rPr>
        <w:t>Criscuolo</w:t>
      </w:r>
      <w:proofErr w:type="spellEnd"/>
      <w:r w:rsidRPr="00014FA7">
        <w:rPr>
          <w:sz w:val="20"/>
          <w:lang w:val="en-US"/>
        </w:rPr>
        <w:t xml:space="preserve">, C., Gal, P. N., &amp; Menon, C. (2014). The dynamics of employment growth: </w:t>
      </w:r>
      <w:proofErr w:type="gramStart"/>
      <w:r w:rsidRPr="00014FA7">
        <w:rPr>
          <w:sz w:val="20"/>
          <w:lang w:val="en-US"/>
        </w:rPr>
        <w:t>New</w:t>
      </w:r>
      <w:proofErr w:type="gramEnd"/>
      <w:r w:rsidRPr="00014FA7">
        <w:rPr>
          <w:sz w:val="20"/>
          <w:lang w:val="en-US"/>
        </w:rPr>
        <w:t xml:space="preserve"> evidence from 18 countries, OECD.</w:t>
      </w:r>
    </w:p>
    <w:p w14:paraId="284B0FAD" w14:textId="77777777" w:rsidR="0041152A" w:rsidRPr="0041152A" w:rsidRDefault="0041152A" w:rsidP="0041152A">
      <w:pPr>
        <w:spacing w:after="60"/>
        <w:rPr>
          <w:sz w:val="20"/>
        </w:rPr>
      </w:pPr>
      <w:r w:rsidRPr="0041152A">
        <w:rPr>
          <w:sz w:val="20"/>
        </w:rPr>
        <w:t xml:space="preserve">Dadone F. (2021), Informativa dell’Autorità Ambientale, </w:t>
      </w:r>
      <w:proofErr w:type="spellStart"/>
      <w:r w:rsidRPr="0041152A">
        <w:rPr>
          <w:sz w:val="20"/>
        </w:rPr>
        <w:t>CdS</w:t>
      </w:r>
      <w:proofErr w:type="spellEnd"/>
      <w:r w:rsidRPr="0041152A">
        <w:rPr>
          <w:sz w:val="20"/>
        </w:rPr>
        <w:t xml:space="preserve"> (slides)</w:t>
      </w:r>
    </w:p>
    <w:p w14:paraId="62A51F4F" w14:textId="77777777" w:rsidR="0041152A" w:rsidRPr="00014FA7" w:rsidRDefault="0041152A" w:rsidP="0041152A">
      <w:pPr>
        <w:spacing w:after="60"/>
        <w:rPr>
          <w:sz w:val="20"/>
          <w:lang w:val="en-US"/>
        </w:rPr>
      </w:pPr>
      <w:r w:rsidRPr="00014FA7">
        <w:rPr>
          <w:sz w:val="20"/>
          <w:lang w:val="en-US"/>
        </w:rPr>
        <w:t xml:space="preserve">Datta, D.K., Guthrie, J.P., &amp; Wright, P.M. (2005). Human resource management and labor productivity: does industry matter? Acad. </w:t>
      </w:r>
      <w:proofErr w:type="spellStart"/>
      <w:r w:rsidRPr="00014FA7">
        <w:rPr>
          <w:sz w:val="20"/>
          <w:lang w:val="en-US"/>
        </w:rPr>
        <w:t>Manag</w:t>
      </w:r>
      <w:proofErr w:type="spellEnd"/>
      <w:r w:rsidRPr="00014FA7">
        <w:rPr>
          <w:sz w:val="20"/>
          <w:lang w:val="en-US"/>
        </w:rPr>
        <w:t xml:space="preserve">. J., 48(1), 135–145. </w:t>
      </w:r>
    </w:p>
    <w:p w14:paraId="73AF1421" w14:textId="77777777" w:rsidR="0041152A" w:rsidRPr="00014FA7" w:rsidRDefault="0041152A" w:rsidP="0041152A">
      <w:pPr>
        <w:spacing w:after="60"/>
        <w:rPr>
          <w:sz w:val="20"/>
          <w:lang w:val="en-US"/>
        </w:rPr>
      </w:pPr>
      <w:proofErr w:type="spellStart"/>
      <w:r w:rsidRPr="00014FA7">
        <w:rPr>
          <w:sz w:val="20"/>
          <w:lang w:val="en-US"/>
        </w:rPr>
        <w:t>Davidsson</w:t>
      </w:r>
      <w:proofErr w:type="spellEnd"/>
      <w:r w:rsidRPr="00014FA7">
        <w:rPr>
          <w:sz w:val="20"/>
          <w:lang w:val="en-US"/>
        </w:rPr>
        <w:t>, P. (1995). Culture, Structure and Regional Levels of Entrepreneurship. Entrepreneurship and Regional Development, 7(1), 41-62.</w:t>
      </w:r>
    </w:p>
    <w:p w14:paraId="1EA42E8D" w14:textId="77777777" w:rsidR="0041152A" w:rsidRPr="00014FA7" w:rsidRDefault="0041152A" w:rsidP="0041152A">
      <w:pPr>
        <w:spacing w:after="60"/>
        <w:rPr>
          <w:sz w:val="20"/>
          <w:lang w:val="en-US"/>
        </w:rPr>
      </w:pPr>
      <w:proofErr w:type="spellStart"/>
      <w:r w:rsidRPr="00014FA7">
        <w:rPr>
          <w:sz w:val="20"/>
          <w:lang w:val="en-US"/>
        </w:rPr>
        <w:t>Dejardin</w:t>
      </w:r>
      <w:proofErr w:type="spellEnd"/>
      <w:r w:rsidRPr="00014FA7">
        <w:rPr>
          <w:sz w:val="20"/>
          <w:lang w:val="en-US"/>
        </w:rPr>
        <w:t>, M. (2011). Linking net entry to regional economic growth. Small Business Economics, 36(4), 443–460.</w:t>
      </w:r>
    </w:p>
    <w:p w14:paraId="1B9A94BE" w14:textId="77777777" w:rsidR="0041152A" w:rsidRPr="00014FA7" w:rsidRDefault="0041152A" w:rsidP="0041152A">
      <w:pPr>
        <w:spacing w:after="60"/>
        <w:rPr>
          <w:sz w:val="20"/>
          <w:lang w:val="en-US"/>
        </w:rPr>
      </w:pPr>
      <w:r w:rsidRPr="00014FA7">
        <w:rPr>
          <w:sz w:val="20"/>
          <w:lang w:val="en-US"/>
        </w:rPr>
        <w:t>Dumont, M., 2017. Assessing the policy mix of public support to business R&amp;D. Res. Policy 46 (10), 1851–1862.</w:t>
      </w:r>
    </w:p>
    <w:p w14:paraId="1448F55F" w14:textId="77777777" w:rsidR="0041152A" w:rsidRPr="00014FA7" w:rsidRDefault="0041152A" w:rsidP="0041152A">
      <w:pPr>
        <w:spacing w:after="60"/>
        <w:rPr>
          <w:sz w:val="20"/>
          <w:lang w:val="en-US"/>
        </w:rPr>
      </w:pPr>
      <w:proofErr w:type="spellStart"/>
      <w:r w:rsidRPr="00014FA7">
        <w:rPr>
          <w:sz w:val="20"/>
          <w:lang w:val="en-US"/>
        </w:rPr>
        <w:t>Esteve</w:t>
      </w:r>
      <w:proofErr w:type="spellEnd"/>
      <w:r w:rsidRPr="00014FA7">
        <w:rPr>
          <w:sz w:val="20"/>
          <w:lang w:val="en-US"/>
        </w:rPr>
        <w:t xml:space="preserve">-Pérez, S., </w:t>
      </w:r>
      <w:proofErr w:type="spellStart"/>
      <w:r w:rsidRPr="00014FA7">
        <w:rPr>
          <w:sz w:val="20"/>
          <w:lang w:val="en-US"/>
        </w:rPr>
        <w:t>Sanchis</w:t>
      </w:r>
      <w:proofErr w:type="spellEnd"/>
      <w:r w:rsidRPr="00014FA7">
        <w:rPr>
          <w:sz w:val="20"/>
          <w:lang w:val="en-US"/>
        </w:rPr>
        <w:t xml:space="preserve">, A., &amp; </w:t>
      </w:r>
      <w:proofErr w:type="spellStart"/>
      <w:r w:rsidRPr="00014FA7">
        <w:rPr>
          <w:sz w:val="20"/>
          <w:lang w:val="en-US"/>
        </w:rPr>
        <w:t>Sanchis</w:t>
      </w:r>
      <w:proofErr w:type="spellEnd"/>
      <w:r w:rsidRPr="00014FA7">
        <w:rPr>
          <w:sz w:val="20"/>
          <w:lang w:val="en-US"/>
        </w:rPr>
        <w:t>, J. A. (2004). The determinants of survival of Spanish manufacturing firms. Review of Industrial Organization, 25(3), 251–273.</w:t>
      </w:r>
    </w:p>
    <w:p w14:paraId="4DFA07C4" w14:textId="77777777" w:rsidR="0041152A" w:rsidRPr="00014FA7" w:rsidRDefault="0041152A" w:rsidP="0041152A">
      <w:pPr>
        <w:spacing w:after="60"/>
        <w:rPr>
          <w:sz w:val="20"/>
          <w:lang w:val="en-US"/>
        </w:rPr>
      </w:pPr>
      <w:r w:rsidRPr="00014FA7">
        <w:rPr>
          <w:sz w:val="20"/>
          <w:lang w:val="en-US"/>
        </w:rPr>
        <w:t>Evans, D. S., &amp; Jovanovic, B. (1989). An estimated model of entrepreneurial choice under liquidity constraints. Journal of Political Economy, 97, 808–827.</w:t>
      </w:r>
    </w:p>
    <w:p w14:paraId="0C08C445" w14:textId="77777777" w:rsidR="0041152A" w:rsidRPr="00014FA7" w:rsidRDefault="0041152A" w:rsidP="0041152A">
      <w:pPr>
        <w:spacing w:after="60"/>
        <w:rPr>
          <w:sz w:val="20"/>
          <w:lang w:val="en-US"/>
        </w:rPr>
      </w:pPr>
      <w:r w:rsidRPr="00014FA7">
        <w:rPr>
          <w:sz w:val="20"/>
          <w:lang w:val="en-US"/>
        </w:rPr>
        <w:t>Evans, D.S., &amp; Leighton, L. S. (1989). Some empirical aspects of entrepreneurship. American Economic Review, 79, 519–535.</w:t>
      </w:r>
    </w:p>
    <w:p w14:paraId="475E4B48" w14:textId="77777777" w:rsidR="0041152A" w:rsidRPr="00014FA7" w:rsidRDefault="0041152A" w:rsidP="0041152A">
      <w:pPr>
        <w:spacing w:after="60"/>
        <w:rPr>
          <w:sz w:val="20"/>
          <w:lang w:val="en-US"/>
        </w:rPr>
      </w:pPr>
      <w:r w:rsidRPr="00014FA7">
        <w:rPr>
          <w:sz w:val="20"/>
          <w:lang w:val="en-US"/>
        </w:rPr>
        <w:t>Evans, L. B., &amp; Leighton, L. S. (1990). Small business formation by unemployed and employed workers. Small Business Economics, 2, 319–330.</w:t>
      </w:r>
    </w:p>
    <w:p w14:paraId="077AD630" w14:textId="77777777" w:rsidR="0041152A" w:rsidRPr="00014FA7" w:rsidRDefault="0041152A" w:rsidP="0041152A">
      <w:pPr>
        <w:spacing w:after="60"/>
        <w:rPr>
          <w:sz w:val="20"/>
          <w:lang w:val="en-US"/>
        </w:rPr>
      </w:pPr>
      <w:proofErr w:type="spellStart"/>
      <w:r w:rsidRPr="00014FA7">
        <w:rPr>
          <w:sz w:val="20"/>
          <w:lang w:val="en-US"/>
        </w:rPr>
        <w:t>Fazzari</w:t>
      </w:r>
      <w:proofErr w:type="spellEnd"/>
      <w:r w:rsidRPr="00014FA7">
        <w:rPr>
          <w:sz w:val="20"/>
          <w:lang w:val="en-US"/>
        </w:rPr>
        <w:t>, S. M., Hubbard, R. G., &amp; Petersen, B. C. (1988). Financing constraints and corporate investment. Brookings Papers on Economic Activity, 115, 695–713.</w:t>
      </w:r>
    </w:p>
    <w:p w14:paraId="0E77986D" w14:textId="77777777" w:rsidR="0041152A" w:rsidRPr="0041152A" w:rsidRDefault="0041152A" w:rsidP="0041152A">
      <w:pPr>
        <w:spacing w:after="60"/>
        <w:rPr>
          <w:sz w:val="20"/>
        </w:rPr>
      </w:pPr>
      <w:proofErr w:type="spellStart"/>
      <w:r w:rsidRPr="00014FA7">
        <w:rPr>
          <w:sz w:val="20"/>
          <w:lang w:val="en-US"/>
        </w:rPr>
        <w:t>Fini</w:t>
      </w:r>
      <w:proofErr w:type="spellEnd"/>
      <w:r w:rsidRPr="00014FA7">
        <w:rPr>
          <w:sz w:val="20"/>
          <w:lang w:val="en-US"/>
        </w:rPr>
        <w:t xml:space="preserve">, R., Rasmussen, E., Siegel, D., &amp; </w:t>
      </w:r>
      <w:proofErr w:type="spellStart"/>
      <w:r w:rsidRPr="00014FA7">
        <w:rPr>
          <w:sz w:val="20"/>
          <w:lang w:val="en-US"/>
        </w:rPr>
        <w:t>Wiklund</w:t>
      </w:r>
      <w:proofErr w:type="spellEnd"/>
      <w:r w:rsidRPr="00014FA7">
        <w:rPr>
          <w:sz w:val="20"/>
          <w:lang w:val="en-US"/>
        </w:rPr>
        <w:t xml:space="preserve">, J. (2018). Rethinking the commercialization of public science: from entrepreneurial outcomes to societal impacts. </w:t>
      </w:r>
      <w:proofErr w:type="spellStart"/>
      <w:r w:rsidRPr="0041152A">
        <w:rPr>
          <w:sz w:val="20"/>
        </w:rPr>
        <w:t>Acad</w:t>
      </w:r>
      <w:proofErr w:type="spellEnd"/>
      <w:r w:rsidRPr="0041152A">
        <w:rPr>
          <w:sz w:val="20"/>
        </w:rPr>
        <w:t xml:space="preserve">. </w:t>
      </w:r>
      <w:proofErr w:type="spellStart"/>
      <w:r w:rsidRPr="0041152A">
        <w:rPr>
          <w:sz w:val="20"/>
        </w:rPr>
        <w:t>Manag</w:t>
      </w:r>
      <w:proofErr w:type="spellEnd"/>
      <w:r w:rsidRPr="0041152A">
        <w:rPr>
          <w:sz w:val="20"/>
        </w:rPr>
        <w:t xml:space="preserve">. </w:t>
      </w:r>
      <w:proofErr w:type="spellStart"/>
      <w:r w:rsidRPr="0041152A">
        <w:rPr>
          <w:sz w:val="20"/>
        </w:rPr>
        <w:t>Perspect</w:t>
      </w:r>
      <w:proofErr w:type="spellEnd"/>
      <w:r w:rsidRPr="0041152A">
        <w:rPr>
          <w:sz w:val="20"/>
        </w:rPr>
        <w:t>., 32(1), 4–20.</w:t>
      </w:r>
    </w:p>
    <w:p w14:paraId="1D1F4ECA" w14:textId="77777777" w:rsidR="0041152A" w:rsidRPr="0041152A" w:rsidRDefault="0041152A" w:rsidP="0041152A">
      <w:pPr>
        <w:spacing w:after="60"/>
        <w:rPr>
          <w:sz w:val="20"/>
        </w:rPr>
      </w:pPr>
      <w:r w:rsidRPr="0041152A">
        <w:rPr>
          <w:sz w:val="20"/>
        </w:rPr>
        <w:t xml:space="preserve">Fondazione Giacomo Brodolini </w:t>
      </w:r>
      <w:r w:rsidR="0061413D">
        <w:rPr>
          <w:sz w:val="20"/>
        </w:rPr>
        <w:t xml:space="preserve">- </w:t>
      </w:r>
      <w:r w:rsidR="0061413D" w:rsidRPr="0041152A">
        <w:rPr>
          <w:sz w:val="20"/>
        </w:rPr>
        <w:t xml:space="preserve">IZI </w:t>
      </w:r>
      <w:r w:rsidR="0061413D">
        <w:rPr>
          <w:sz w:val="20"/>
        </w:rPr>
        <w:t xml:space="preserve">- </w:t>
      </w:r>
      <w:r w:rsidR="0061413D" w:rsidRPr="0041152A">
        <w:rPr>
          <w:sz w:val="20"/>
        </w:rPr>
        <w:t>MBS</w:t>
      </w:r>
      <w:r w:rsidRPr="0041152A">
        <w:rPr>
          <w:sz w:val="20"/>
        </w:rPr>
        <w:t xml:space="preserve"> (2021), Rapporto Annuale di Valutazione, POR FESR 2014-20 Regione Lombardia</w:t>
      </w:r>
    </w:p>
    <w:p w14:paraId="551E4FE8" w14:textId="77777777" w:rsidR="0041152A" w:rsidRPr="0041152A" w:rsidRDefault="0041152A" w:rsidP="0041152A">
      <w:pPr>
        <w:spacing w:after="60"/>
        <w:rPr>
          <w:sz w:val="20"/>
        </w:rPr>
      </w:pPr>
      <w:r w:rsidRPr="0041152A">
        <w:rPr>
          <w:sz w:val="20"/>
        </w:rPr>
        <w:t xml:space="preserve">Fondazione Giacomo Brodolini - IZI </w:t>
      </w:r>
      <w:r w:rsidR="0061413D">
        <w:rPr>
          <w:sz w:val="20"/>
        </w:rPr>
        <w:t xml:space="preserve">- </w:t>
      </w:r>
      <w:r w:rsidRPr="0041152A">
        <w:rPr>
          <w:sz w:val="20"/>
        </w:rPr>
        <w:t>MBS (2021), Informativa, Attività di Valutazione del Programma (slides)</w:t>
      </w:r>
    </w:p>
    <w:p w14:paraId="06EC5DC9" w14:textId="77777777" w:rsidR="0041152A" w:rsidRPr="00014FA7" w:rsidRDefault="0041152A" w:rsidP="0041152A">
      <w:pPr>
        <w:spacing w:after="60"/>
        <w:rPr>
          <w:sz w:val="20"/>
          <w:lang w:val="en-US"/>
        </w:rPr>
      </w:pPr>
      <w:r w:rsidRPr="00014FA7">
        <w:rPr>
          <w:sz w:val="20"/>
          <w:lang w:val="en-US"/>
        </w:rPr>
        <w:t xml:space="preserve">Freeman, C., &amp; </w:t>
      </w:r>
      <w:proofErr w:type="spellStart"/>
      <w:r w:rsidRPr="00014FA7">
        <w:rPr>
          <w:sz w:val="20"/>
          <w:lang w:val="en-US"/>
        </w:rPr>
        <w:t>Soete</w:t>
      </w:r>
      <w:proofErr w:type="spellEnd"/>
      <w:r w:rsidRPr="00014FA7">
        <w:rPr>
          <w:sz w:val="20"/>
          <w:lang w:val="en-US"/>
        </w:rPr>
        <w:t xml:space="preserve">, L. (Eds.). (1987). Technical change and full employment. Oxford: Basil Blackwell. </w:t>
      </w:r>
    </w:p>
    <w:p w14:paraId="34D6AE14" w14:textId="77777777" w:rsidR="0041152A" w:rsidRPr="00014FA7" w:rsidRDefault="0041152A" w:rsidP="0041152A">
      <w:pPr>
        <w:spacing w:after="60"/>
        <w:rPr>
          <w:sz w:val="20"/>
          <w:lang w:val="en-US"/>
        </w:rPr>
      </w:pPr>
      <w:r w:rsidRPr="00014FA7">
        <w:rPr>
          <w:sz w:val="20"/>
          <w:lang w:val="en-US"/>
        </w:rPr>
        <w:t xml:space="preserve">Freeman, C., Clark, J., &amp; </w:t>
      </w:r>
      <w:proofErr w:type="spellStart"/>
      <w:r w:rsidRPr="00014FA7">
        <w:rPr>
          <w:sz w:val="20"/>
          <w:lang w:val="en-US"/>
        </w:rPr>
        <w:t>Soete</w:t>
      </w:r>
      <w:proofErr w:type="spellEnd"/>
      <w:r w:rsidRPr="00014FA7">
        <w:rPr>
          <w:sz w:val="20"/>
          <w:lang w:val="en-US"/>
        </w:rPr>
        <w:t>, L. (1982). Unemployment and technical innovation. London: Pinter.</w:t>
      </w:r>
    </w:p>
    <w:p w14:paraId="2AE108BD" w14:textId="77777777" w:rsidR="0041152A" w:rsidRPr="00014FA7" w:rsidRDefault="0041152A" w:rsidP="0041152A">
      <w:pPr>
        <w:spacing w:after="60"/>
        <w:rPr>
          <w:sz w:val="20"/>
          <w:lang w:val="en-US"/>
        </w:rPr>
      </w:pPr>
      <w:proofErr w:type="spellStart"/>
      <w:r w:rsidRPr="00014FA7">
        <w:rPr>
          <w:sz w:val="20"/>
          <w:lang w:val="en-US"/>
        </w:rPr>
        <w:t>Geroski</w:t>
      </w:r>
      <w:proofErr w:type="spellEnd"/>
      <w:r w:rsidRPr="00014FA7">
        <w:rPr>
          <w:sz w:val="20"/>
          <w:lang w:val="en-US"/>
        </w:rPr>
        <w:t xml:space="preserve">, P. A. (1995). What do we know about entry? International Journal of Industrial Organization, 13(4), 421–440. </w:t>
      </w:r>
    </w:p>
    <w:p w14:paraId="1618FB7A" w14:textId="77777777" w:rsidR="0041152A" w:rsidRPr="00014FA7" w:rsidRDefault="0041152A" w:rsidP="0041152A">
      <w:pPr>
        <w:spacing w:after="60"/>
        <w:rPr>
          <w:sz w:val="20"/>
          <w:lang w:val="en-US"/>
        </w:rPr>
      </w:pPr>
      <w:proofErr w:type="spellStart"/>
      <w:r w:rsidRPr="00014FA7">
        <w:rPr>
          <w:sz w:val="20"/>
          <w:lang w:val="en-US"/>
        </w:rPr>
        <w:t>Geroski</w:t>
      </w:r>
      <w:proofErr w:type="spellEnd"/>
      <w:r w:rsidRPr="00014FA7">
        <w:rPr>
          <w:sz w:val="20"/>
          <w:lang w:val="en-US"/>
        </w:rPr>
        <w:t>, P. A., &amp; Schwalbach, J. (eds) (1991). Entry and Market Contestability: An International Comparison. Basil Blackwell: Oxford.</w:t>
      </w:r>
    </w:p>
    <w:p w14:paraId="57742F5E" w14:textId="77777777" w:rsidR="0041152A" w:rsidRPr="00014FA7" w:rsidRDefault="0041152A" w:rsidP="0041152A">
      <w:pPr>
        <w:spacing w:after="60"/>
        <w:rPr>
          <w:sz w:val="20"/>
          <w:lang w:val="en-US"/>
        </w:rPr>
      </w:pPr>
      <w:proofErr w:type="spellStart"/>
      <w:r w:rsidRPr="00014FA7">
        <w:rPr>
          <w:sz w:val="20"/>
          <w:lang w:val="en-US"/>
        </w:rPr>
        <w:t>Gimeno</w:t>
      </w:r>
      <w:proofErr w:type="spellEnd"/>
      <w:r w:rsidRPr="00014FA7">
        <w:rPr>
          <w:sz w:val="20"/>
          <w:lang w:val="en-US"/>
        </w:rPr>
        <w:t xml:space="preserve">, J., </w:t>
      </w:r>
      <w:proofErr w:type="spellStart"/>
      <w:r w:rsidRPr="00014FA7">
        <w:rPr>
          <w:sz w:val="20"/>
          <w:lang w:val="en-US"/>
        </w:rPr>
        <w:t>Folta</w:t>
      </w:r>
      <w:proofErr w:type="spellEnd"/>
      <w:r w:rsidRPr="00014FA7">
        <w:rPr>
          <w:sz w:val="20"/>
          <w:lang w:val="en-US"/>
        </w:rPr>
        <w:t>, T., Cooper, A., &amp; Woo, C. (1997). Survival of the fittest? Entrepreneurial human capital and the persistence of underperforming firms. Administrative Science Quarterly, 42, 750–783.</w:t>
      </w:r>
    </w:p>
    <w:p w14:paraId="1F49FDE5" w14:textId="77777777" w:rsidR="0041152A" w:rsidRPr="00014FA7" w:rsidRDefault="0041152A" w:rsidP="0041152A">
      <w:pPr>
        <w:spacing w:after="60"/>
        <w:rPr>
          <w:sz w:val="20"/>
          <w:lang w:val="en-US"/>
        </w:rPr>
      </w:pPr>
      <w:r w:rsidRPr="0041152A">
        <w:rPr>
          <w:sz w:val="20"/>
        </w:rPr>
        <w:t xml:space="preserve">Giraudo, E., Giudici, G., &amp; Grilli, L. (2019). </w:t>
      </w:r>
      <w:r w:rsidRPr="00014FA7">
        <w:rPr>
          <w:sz w:val="20"/>
          <w:lang w:val="en-US"/>
        </w:rPr>
        <w:t>Entrepreneurship policy and the financing of young innovative companies: evidence from the Italian Startup Act. Res. Policy, 48(9), 103801.</w:t>
      </w:r>
    </w:p>
    <w:p w14:paraId="749DFE60" w14:textId="77777777" w:rsidR="0041152A" w:rsidRPr="00014FA7" w:rsidRDefault="0041152A" w:rsidP="0041152A">
      <w:pPr>
        <w:spacing w:after="60"/>
        <w:rPr>
          <w:sz w:val="20"/>
          <w:lang w:val="en-US"/>
        </w:rPr>
      </w:pPr>
      <w:proofErr w:type="spellStart"/>
      <w:r w:rsidRPr="00014FA7">
        <w:rPr>
          <w:sz w:val="20"/>
          <w:lang w:val="en-US"/>
        </w:rPr>
        <w:t>Gkypali</w:t>
      </w:r>
      <w:proofErr w:type="spellEnd"/>
      <w:r w:rsidRPr="00014FA7">
        <w:rPr>
          <w:sz w:val="20"/>
          <w:lang w:val="en-US"/>
        </w:rPr>
        <w:t xml:space="preserve">, A., </w:t>
      </w:r>
      <w:proofErr w:type="spellStart"/>
      <w:r w:rsidRPr="00014FA7">
        <w:rPr>
          <w:sz w:val="20"/>
          <w:lang w:val="en-US"/>
        </w:rPr>
        <w:t>Rafailidis</w:t>
      </w:r>
      <w:proofErr w:type="spellEnd"/>
      <w:r w:rsidRPr="00014FA7">
        <w:rPr>
          <w:sz w:val="20"/>
          <w:lang w:val="en-US"/>
        </w:rPr>
        <w:t xml:space="preserve">, A., &amp; </w:t>
      </w:r>
      <w:proofErr w:type="spellStart"/>
      <w:r w:rsidRPr="00014FA7">
        <w:rPr>
          <w:sz w:val="20"/>
          <w:lang w:val="en-US"/>
        </w:rPr>
        <w:t>Tsekouras</w:t>
      </w:r>
      <w:proofErr w:type="spellEnd"/>
      <w:r w:rsidRPr="00014FA7">
        <w:rPr>
          <w:sz w:val="20"/>
          <w:lang w:val="en-US"/>
        </w:rPr>
        <w:t>, K. (2015). Innovation and export performance: Do young and mature innovative firms differ? Eurasian Business Review, 5(2), 397–415.</w:t>
      </w:r>
    </w:p>
    <w:p w14:paraId="6C348DF3" w14:textId="77777777" w:rsidR="0041152A" w:rsidRPr="00014FA7" w:rsidRDefault="0041152A" w:rsidP="0041152A">
      <w:pPr>
        <w:spacing w:after="60"/>
        <w:rPr>
          <w:sz w:val="20"/>
          <w:lang w:val="en-US"/>
        </w:rPr>
      </w:pPr>
      <w:r w:rsidRPr="00014FA7">
        <w:rPr>
          <w:sz w:val="20"/>
          <w:lang w:val="en-US"/>
        </w:rPr>
        <w:t xml:space="preserve">Guerrero, M., &amp; </w:t>
      </w:r>
      <w:proofErr w:type="spellStart"/>
      <w:r w:rsidRPr="00014FA7">
        <w:rPr>
          <w:sz w:val="20"/>
          <w:lang w:val="en-US"/>
        </w:rPr>
        <w:t>Urbano</w:t>
      </w:r>
      <w:proofErr w:type="spellEnd"/>
      <w:r w:rsidRPr="00014FA7">
        <w:rPr>
          <w:sz w:val="20"/>
          <w:lang w:val="en-US"/>
        </w:rPr>
        <w:t>, D. (2019). Effectiveness of technology transfer policies and legislation in fostering entrepreneurial innovations across continents: an overview. J. Technol. Transf., 44(5), 1347–1366.</w:t>
      </w:r>
    </w:p>
    <w:p w14:paraId="3736A4D4" w14:textId="77777777" w:rsidR="0041152A" w:rsidRPr="00014FA7" w:rsidRDefault="0041152A" w:rsidP="0041152A">
      <w:pPr>
        <w:spacing w:after="60"/>
        <w:rPr>
          <w:sz w:val="20"/>
          <w:lang w:val="en-US"/>
        </w:rPr>
      </w:pPr>
      <w:r w:rsidRPr="00014FA7">
        <w:rPr>
          <w:sz w:val="20"/>
          <w:lang w:val="en-US"/>
        </w:rPr>
        <w:t>Hall, B.H. (2005). The financing of innovation. In: Shane, S. (Ed.), Blackwell handbook of technology and innovation management. Blackwell Publishers, Ltd., Oxford.</w:t>
      </w:r>
    </w:p>
    <w:p w14:paraId="465E351A" w14:textId="77777777" w:rsidR="0041152A" w:rsidRPr="00014FA7" w:rsidRDefault="0041152A" w:rsidP="0041152A">
      <w:pPr>
        <w:spacing w:after="60"/>
        <w:rPr>
          <w:sz w:val="20"/>
          <w:lang w:val="en-US"/>
        </w:rPr>
      </w:pPr>
      <w:r w:rsidRPr="00014FA7">
        <w:rPr>
          <w:sz w:val="20"/>
          <w:lang w:val="en-US"/>
        </w:rPr>
        <w:t>Hayton, J.C., &amp; Cacciotti, G. (2013). Is there an entrepreneurial culture? A review of empirical research. Entrepreneurship and Regional Development, 25(9-10).</w:t>
      </w:r>
    </w:p>
    <w:p w14:paraId="2728095A" w14:textId="77777777" w:rsidR="0041152A" w:rsidRPr="00014FA7" w:rsidRDefault="0041152A" w:rsidP="0041152A">
      <w:pPr>
        <w:spacing w:after="60"/>
        <w:rPr>
          <w:sz w:val="20"/>
          <w:lang w:val="en-US"/>
        </w:rPr>
      </w:pPr>
      <w:r w:rsidRPr="00014FA7">
        <w:rPr>
          <w:sz w:val="20"/>
          <w:lang w:val="en-US"/>
        </w:rPr>
        <w:t>Hayton, J.C., George, G., &amp; Zahra, S.A. (2002). National Culture and Entrepreneurship: A Review of Behavioral Research. Entrepreneurship Theory and Practice, 26(4), 33-52.</w:t>
      </w:r>
    </w:p>
    <w:p w14:paraId="45FB928B" w14:textId="77777777" w:rsidR="0041152A" w:rsidRPr="00014FA7" w:rsidRDefault="0041152A" w:rsidP="0041152A">
      <w:pPr>
        <w:spacing w:after="60"/>
        <w:rPr>
          <w:sz w:val="20"/>
          <w:lang w:val="en-US"/>
        </w:rPr>
      </w:pPr>
      <w:proofErr w:type="spellStart"/>
      <w:r w:rsidRPr="00014FA7">
        <w:rPr>
          <w:sz w:val="20"/>
          <w:lang w:val="en-US"/>
        </w:rPr>
        <w:t>Helfat</w:t>
      </w:r>
      <w:proofErr w:type="spellEnd"/>
      <w:r w:rsidRPr="00014FA7">
        <w:rPr>
          <w:sz w:val="20"/>
          <w:lang w:val="en-US"/>
        </w:rPr>
        <w:t xml:space="preserve">, C. E., &amp; Lieberman, M. B. (2002). The birth of capabilities: market entry and the importance of </w:t>
      </w:r>
      <w:proofErr w:type="spellStart"/>
      <w:r w:rsidRPr="00014FA7">
        <w:rPr>
          <w:sz w:val="20"/>
          <w:lang w:val="en-US"/>
        </w:rPr>
        <w:t>pre history</w:t>
      </w:r>
      <w:proofErr w:type="spellEnd"/>
      <w:r w:rsidRPr="00014FA7">
        <w:rPr>
          <w:sz w:val="20"/>
          <w:lang w:val="en-US"/>
        </w:rPr>
        <w:t>. Industrial and Corporate Change, 11, 725–760.</w:t>
      </w:r>
    </w:p>
    <w:p w14:paraId="5F31B7F5" w14:textId="77777777" w:rsidR="0041152A" w:rsidRPr="00014FA7" w:rsidRDefault="0041152A" w:rsidP="0041152A">
      <w:pPr>
        <w:spacing w:after="60"/>
        <w:rPr>
          <w:sz w:val="20"/>
          <w:lang w:val="en-US"/>
        </w:rPr>
      </w:pPr>
      <w:r w:rsidRPr="00014FA7">
        <w:rPr>
          <w:sz w:val="20"/>
          <w:lang w:val="en-US"/>
        </w:rPr>
        <w:t xml:space="preserve">Henkel, J., </w:t>
      </w:r>
      <w:proofErr w:type="spellStart"/>
      <w:r w:rsidRPr="00014FA7">
        <w:rPr>
          <w:sz w:val="20"/>
          <w:lang w:val="en-US"/>
        </w:rPr>
        <w:t>Rønde</w:t>
      </w:r>
      <w:proofErr w:type="spellEnd"/>
      <w:r w:rsidRPr="00014FA7">
        <w:rPr>
          <w:sz w:val="20"/>
          <w:lang w:val="en-US"/>
        </w:rPr>
        <w:t>, T., Wagner, M., 2015. And the winner is – acquired. Entrepreneurship as a contest yielding radical innovations. Res. Policy 44, 295–310.</w:t>
      </w:r>
    </w:p>
    <w:p w14:paraId="116B2D90" w14:textId="77777777" w:rsidR="0041152A" w:rsidRPr="00014FA7" w:rsidRDefault="0041152A" w:rsidP="0041152A">
      <w:pPr>
        <w:spacing w:after="60"/>
        <w:rPr>
          <w:sz w:val="20"/>
          <w:lang w:val="en-US"/>
        </w:rPr>
      </w:pPr>
      <w:r w:rsidRPr="00014FA7">
        <w:rPr>
          <w:sz w:val="20"/>
          <w:lang w:val="en-US"/>
        </w:rPr>
        <w:t xml:space="preserve">Holtz-Eakin, D., </w:t>
      </w:r>
      <w:proofErr w:type="spellStart"/>
      <w:r w:rsidRPr="00014FA7">
        <w:rPr>
          <w:sz w:val="20"/>
          <w:lang w:val="en-US"/>
        </w:rPr>
        <w:t>Joulfaian</w:t>
      </w:r>
      <w:proofErr w:type="spellEnd"/>
      <w:r w:rsidRPr="00014FA7">
        <w:rPr>
          <w:sz w:val="20"/>
          <w:lang w:val="en-US"/>
        </w:rPr>
        <w:t>, D., &amp; Rosen, H. (1994). Sticking it out: entrepreneurial survival and liquidity constraints. Journal of Political Economy, 102, 53–75.</w:t>
      </w:r>
    </w:p>
    <w:p w14:paraId="57BFB4F1" w14:textId="77777777" w:rsidR="0041152A" w:rsidRPr="00014FA7" w:rsidRDefault="0041152A" w:rsidP="0041152A">
      <w:pPr>
        <w:spacing w:after="60"/>
        <w:rPr>
          <w:sz w:val="20"/>
          <w:lang w:val="en-US"/>
        </w:rPr>
      </w:pPr>
      <w:proofErr w:type="spellStart"/>
      <w:r w:rsidRPr="00014FA7">
        <w:rPr>
          <w:sz w:val="20"/>
          <w:lang w:val="en-US"/>
        </w:rPr>
        <w:t>Hoogendoorn</w:t>
      </w:r>
      <w:proofErr w:type="spellEnd"/>
      <w:r w:rsidRPr="00014FA7">
        <w:rPr>
          <w:sz w:val="20"/>
          <w:lang w:val="en-US"/>
        </w:rPr>
        <w:t xml:space="preserve">, B., Van der </w:t>
      </w:r>
      <w:proofErr w:type="spellStart"/>
      <w:r w:rsidRPr="00014FA7">
        <w:rPr>
          <w:sz w:val="20"/>
          <w:lang w:val="en-US"/>
        </w:rPr>
        <w:t>Zwan</w:t>
      </w:r>
      <w:proofErr w:type="spellEnd"/>
      <w:r w:rsidRPr="00014FA7">
        <w:rPr>
          <w:sz w:val="20"/>
          <w:lang w:val="en-US"/>
        </w:rPr>
        <w:t xml:space="preserve">, P., &amp; </w:t>
      </w:r>
      <w:proofErr w:type="spellStart"/>
      <w:r w:rsidRPr="00014FA7">
        <w:rPr>
          <w:sz w:val="20"/>
          <w:lang w:val="en-US"/>
        </w:rPr>
        <w:t>Thurik</w:t>
      </w:r>
      <w:proofErr w:type="spellEnd"/>
      <w:r w:rsidRPr="00014FA7">
        <w:rPr>
          <w:sz w:val="20"/>
          <w:lang w:val="en-US"/>
        </w:rPr>
        <w:t>, R.A. (2020). Green start-ups, environmental regulations and innovation. Research Policy. https://doi.org/10.1016/j.respol.2020. 104061. this special issue.</w:t>
      </w:r>
    </w:p>
    <w:p w14:paraId="708D7443" w14:textId="77777777" w:rsidR="0041152A" w:rsidRPr="00014FA7" w:rsidRDefault="0041152A" w:rsidP="0041152A">
      <w:pPr>
        <w:spacing w:after="60"/>
        <w:rPr>
          <w:sz w:val="20"/>
          <w:lang w:val="en-US"/>
        </w:rPr>
      </w:pPr>
      <w:proofErr w:type="spellStart"/>
      <w:r w:rsidRPr="00014FA7">
        <w:rPr>
          <w:sz w:val="20"/>
          <w:lang w:val="en-US"/>
        </w:rPr>
        <w:t>Hout</w:t>
      </w:r>
      <w:proofErr w:type="spellEnd"/>
      <w:r w:rsidRPr="00014FA7">
        <w:rPr>
          <w:sz w:val="20"/>
          <w:lang w:val="en-US"/>
        </w:rPr>
        <w:t>, M., &amp; Rosen, H. (2000). Self-employment, family background and race. Journal of Human Resources, 35, 670–692.</w:t>
      </w:r>
    </w:p>
    <w:p w14:paraId="7DB2320F" w14:textId="77777777" w:rsidR="0041152A" w:rsidRPr="0041152A" w:rsidRDefault="0041152A" w:rsidP="0041152A">
      <w:pPr>
        <w:spacing w:after="60"/>
        <w:rPr>
          <w:sz w:val="20"/>
        </w:rPr>
      </w:pPr>
      <w:r w:rsidRPr="00014FA7">
        <w:rPr>
          <w:sz w:val="20"/>
          <w:lang w:val="en-US"/>
        </w:rPr>
        <w:t xml:space="preserve">Hurst, E., &amp; Lusardi, A. (2004). Liquidity constraints, household wealth and entrepreneurship. </w:t>
      </w:r>
      <w:r w:rsidRPr="0041152A">
        <w:rPr>
          <w:sz w:val="20"/>
        </w:rPr>
        <w:t xml:space="preserve">Journal of </w:t>
      </w:r>
      <w:proofErr w:type="spellStart"/>
      <w:r w:rsidRPr="0041152A">
        <w:rPr>
          <w:sz w:val="20"/>
        </w:rPr>
        <w:t>Political</w:t>
      </w:r>
      <w:proofErr w:type="spellEnd"/>
      <w:r w:rsidRPr="0041152A">
        <w:rPr>
          <w:sz w:val="20"/>
        </w:rPr>
        <w:t xml:space="preserve"> Economy, 112, 319–347.</w:t>
      </w:r>
    </w:p>
    <w:p w14:paraId="3837763E" w14:textId="1863B624" w:rsidR="0041152A" w:rsidRDefault="0041152A" w:rsidP="0041152A">
      <w:pPr>
        <w:spacing w:after="60"/>
        <w:rPr>
          <w:sz w:val="20"/>
        </w:rPr>
      </w:pPr>
      <w:proofErr w:type="spellStart"/>
      <w:r w:rsidRPr="0041152A">
        <w:rPr>
          <w:sz w:val="20"/>
        </w:rPr>
        <w:t>Irs</w:t>
      </w:r>
      <w:proofErr w:type="spellEnd"/>
      <w:r w:rsidRPr="0041152A">
        <w:rPr>
          <w:sz w:val="20"/>
        </w:rPr>
        <w:t xml:space="preserve"> </w:t>
      </w:r>
      <w:r w:rsidR="007643A3">
        <w:rPr>
          <w:sz w:val="20"/>
        </w:rPr>
        <w:t xml:space="preserve">- </w:t>
      </w:r>
      <w:proofErr w:type="spellStart"/>
      <w:r w:rsidR="007643A3">
        <w:rPr>
          <w:sz w:val="20"/>
        </w:rPr>
        <w:t>Cogea</w:t>
      </w:r>
      <w:proofErr w:type="spellEnd"/>
      <w:r w:rsidRPr="0041152A">
        <w:rPr>
          <w:sz w:val="20"/>
        </w:rPr>
        <w:t xml:space="preserve"> (2021), Rapporto Annuale di Valutazione</w:t>
      </w:r>
      <w:r w:rsidR="0054788F">
        <w:rPr>
          <w:sz w:val="20"/>
        </w:rPr>
        <w:t xml:space="preserve"> (versione finale)</w:t>
      </w:r>
      <w:r w:rsidRPr="0041152A">
        <w:rPr>
          <w:sz w:val="20"/>
        </w:rPr>
        <w:t>, POR FSE 2014-20</w:t>
      </w:r>
    </w:p>
    <w:p w14:paraId="42BFE7B0" w14:textId="77777777" w:rsidR="007643A3" w:rsidRPr="0041152A" w:rsidRDefault="007643A3" w:rsidP="007643A3">
      <w:pPr>
        <w:spacing w:after="60"/>
        <w:rPr>
          <w:sz w:val="20"/>
        </w:rPr>
      </w:pPr>
      <w:proofErr w:type="spellStart"/>
      <w:r w:rsidRPr="0041152A">
        <w:rPr>
          <w:sz w:val="20"/>
        </w:rPr>
        <w:t>Irs</w:t>
      </w:r>
      <w:proofErr w:type="spellEnd"/>
      <w:r w:rsidRPr="0041152A">
        <w:rPr>
          <w:sz w:val="20"/>
        </w:rPr>
        <w:t xml:space="preserve"> </w:t>
      </w:r>
      <w:r>
        <w:rPr>
          <w:sz w:val="20"/>
        </w:rPr>
        <w:t xml:space="preserve">- </w:t>
      </w:r>
      <w:proofErr w:type="spellStart"/>
      <w:r>
        <w:rPr>
          <w:sz w:val="20"/>
        </w:rPr>
        <w:t>Cogea</w:t>
      </w:r>
      <w:proofErr w:type="spellEnd"/>
      <w:r w:rsidRPr="0041152A">
        <w:rPr>
          <w:sz w:val="20"/>
        </w:rPr>
        <w:t xml:space="preserve"> (2021),</w:t>
      </w:r>
      <w:r>
        <w:rPr>
          <w:sz w:val="20"/>
        </w:rPr>
        <w:t xml:space="preserve"> U</w:t>
      </w:r>
      <w:r w:rsidRPr="007643A3">
        <w:rPr>
          <w:sz w:val="20"/>
        </w:rPr>
        <w:t xml:space="preserve">na analisi valutativa della </w:t>
      </w:r>
      <w:r>
        <w:rPr>
          <w:sz w:val="20"/>
        </w:rPr>
        <w:t>DUL</w:t>
      </w:r>
      <w:r w:rsidRPr="007643A3">
        <w:rPr>
          <w:sz w:val="20"/>
        </w:rPr>
        <w:t xml:space="preserve"> autoimprenditorialità e dei percorsi di avvio di imprese culturali e creative sulla creazione e sullo sviluppo di nuove imprese</w:t>
      </w:r>
      <w:r>
        <w:rPr>
          <w:sz w:val="20"/>
        </w:rPr>
        <w:t xml:space="preserve">, </w:t>
      </w:r>
      <w:r w:rsidRPr="007643A3">
        <w:rPr>
          <w:sz w:val="20"/>
        </w:rPr>
        <w:t>bozza</w:t>
      </w:r>
      <w:r>
        <w:rPr>
          <w:sz w:val="20"/>
        </w:rPr>
        <w:t>, o</w:t>
      </w:r>
      <w:r w:rsidRPr="007643A3">
        <w:rPr>
          <w:sz w:val="20"/>
        </w:rPr>
        <w:t>ttobre 2021</w:t>
      </w:r>
      <w:r>
        <w:rPr>
          <w:sz w:val="20"/>
        </w:rPr>
        <w:t>.</w:t>
      </w:r>
    </w:p>
    <w:p w14:paraId="5728297F" w14:textId="77777777" w:rsidR="0041152A" w:rsidRPr="0041152A" w:rsidRDefault="0041152A" w:rsidP="0041152A">
      <w:pPr>
        <w:spacing w:after="60"/>
        <w:rPr>
          <w:sz w:val="20"/>
        </w:rPr>
      </w:pPr>
      <w:r w:rsidRPr="0041152A">
        <w:rPr>
          <w:sz w:val="20"/>
        </w:rPr>
        <w:t xml:space="preserve">Ismeri Europa (2021), PON “Imprese e Competitività” FESR 2014-2020, Esercizio di valutazione sul sostegno alla nascita di nuove imprese innovative tramite lo strumento </w:t>
      </w:r>
      <w:proofErr w:type="spellStart"/>
      <w:r w:rsidRPr="0041152A">
        <w:rPr>
          <w:sz w:val="20"/>
        </w:rPr>
        <w:t>Smart&amp;Start</w:t>
      </w:r>
      <w:proofErr w:type="spellEnd"/>
      <w:r w:rsidRPr="0041152A">
        <w:rPr>
          <w:sz w:val="20"/>
        </w:rPr>
        <w:t xml:space="preserve"> Italia. </w:t>
      </w:r>
    </w:p>
    <w:p w14:paraId="3ACCCFD1" w14:textId="77777777" w:rsidR="0041152A" w:rsidRPr="00014FA7" w:rsidRDefault="0041152A" w:rsidP="0041152A">
      <w:pPr>
        <w:spacing w:after="60"/>
        <w:rPr>
          <w:sz w:val="20"/>
          <w:lang w:val="en-US"/>
        </w:rPr>
      </w:pPr>
      <w:r w:rsidRPr="00014FA7">
        <w:rPr>
          <w:sz w:val="20"/>
          <w:lang w:val="en-US"/>
        </w:rPr>
        <w:t>Johnson, P. S. (1986). New Firms: An Economic Perspective. Allen &amp; Unwin: London.</w:t>
      </w:r>
    </w:p>
    <w:p w14:paraId="5E4D673B" w14:textId="77777777" w:rsidR="0041152A" w:rsidRPr="00014FA7" w:rsidRDefault="0041152A" w:rsidP="0041152A">
      <w:pPr>
        <w:spacing w:after="60"/>
        <w:rPr>
          <w:sz w:val="20"/>
          <w:lang w:val="en-US"/>
        </w:rPr>
      </w:pPr>
      <w:proofErr w:type="spellStart"/>
      <w:r w:rsidRPr="00014FA7">
        <w:rPr>
          <w:sz w:val="20"/>
          <w:lang w:val="en-US"/>
        </w:rPr>
        <w:t>Kalleberg</w:t>
      </w:r>
      <w:proofErr w:type="spellEnd"/>
      <w:r w:rsidRPr="00014FA7">
        <w:rPr>
          <w:sz w:val="20"/>
          <w:lang w:val="en-US"/>
        </w:rPr>
        <w:t xml:space="preserve">, A., &amp; </w:t>
      </w:r>
      <w:proofErr w:type="spellStart"/>
      <w:r w:rsidRPr="00014FA7">
        <w:rPr>
          <w:sz w:val="20"/>
          <w:lang w:val="en-US"/>
        </w:rPr>
        <w:t>Mardsen</w:t>
      </w:r>
      <w:proofErr w:type="spellEnd"/>
      <w:r w:rsidRPr="00014FA7">
        <w:rPr>
          <w:sz w:val="20"/>
          <w:lang w:val="en-US"/>
        </w:rPr>
        <w:t xml:space="preserve">, P. (2005). Externalizing organizational activities: where and how U.S. establishments use employment intermediaries. </w:t>
      </w:r>
      <w:proofErr w:type="spellStart"/>
      <w:r w:rsidRPr="00014FA7">
        <w:rPr>
          <w:sz w:val="20"/>
          <w:lang w:val="en-US"/>
        </w:rPr>
        <w:t>Socioecon</w:t>
      </w:r>
      <w:proofErr w:type="spellEnd"/>
      <w:r w:rsidRPr="00014FA7">
        <w:rPr>
          <w:sz w:val="20"/>
          <w:lang w:val="en-US"/>
        </w:rPr>
        <w:t xml:space="preserve">. Rev., 3, 389–415. </w:t>
      </w:r>
    </w:p>
    <w:p w14:paraId="5A7E2843" w14:textId="77777777" w:rsidR="0041152A" w:rsidRPr="00014FA7" w:rsidRDefault="0041152A" w:rsidP="0041152A">
      <w:pPr>
        <w:spacing w:after="60"/>
        <w:rPr>
          <w:sz w:val="20"/>
          <w:lang w:val="en-US"/>
        </w:rPr>
      </w:pPr>
      <w:r w:rsidRPr="00014FA7">
        <w:rPr>
          <w:sz w:val="20"/>
          <w:lang w:val="en-US"/>
        </w:rPr>
        <w:t>Kan, K., &amp; Tsai, W. D. (2006). Entrepreneurship and risk aversion. Small Business Economics, 26, 465–474.</w:t>
      </w:r>
    </w:p>
    <w:p w14:paraId="34DB6669" w14:textId="77777777" w:rsidR="0041152A" w:rsidRPr="00014FA7" w:rsidRDefault="0041152A" w:rsidP="0041152A">
      <w:pPr>
        <w:spacing w:after="60"/>
        <w:rPr>
          <w:sz w:val="20"/>
          <w:lang w:val="en-US"/>
        </w:rPr>
      </w:pPr>
      <w:proofErr w:type="spellStart"/>
      <w:r w:rsidRPr="00014FA7">
        <w:rPr>
          <w:sz w:val="20"/>
          <w:lang w:val="en-US"/>
        </w:rPr>
        <w:t>Khemani</w:t>
      </w:r>
      <w:proofErr w:type="spellEnd"/>
      <w:r w:rsidRPr="00014FA7">
        <w:rPr>
          <w:sz w:val="20"/>
          <w:lang w:val="en-US"/>
        </w:rPr>
        <w:t>, R. S., &amp; Shapiro, D. M. (1986). The determinants of new plant entry in Canada. Applied Economics, 18, 1243–1257.</w:t>
      </w:r>
    </w:p>
    <w:p w14:paraId="5FF49C57" w14:textId="77777777" w:rsidR="0041152A" w:rsidRPr="00014FA7" w:rsidRDefault="0041152A" w:rsidP="0041152A">
      <w:pPr>
        <w:spacing w:after="60"/>
        <w:rPr>
          <w:sz w:val="20"/>
          <w:lang w:val="en-US"/>
        </w:rPr>
      </w:pPr>
      <w:proofErr w:type="spellStart"/>
      <w:r w:rsidRPr="00014FA7">
        <w:rPr>
          <w:sz w:val="20"/>
          <w:lang w:val="en-US"/>
        </w:rPr>
        <w:t>Kivimaa</w:t>
      </w:r>
      <w:proofErr w:type="spellEnd"/>
      <w:r w:rsidRPr="00014FA7">
        <w:rPr>
          <w:sz w:val="20"/>
          <w:lang w:val="en-US"/>
        </w:rPr>
        <w:t>, P., &amp; Kern, F. (2016). Creative destruction or mere niche support? Innovation policy mixes for sustainability transitions. Res. Policy, 45(1), 205–217.</w:t>
      </w:r>
    </w:p>
    <w:p w14:paraId="461E9969" w14:textId="77777777" w:rsidR="0041152A" w:rsidRPr="00014FA7" w:rsidRDefault="0041152A" w:rsidP="0041152A">
      <w:pPr>
        <w:spacing w:after="60"/>
        <w:rPr>
          <w:sz w:val="20"/>
          <w:lang w:val="en-US"/>
        </w:rPr>
      </w:pPr>
      <w:proofErr w:type="spellStart"/>
      <w:r w:rsidRPr="00014FA7">
        <w:rPr>
          <w:sz w:val="20"/>
          <w:lang w:val="en-US"/>
        </w:rPr>
        <w:t>Klepper</w:t>
      </w:r>
      <w:proofErr w:type="spellEnd"/>
      <w:r w:rsidRPr="00014FA7">
        <w:rPr>
          <w:sz w:val="20"/>
          <w:lang w:val="en-US"/>
        </w:rPr>
        <w:t>, S. (2001). Employee startups in high-tech industries. Industrial and Corporate Change, 10, 639–674.</w:t>
      </w:r>
    </w:p>
    <w:p w14:paraId="1EF028E3" w14:textId="77777777" w:rsidR="0041152A" w:rsidRPr="00014FA7" w:rsidRDefault="0041152A" w:rsidP="0041152A">
      <w:pPr>
        <w:spacing w:after="60"/>
        <w:rPr>
          <w:sz w:val="20"/>
          <w:lang w:val="en-US"/>
        </w:rPr>
      </w:pPr>
      <w:proofErr w:type="spellStart"/>
      <w:r w:rsidRPr="00014FA7">
        <w:rPr>
          <w:sz w:val="20"/>
          <w:lang w:val="en-US"/>
        </w:rPr>
        <w:t>Koellinger</w:t>
      </w:r>
      <w:proofErr w:type="spellEnd"/>
      <w:r w:rsidRPr="00014FA7">
        <w:rPr>
          <w:sz w:val="20"/>
          <w:lang w:val="en-US"/>
        </w:rPr>
        <w:t>, P.,&amp;</w:t>
      </w:r>
      <w:proofErr w:type="spellStart"/>
      <w:r w:rsidRPr="00014FA7">
        <w:rPr>
          <w:sz w:val="20"/>
          <w:lang w:val="en-US"/>
        </w:rPr>
        <w:t>Thurik</w:t>
      </w:r>
      <w:proofErr w:type="spellEnd"/>
      <w:r w:rsidRPr="00014FA7">
        <w:rPr>
          <w:sz w:val="20"/>
          <w:lang w:val="en-US"/>
        </w:rPr>
        <w:t>, A. R. (2012). Entrepreneurship and the business cycle. Review of Economics and Statistics, 94(4), 1143–1156.</w:t>
      </w:r>
    </w:p>
    <w:p w14:paraId="7E5D5AD6" w14:textId="77777777" w:rsidR="0041152A" w:rsidRPr="00014FA7" w:rsidRDefault="0041152A" w:rsidP="0041152A">
      <w:pPr>
        <w:spacing w:after="60"/>
        <w:rPr>
          <w:sz w:val="20"/>
          <w:lang w:val="en-US"/>
        </w:rPr>
      </w:pPr>
      <w:r w:rsidRPr="00014FA7">
        <w:rPr>
          <w:sz w:val="20"/>
          <w:lang w:val="en-US"/>
        </w:rPr>
        <w:t xml:space="preserve">Kruse, D.L. (1992). Profit sharing and productivity: microeconomic evidence from the United States. Econ. J., 102(410), 24–36. </w:t>
      </w:r>
    </w:p>
    <w:p w14:paraId="5E72C3CB" w14:textId="77777777" w:rsidR="0041152A" w:rsidRPr="00014FA7" w:rsidRDefault="0041152A" w:rsidP="0041152A">
      <w:pPr>
        <w:spacing w:after="60"/>
        <w:rPr>
          <w:sz w:val="20"/>
          <w:lang w:val="en-US"/>
        </w:rPr>
      </w:pPr>
      <w:r w:rsidRPr="00014FA7">
        <w:rPr>
          <w:sz w:val="20"/>
          <w:lang w:val="en-US"/>
        </w:rPr>
        <w:t xml:space="preserve">Lazear, E. (2004). Balanced skills and entrepreneurship. American Economic Review Papers and Proceedings, 94, 208–211. </w:t>
      </w:r>
    </w:p>
    <w:p w14:paraId="73CE2CEB" w14:textId="77777777" w:rsidR="0041152A" w:rsidRPr="00014FA7" w:rsidRDefault="0041152A" w:rsidP="0041152A">
      <w:pPr>
        <w:spacing w:after="60"/>
        <w:rPr>
          <w:sz w:val="20"/>
          <w:lang w:val="en-US"/>
        </w:rPr>
      </w:pPr>
      <w:r w:rsidRPr="00014FA7">
        <w:rPr>
          <w:sz w:val="20"/>
          <w:lang w:val="en-US"/>
        </w:rPr>
        <w:t>Lazear, E. (2005). Entrepreneurship. Journal of Labor Economics, 23, 649–680.</w:t>
      </w:r>
    </w:p>
    <w:p w14:paraId="479E1BF9" w14:textId="77777777" w:rsidR="0041152A" w:rsidRPr="00014FA7" w:rsidRDefault="0041152A" w:rsidP="0041152A">
      <w:pPr>
        <w:spacing w:after="60"/>
        <w:rPr>
          <w:sz w:val="20"/>
          <w:lang w:val="en-US"/>
        </w:rPr>
      </w:pPr>
      <w:r w:rsidRPr="00014FA7">
        <w:rPr>
          <w:sz w:val="20"/>
          <w:lang w:val="en-US"/>
        </w:rPr>
        <w:t>Lerner, J. (2010). The future of public efforts to boost entrepreneurship and venture capital. Small Bus. Econ., 35(3), 255–264.</w:t>
      </w:r>
    </w:p>
    <w:p w14:paraId="17A3E8D1" w14:textId="77777777" w:rsidR="0041152A" w:rsidRPr="00014FA7" w:rsidRDefault="0041152A" w:rsidP="0041152A">
      <w:pPr>
        <w:spacing w:after="60"/>
        <w:rPr>
          <w:sz w:val="20"/>
          <w:lang w:val="en-US"/>
        </w:rPr>
      </w:pPr>
      <w:r w:rsidRPr="00014FA7">
        <w:rPr>
          <w:sz w:val="20"/>
          <w:lang w:val="en-US"/>
        </w:rPr>
        <w:t>Lindh, T., &amp; Ohlsson, D. N. (1996). Self-employment and windfall gains: evidence from the Swedish lottery. Economic Journal, 106, 1515–1526.</w:t>
      </w:r>
    </w:p>
    <w:p w14:paraId="062746BD" w14:textId="77777777" w:rsidR="0041152A" w:rsidRPr="00014FA7" w:rsidRDefault="0041152A" w:rsidP="0041152A">
      <w:pPr>
        <w:spacing w:after="60"/>
        <w:rPr>
          <w:sz w:val="20"/>
          <w:lang w:val="en-US"/>
        </w:rPr>
      </w:pPr>
      <w:r w:rsidRPr="00014FA7">
        <w:rPr>
          <w:sz w:val="20"/>
          <w:lang w:val="en-US"/>
        </w:rPr>
        <w:t xml:space="preserve">Liu, D., Gong, Z.J., &amp; Huang, J.C. (2017). Human resource systems, employee creativity, and firm innovation: the moderating role of firm ownership. Acad. </w:t>
      </w:r>
      <w:proofErr w:type="spellStart"/>
      <w:r w:rsidRPr="00014FA7">
        <w:rPr>
          <w:sz w:val="20"/>
          <w:lang w:val="en-US"/>
        </w:rPr>
        <w:t>Manag</w:t>
      </w:r>
      <w:proofErr w:type="spellEnd"/>
      <w:r w:rsidRPr="00014FA7">
        <w:rPr>
          <w:sz w:val="20"/>
          <w:lang w:val="en-US"/>
        </w:rPr>
        <w:t>. J., 60(3), 1164–1188.</w:t>
      </w:r>
    </w:p>
    <w:p w14:paraId="2BD1659A" w14:textId="77777777" w:rsidR="0041152A" w:rsidRPr="00014FA7" w:rsidRDefault="0041152A" w:rsidP="0041152A">
      <w:pPr>
        <w:spacing w:after="60"/>
        <w:rPr>
          <w:sz w:val="20"/>
          <w:lang w:val="en-US"/>
        </w:rPr>
      </w:pPr>
      <w:proofErr w:type="spellStart"/>
      <w:r w:rsidRPr="00014FA7">
        <w:rPr>
          <w:sz w:val="20"/>
          <w:lang w:val="en-US"/>
        </w:rPr>
        <w:t>Malchow-Møller</w:t>
      </w:r>
      <w:proofErr w:type="spellEnd"/>
      <w:r w:rsidRPr="00014FA7">
        <w:rPr>
          <w:sz w:val="20"/>
          <w:lang w:val="en-US"/>
        </w:rPr>
        <w:t xml:space="preserve">, N., </w:t>
      </w:r>
      <w:proofErr w:type="spellStart"/>
      <w:r w:rsidRPr="00014FA7">
        <w:rPr>
          <w:sz w:val="20"/>
          <w:lang w:val="en-US"/>
        </w:rPr>
        <w:t>Schjerning</w:t>
      </w:r>
      <w:proofErr w:type="spellEnd"/>
      <w:r w:rsidRPr="00014FA7">
        <w:rPr>
          <w:sz w:val="20"/>
          <w:lang w:val="en-US"/>
        </w:rPr>
        <w:t xml:space="preserve">, B., &amp; </w:t>
      </w:r>
      <w:proofErr w:type="spellStart"/>
      <w:r w:rsidRPr="00014FA7">
        <w:rPr>
          <w:sz w:val="20"/>
          <w:lang w:val="en-US"/>
        </w:rPr>
        <w:t>Sørensen</w:t>
      </w:r>
      <w:proofErr w:type="spellEnd"/>
      <w:r w:rsidRPr="00014FA7">
        <w:rPr>
          <w:sz w:val="20"/>
          <w:lang w:val="en-US"/>
        </w:rPr>
        <w:t>, A. (2011). Entrepreneurship, job creation and wage growth. Small Business Economics, 36(1), 15–32.</w:t>
      </w:r>
    </w:p>
    <w:p w14:paraId="1B338D7A" w14:textId="77777777" w:rsidR="0041152A" w:rsidRPr="00014FA7" w:rsidRDefault="0041152A" w:rsidP="0041152A">
      <w:pPr>
        <w:spacing w:after="60"/>
        <w:rPr>
          <w:sz w:val="20"/>
          <w:lang w:val="en-US"/>
        </w:rPr>
      </w:pPr>
      <w:proofErr w:type="spellStart"/>
      <w:r w:rsidRPr="00014FA7">
        <w:rPr>
          <w:sz w:val="20"/>
          <w:lang w:val="en-US"/>
        </w:rPr>
        <w:t>Malcomson</w:t>
      </w:r>
      <w:proofErr w:type="spellEnd"/>
      <w:r w:rsidRPr="00014FA7">
        <w:rPr>
          <w:sz w:val="20"/>
          <w:lang w:val="en-US"/>
        </w:rPr>
        <w:t xml:space="preserve">, J.M. (1997). Contracts, hold-up, and </w:t>
      </w:r>
      <w:proofErr w:type="spellStart"/>
      <w:r w:rsidRPr="00014FA7">
        <w:rPr>
          <w:sz w:val="20"/>
          <w:lang w:val="en-US"/>
        </w:rPr>
        <w:t>labour</w:t>
      </w:r>
      <w:proofErr w:type="spellEnd"/>
      <w:r w:rsidRPr="00014FA7">
        <w:rPr>
          <w:sz w:val="20"/>
          <w:lang w:val="en-US"/>
        </w:rPr>
        <w:t xml:space="preserve"> markets. J. Econ. Lit., 35, 1916–1957. </w:t>
      </w:r>
    </w:p>
    <w:p w14:paraId="23C75491" w14:textId="77777777" w:rsidR="0041152A" w:rsidRPr="00014FA7" w:rsidRDefault="0041152A" w:rsidP="0041152A">
      <w:pPr>
        <w:spacing w:after="60"/>
        <w:rPr>
          <w:sz w:val="20"/>
          <w:lang w:val="en-US"/>
        </w:rPr>
      </w:pPr>
      <w:r w:rsidRPr="00014FA7">
        <w:rPr>
          <w:sz w:val="20"/>
          <w:lang w:val="en-US"/>
        </w:rPr>
        <w:t xml:space="preserve">Mansfield, E. (1962). Entry, </w:t>
      </w:r>
      <w:proofErr w:type="spellStart"/>
      <w:r w:rsidRPr="00014FA7">
        <w:rPr>
          <w:sz w:val="20"/>
          <w:lang w:val="en-US"/>
        </w:rPr>
        <w:t>Gibrat’s</w:t>
      </w:r>
      <w:proofErr w:type="spellEnd"/>
      <w:r w:rsidRPr="00014FA7">
        <w:rPr>
          <w:sz w:val="20"/>
          <w:lang w:val="en-US"/>
        </w:rPr>
        <w:t xml:space="preserve"> law, innovation and the growth of firms. American Economic Review, 52, 1023–1051.</w:t>
      </w:r>
    </w:p>
    <w:p w14:paraId="310410F3" w14:textId="77777777" w:rsidR="0041152A" w:rsidRPr="00014FA7" w:rsidRDefault="0041152A" w:rsidP="0041152A">
      <w:pPr>
        <w:spacing w:after="60"/>
        <w:rPr>
          <w:sz w:val="20"/>
          <w:lang w:val="en-US"/>
        </w:rPr>
      </w:pPr>
      <w:r w:rsidRPr="00014FA7">
        <w:rPr>
          <w:sz w:val="20"/>
          <w:lang w:val="en-US"/>
        </w:rPr>
        <w:t>Martínez-Sánchez, A., Vela-Jiménez, M.J., Pérez-Pérez, M., &amp; de-Luis-</w:t>
      </w:r>
      <w:proofErr w:type="spellStart"/>
      <w:r w:rsidRPr="00014FA7">
        <w:rPr>
          <w:sz w:val="20"/>
          <w:lang w:val="en-US"/>
        </w:rPr>
        <w:t>Carnicer</w:t>
      </w:r>
      <w:proofErr w:type="spellEnd"/>
      <w:r w:rsidRPr="00014FA7">
        <w:rPr>
          <w:sz w:val="20"/>
          <w:lang w:val="en-US"/>
        </w:rPr>
        <w:t xml:space="preserve">, P. (2011). The dynamics of </w:t>
      </w:r>
      <w:proofErr w:type="spellStart"/>
      <w:r w:rsidRPr="00014FA7">
        <w:rPr>
          <w:sz w:val="20"/>
          <w:lang w:val="en-US"/>
        </w:rPr>
        <w:t>labour</w:t>
      </w:r>
      <w:proofErr w:type="spellEnd"/>
      <w:r w:rsidRPr="00014FA7">
        <w:rPr>
          <w:sz w:val="20"/>
          <w:lang w:val="en-US"/>
        </w:rPr>
        <w:t xml:space="preserve"> flexibility: relationship between employment type and innovativeness. J. </w:t>
      </w:r>
      <w:proofErr w:type="spellStart"/>
      <w:r w:rsidRPr="00014FA7">
        <w:rPr>
          <w:sz w:val="20"/>
          <w:lang w:val="en-US"/>
        </w:rPr>
        <w:t>Manag</w:t>
      </w:r>
      <w:proofErr w:type="spellEnd"/>
      <w:r w:rsidRPr="00014FA7">
        <w:rPr>
          <w:sz w:val="20"/>
          <w:lang w:val="en-US"/>
        </w:rPr>
        <w:t xml:space="preserve">. Stud., 48(4), 715–736. </w:t>
      </w:r>
    </w:p>
    <w:p w14:paraId="040AFEB1" w14:textId="77777777" w:rsidR="0041152A" w:rsidRPr="00014FA7" w:rsidRDefault="0041152A" w:rsidP="0041152A">
      <w:pPr>
        <w:spacing w:after="60"/>
        <w:rPr>
          <w:sz w:val="20"/>
          <w:lang w:val="en-US"/>
        </w:rPr>
      </w:pPr>
      <w:r w:rsidRPr="00014FA7">
        <w:rPr>
          <w:sz w:val="20"/>
          <w:lang w:val="en-US"/>
        </w:rPr>
        <w:t>Mason, C., &amp; Brown, R. (2013). Creating Good Public Policy to Support High-Growth Firms. Small Business Economics, 40(2), 211-225.</w:t>
      </w:r>
    </w:p>
    <w:p w14:paraId="34D9798F" w14:textId="77777777" w:rsidR="0041152A" w:rsidRPr="00014FA7" w:rsidRDefault="0041152A" w:rsidP="0041152A">
      <w:pPr>
        <w:spacing w:after="60"/>
        <w:rPr>
          <w:sz w:val="20"/>
          <w:lang w:val="en-US"/>
        </w:rPr>
      </w:pPr>
      <w:r w:rsidRPr="00014FA7">
        <w:rPr>
          <w:sz w:val="20"/>
          <w:lang w:val="en-US"/>
        </w:rPr>
        <w:t>Mason, C., &amp; Brown, R. (2014). Entrepreneurial Ecosystems and Growth-Oriented Enterprises, OECD, www.oecd.org/cfe/leed/entrepreneurial-ecosystems.pdf.</w:t>
      </w:r>
    </w:p>
    <w:p w14:paraId="161931B4" w14:textId="77777777" w:rsidR="0041152A" w:rsidRPr="00014FA7" w:rsidRDefault="0041152A" w:rsidP="0041152A">
      <w:pPr>
        <w:spacing w:after="60"/>
        <w:rPr>
          <w:sz w:val="20"/>
          <w:lang w:val="en-US"/>
        </w:rPr>
      </w:pPr>
      <w:r w:rsidRPr="00014FA7">
        <w:rPr>
          <w:sz w:val="20"/>
          <w:lang w:val="en-US"/>
        </w:rPr>
        <w:t>Masuda, T. (2006). The determinants of latent entrepreneurship in Japan. Small Business Economics, 26, 227–240.</w:t>
      </w:r>
    </w:p>
    <w:p w14:paraId="5F947631" w14:textId="77777777" w:rsidR="0041152A" w:rsidRPr="00014FA7" w:rsidRDefault="0041152A" w:rsidP="0041152A">
      <w:pPr>
        <w:spacing w:after="60"/>
        <w:rPr>
          <w:sz w:val="20"/>
          <w:lang w:val="en-US"/>
        </w:rPr>
      </w:pPr>
      <w:proofErr w:type="spellStart"/>
      <w:r w:rsidRPr="00014FA7">
        <w:rPr>
          <w:sz w:val="20"/>
          <w:lang w:val="en-US"/>
        </w:rPr>
        <w:t>Matusik</w:t>
      </w:r>
      <w:proofErr w:type="spellEnd"/>
      <w:r w:rsidRPr="00014FA7">
        <w:rPr>
          <w:sz w:val="20"/>
          <w:lang w:val="en-US"/>
        </w:rPr>
        <w:t xml:space="preserve">, S.F., &amp; Hill, C.W.L. (1998). The utilization of contingent work, knowledge creation, and competitive advantage. Acad. </w:t>
      </w:r>
      <w:proofErr w:type="spellStart"/>
      <w:r w:rsidRPr="00014FA7">
        <w:rPr>
          <w:sz w:val="20"/>
          <w:lang w:val="en-US"/>
        </w:rPr>
        <w:t>Manag</w:t>
      </w:r>
      <w:proofErr w:type="spellEnd"/>
      <w:r w:rsidRPr="00014FA7">
        <w:rPr>
          <w:sz w:val="20"/>
          <w:lang w:val="en-US"/>
        </w:rPr>
        <w:t>. Rev., 23(4), 680–697.</w:t>
      </w:r>
    </w:p>
    <w:p w14:paraId="5D8731A8" w14:textId="77777777" w:rsidR="0041152A" w:rsidRPr="00014FA7" w:rsidRDefault="0041152A" w:rsidP="0041152A">
      <w:pPr>
        <w:spacing w:after="60"/>
        <w:rPr>
          <w:sz w:val="20"/>
          <w:lang w:val="en-US"/>
        </w:rPr>
      </w:pPr>
      <w:r w:rsidRPr="00014FA7">
        <w:rPr>
          <w:sz w:val="20"/>
          <w:lang w:val="en-US"/>
        </w:rPr>
        <w:t>Mitra, A., &amp; Jha, A. K. (2015). Innovation and employment: A firm level study of Indian industries. Eurasian Business Review, 5(1), 45–71.</w:t>
      </w:r>
    </w:p>
    <w:p w14:paraId="2688DD8A" w14:textId="77777777" w:rsidR="0041152A" w:rsidRPr="00014FA7" w:rsidRDefault="0041152A" w:rsidP="0041152A">
      <w:pPr>
        <w:spacing w:after="60"/>
        <w:rPr>
          <w:sz w:val="20"/>
          <w:lang w:val="en-US"/>
        </w:rPr>
      </w:pPr>
      <w:proofErr w:type="spellStart"/>
      <w:r w:rsidRPr="00014FA7">
        <w:rPr>
          <w:sz w:val="20"/>
          <w:lang w:val="en-US"/>
        </w:rPr>
        <w:t>Morand</w:t>
      </w:r>
      <w:proofErr w:type="spellEnd"/>
      <w:r w:rsidRPr="00014FA7">
        <w:rPr>
          <w:sz w:val="20"/>
          <w:lang w:val="en-US"/>
        </w:rPr>
        <w:t>, P.H. (2003). SMES and public procurement policy. Review of Economic Design, 8(3), 301-318.</w:t>
      </w:r>
    </w:p>
    <w:p w14:paraId="6BA7B300" w14:textId="77777777" w:rsidR="0041152A" w:rsidRPr="00014FA7" w:rsidRDefault="0041152A" w:rsidP="0041152A">
      <w:pPr>
        <w:spacing w:after="60"/>
        <w:rPr>
          <w:sz w:val="20"/>
          <w:lang w:val="en-US"/>
        </w:rPr>
      </w:pPr>
      <w:r w:rsidRPr="00014FA7">
        <w:rPr>
          <w:sz w:val="20"/>
          <w:lang w:val="en-US"/>
        </w:rPr>
        <w:t xml:space="preserve">OECD (2018). The evaluation of the Italian “Start-up Act”, OECD Science, Technology </w:t>
      </w:r>
      <w:proofErr w:type="gramStart"/>
      <w:r w:rsidRPr="00014FA7">
        <w:rPr>
          <w:sz w:val="20"/>
          <w:lang w:val="en-US"/>
        </w:rPr>
        <w:t>And</w:t>
      </w:r>
      <w:proofErr w:type="gramEnd"/>
      <w:r w:rsidRPr="00014FA7">
        <w:rPr>
          <w:sz w:val="20"/>
          <w:lang w:val="en-US"/>
        </w:rPr>
        <w:t xml:space="preserve"> Industry Policy Papers, September 2018 No. 54.</w:t>
      </w:r>
    </w:p>
    <w:p w14:paraId="1B8AE5DD" w14:textId="77777777" w:rsidR="0041152A" w:rsidRPr="00014FA7" w:rsidRDefault="0041152A" w:rsidP="0041152A">
      <w:pPr>
        <w:spacing w:after="60"/>
        <w:rPr>
          <w:sz w:val="20"/>
          <w:lang w:val="en-US"/>
        </w:rPr>
      </w:pPr>
      <w:r w:rsidRPr="00014FA7">
        <w:rPr>
          <w:sz w:val="20"/>
          <w:lang w:val="en-US"/>
        </w:rPr>
        <w:t>OECD (2020). International Compendium of Entrepreneurship Policies, OECD Studies on SMEs and Entrepreneurship.</w:t>
      </w:r>
    </w:p>
    <w:p w14:paraId="3AA10143" w14:textId="77777777" w:rsidR="0041152A" w:rsidRPr="00014FA7" w:rsidRDefault="0041152A" w:rsidP="0041152A">
      <w:pPr>
        <w:spacing w:after="60"/>
        <w:rPr>
          <w:sz w:val="20"/>
          <w:lang w:val="en-US"/>
        </w:rPr>
      </w:pPr>
      <w:r w:rsidRPr="00014FA7">
        <w:rPr>
          <w:sz w:val="20"/>
          <w:lang w:val="en-US"/>
        </w:rPr>
        <w:t>Orr, D. (1974). The determinants of entry: a study of the Canadian manufacturing industries. Review of Economics and Statistics, 56, 58–66.</w:t>
      </w:r>
    </w:p>
    <w:p w14:paraId="4DBA4719" w14:textId="77777777" w:rsidR="0041152A" w:rsidRPr="00014FA7" w:rsidRDefault="0041152A" w:rsidP="0041152A">
      <w:pPr>
        <w:spacing w:after="60"/>
        <w:rPr>
          <w:sz w:val="20"/>
          <w:lang w:val="en-US"/>
        </w:rPr>
      </w:pPr>
      <w:proofErr w:type="spellStart"/>
      <w:r w:rsidRPr="00014FA7">
        <w:rPr>
          <w:sz w:val="20"/>
          <w:lang w:val="en-US"/>
        </w:rPr>
        <w:t>Oxenfeldt</w:t>
      </w:r>
      <w:proofErr w:type="spellEnd"/>
      <w:r w:rsidRPr="00014FA7">
        <w:rPr>
          <w:sz w:val="20"/>
          <w:lang w:val="en-US"/>
        </w:rPr>
        <w:t>, A. R. (1943). New Firms and Free Enterprise: Pre-War and Post-War Aspects. American Council on Public Affairs: Washington.</w:t>
      </w:r>
    </w:p>
    <w:p w14:paraId="7E46692A" w14:textId="77777777" w:rsidR="0041152A" w:rsidRPr="00014FA7" w:rsidRDefault="0041152A" w:rsidP="0041152A">
      <w:pPr>
        <w:spacing w:after="60"/>
        <w:rPr>
          <w:sz w:val="20"/>
          <w:lang w:val="en-US"/>
        </w:rPr>
      </w:pPr>
      <w:r w:rsidRPr="00014FA7">
        <w:rPr>
          <w:sz w:val="20"/>
          <w:lang w:val="en-US"/>
        </w:rPr>
        <w:t>Parker, S. C. (2006). New agendas in the economics of entrepreneurship: optimism, education, wealth and entrepreneurship. Paper Presented at the 3rd HE.W.P.E.M (Hellenic Workshop on Efficiency and Productivity Measurement): “Industry Dynamics, Productivity, Entrepreneurship and Growth”, University of Patras, June 16–18.</w:t>
      </w:r>
    </w:p>
    <w:p w14:paraId="6E3D5D5A" w14:textId="77777777" w:rsidR="0041152A" w:rsidRPr="00014FA7" w:rsidRDefault="0041152A" w:rsidP="0041152A">
      <w:pPr>
        <w:spacing w:after="60"/>
        <w:rPr>
          <w:sz w:val="20"/>
          <w:lang w:val="en-US"/>
        </w:rPr>
      </w:pPr>
      <w:r w:rsidRPr="00014FA7">
        <w:rPr>
          <w:sz w:val="20"/>
          <w:lang w:val="en-US"/>
        </w:rPr>
        <w:t>Pavitt, K. (1984). Sectoral patterns of technical change: towards a taxonomy and a theory. Research Policy, 13, 343–373.</w:t>
      </w:r>
    </w:p>
    <w:p w14:paraId="43333184" w14:textId="77777777" w:rsidR="0041152A" w:rsidRPr="00014FA7" w:rsidRDefault="0041152A" w:rsidP="0041152A">
      <w:pPr>
        <w:spacing w:after="60"/>
        <w:rPr>
          <w:sz w:val="20"/>
          <w:lang w:val="en-US"/>
        </w:rPr>
      </w:pPr>
      <w:r w:rsidRPr="00014FA7">
        <w:rPr>
          <w:sz w:val="20"/>
          <w:lang w:val="en-US"/>
        </w:rPr>
        <w:t>Penrose, E. T. (1959). The Theory of the Growth of the Firm. New York: John Wiley.</w:t>
      </w:r>
    </w:p>
    <w:p w14:paraId="1DFF7D7B" w14:textId="77777777" w:rsidR="0041152A" w:rsidRPr="00014FA7" w:rsidRDefault="0041152A" w:rsidP="0041152A">
      <w:pPr>
        <w:spacing w:after="60"/>
        <w:rPr>
          <w:sz w:val="20"/>
          <w:lang w:val="en-US"/>
        </w:rPr>
      </w:pPr>
      <w:r w:rsidRPr="00014FA7">
        <w:rPr>
          <w:sz w:val="20"/>
          <w:lang w:val="en-US"/>
        </w:rPr>
        <w:t xml:space="preserve">Pfeiffer, F., &amp; </w:t>
      </w:r>
      <w:proofErr w:type="spellStart"/>
      <w:r w:rsidRPr="00014FA7">
        <w:rPr>
          <w:sz w:val="20"/>
          <w:lang w:val="en-US"/>
        </w:rPr>
        <w:t>Reize</w:t>
      </w:r>
      <w:proofErr w:type="spellEnd"/>
      <w:r w:rsidRPr="00014FA7">
        <w:rPr>
          <w:sz w:val="20"/>
          <w:lang w:val="en-US"/>
        </w:rPr>
        <w:t xml:space="preserve">, F. (2000). Business start-ups by the unemployed – an econometric analysis based on firm data. </w:t>
      </w:r>
      <w:proofErr w:type="spellStart"/>
      <w:r w:rsidRPr="00014FA7">
        <w:rPr>
          <w:sz w:val="20"/>
          <w:lang w:val="en-US"/>
        </w:rPr>
        <w:t>Labour</w:t>
      </w:r>
      <w:proofErr w:type="spellEnd"/>
      <w:r w:rsidRPr="00014FA7">
        <w:rPr>
          <w:sz w:val="20"/>
          <w:lang w:val="en-US"/>
        </w:rPr>
        <w:t xml:space="preserve"> Economics, 7, 629–663.</w:t>
      </w:r>
    </w:p>
    <w:p w14:paraId="6D7D9A11" w14:textId="77777777" w:rsidR="0041152A" w:rsidRPr="00014FA7" w:rsidRDefault="0041152A" w:rsidP="0041152A">
      <w:pPr>
        <w:spacing w:after="60"/>
        <w:rPr>
          <w:sz w:val="20"/>
          <w:lang w:val="en-US"/>
        </w:rPr>
      </w:pPr>
      <w:r w:rsidRPr="00014FA7">
        <w:rPr>
          <w:sz w:val="20"/>
          <w:lang w:val="en-US"/>
        </w:rPr>
        <w:t xml:space="preserve">Pope, J. (2008), </w:t>
      </w:r>
      <w:proofErr w:type="spellStart"/>
      <w:r w:rsidRPr="00014FA7">
        <w:rPr>
          <w:sz w:val="20"/>
          <w:lang w:val="en-US"/>
        </w:rPr>
        <w:t>Favourable</w:t>
      </w:r>
      <w:proofErr w:type="spellEnd"/>
      <w:r w:rsidRPr="00014FA7">
        <w:rPr>
          <w:sz w:val="20"/>
          <w:lang w:val="en-US"/>
        </w:rPr>
        <w:t xml:space="preserve"> Small Business Taxation: To What Extent Is It Justified from a Tax Policy Perspective? Journal of Applied Law and Policy, 1, 21-34.</w:t>
      </w:r>
    </w:p>
    <w:p w14:paraId="068C7BD6" w14:textId="77777777" w:rsidR="0041152A" w:rsidRPr="00014FA7" w:rsidRDefault="0041152A" w:rsidP="0041152A">
      <w:pPr>
        <w:spacing w:after="60"/>
        <w:rPr>
          <w:sz w:val="20"/>
          <w:lang w:val="en-US"/>
        </w:rPr>
      </w:pPr>
      <w:proofErr w:type="spellStart"/>
      <w:r w:rsidRPr="00014FA7">
        <w:rPr>
          <w:sz w:val="20"/>
          <w:lang w:val="en-US"/>
        </w:rPr>
        <w:t>Protogerou</w:t>
      </w:r>
      <w:proofErr w:type="spellEnd"/>
      <w:r w:rsidRPr="00014FA7">
        <w:rPr>
          <w:sz w:val="20"/>
          <w:lang w:val="en-US"/>
        </w:rPr>
        <w:t xml:space="preserve">, A., </w:t>
      </w:r>
      <w:proofErr w:type="spellStart"/>
      <w:r w:rsidRPr="00014FA7">
        <w:rPr>
          <w:sz w:val="20"/>
          <w:lang w:val="en-US"/>
        </w:rPr>
        <w:t>Caloghirou</w:t>
      </w:r>
      <w:proofErr w:type="spellEnd"/>
      <w:r w:rsidRPr="00014FA7">
        <w:rPr>
          <w:sz w:val="20"/>
          <w:lang w:val="en-US"/>
        </w:rPr>
        <w:t xml:space="preserve">, Y., &amp; </w:t>
      </w:r>
      <w:proofErr w:type="spellStart"/>
      <w:r w:rsidRPr="00014FA7">
        <w:rPr>
          <w:sz w:val="20"/>
          <w:lang w:val="en-US"/>
        </w:rPr>
        <w:t>Vonortas</w:t>
      </w:r>
      <w:proofErr w:type="spellEnd"/>
      <w:r w:rsidRPr="00014FA7">
        <w:rPr>
          <w:sz w:val="20"/>
          <w:lang w:val="en-US"/>
        </w:rPr>
        <w:t>, N.S. (2017). Determinants of young firms’ innovative performance: empirical evidence from Europe. Res. Policy, 46 (7), 1312–1326.</w:t>
      </w:r>
    </w:p>
    <w:p w14:paraId="56776562" w14:textId="77777777" w:rsidR="0041152A" w:rsidRPr="0041152A" w:rsidRDefault="0041152A" w:rsidP="0041152A">
      <w:pPr>
        <w:spacing w:after="60"/>
        <w:rPr>
          <w:sz w:val="20"/>
        </w:rPr>
      </w:pPr>
      <w:proofErr w:type="spellStart"/>
      <w:r w:rsidRPr="00014FA7">
        <w:rPr>
          <w:sz w:val="20"/>
          <w:lang w:val="en-US"/>
        </w:rPr>
        <w:t>Raspe</w:t>
      </w:r>
      <w:proofErr w:type="spellEnd"/>
      <w:r w:rsidRPr="00014FA7">
        <w:rPr>
          <w:sz w:val="20"/>
          <w:lang w:val="en-US"/>
        </w:rPr>
        <w:t xml:space="preserve">, O., &amp; Van Oort, F. G. (2008). Firm growth and localized knowledge externalities. </w:t>
      </w:r>
      <w:r w:rsidRPr="0041152A">
        <w:rPr>
          <w:sz w:val="20"/>
        </w:rPr>
        <w:t>Journal of Regional Analysis and Policy, 38(2), 100–116.</w:t>
      </w:r>
    </w:p>
    <w:p w14:paraId="3D79339F" w14:textId="77777777" w:rsidR="0041152A" w:rsidRPr="0041152A" w:rsidRDefault="0041152A" w:rsidP="0041152A">
      <w:pPr>
        <w:spacing w:after="60"/>
        <w:rPr>
          <w:sz w:val="20"/>
        </w:rPr>
      </w:pPr>
      <w:r w:rsidRPr="0041152A">
        <w:rPr>
          <w:sz w:val="20"/>
        </w:rPr>
        <w:t>Regione Lombardia (2020), Relazione di accompagnamento alla riprogrammazione del POR FESR</w:t>
      </w:r>
    </w:p>
    <w:p w14:paraId="6DBE3E7D" w14:textId="77777777" w:rsidR="0041152A" w:rsidRPr="0041152A" w:rsidRDefault="0041152A" w:rsidP="0041152A">
      <w:pPr>
        <w:spacing w:after="60"/>
        <w:rPr>
          <w:sz w:val="20"/>
        </w:rPr>
      </w:pPr>
      <w:r w:rsidRPr="0041152A">
        <w:rPr>
          <w:sz w:val="20"/>
        </w:rPr>
        <w:t>Regione Lombardia (2020), Relazione di accompagnamento alla riprogrammazione del POR FSE</w:t>
      </w:r>
    </w:p>
    <w:p w14:paraId="3670388C" w14:textId="77777777" w:rsidR="0041152A" w:rsidRPr="0041152A" w:rsidRDefault="0041152A" w:rsidP="0041152A">
      <w:pPr>
        <w:spacing w:after="60"/>
        <w:rPr>
          <w:sz w:val="20"/>
        </w:rPr>
      </w:pPr>
      <w:r w:rsidRPr="0041152A">
        <w:rPr>
          <w:sz w:val="20"/>
        </w:rPr>
        <w:t xml:space="preserve">Regione Lombardia (2021), Relazione Annuale di Attuazione, POR FESR 2014-20 </w:t>
      </w:r>
    </w:p>
    <w:p w14:paraId="0A362582" w14:textId="77777777" w:rsidR="0041152A" w:rsidRPr="0041152A" w:rsidRDefault="0041152A" w:rsidP="0041152A">
      <w:pPr>
        <w:spacing w:after="60"/>
        <w:rPr>
          <w:sz w:val="20"/>
        </w:rPr>
      </w:pPr>
      <w:r w:rsidRPr="0041152A">
        <w:rPr>
          <w:sz w:val="20"/>
        </w:rPr>
        <w:t xml:space="preserve">Regione Lombardia (2021), Relazione Annuale di Attuazione, POR FSE 2014-20 </w:t>
      </w:r>
    </w:p>
    <w:p w14:paraId="5A49AD1D" w14:textId="77777777" w:rsidR="0041152A" w:rsidRPr="0041152A" w:rsidRDefault="0041152A" w:rsidP="0041152A">
      <w:pPr>
        <w:spacing w:after="60"/>
        <w:rPr>
          <w:sz w:val="20"/>
        </w:rPr>
      </w:pPr>
      <w:r w:rsidRPr="0041152A">
        <w:rPr>
          <w:sz w:val="20"/>
        </w:rPr>
        <w:t xml:space="preserve">Regione Lombardia (2021), Relazione Annuale di Attuazione, PSR FEASR 2014-20 </w:t>
      </w:r>
    </w:p>
    <w:p w14:paraId="578316E9" w14:textId="77777777" w:rsidR="0041152A" w:rsidRPr="0041152A" w:rsidRDefault="0041152A" w:rsidP="0041152A">
      <w:pPr>
        <w:spacing w:after="60"/>
        <w:rPr>
          <w:sz w:val="20"/>
        </w:rPr>
      </w:pPr>
      <w:r w:rsidRPr="0041152A">
        <w:rPr>
          <w:sz w:val="20"/>
        </w:rPr>
        <w:t xml:space="preserve">Rete Rurale Nazionale (2021), Report di avanzamento della spesa pubblica, quarto trimestre 2020. </w:t>
      </w:r>
    </w:p>
    <w:p w14:paraId="5B12DFA1" w14:textId="77777777" w:rsidR="0041152A" w:rsidRPr="00014FA7" w:rsidRDefault="0041152A" w:rsidP="0041152A">
      <w:pPr>
        <w:spacing w:after="60"/>
        <w:rPr>
          <w:sz w:val="20"/>
          <w:lang w:val="en-US"/>
        </w:rPr>
      </w:pPr>
      <w:r w:rsidRPr="00014FA7">
        <w:rPr>
          <w:sz w:val="20"/>
          <w:lang w:val="en-US"/>
        </w:rPr>
        <w:t xml:space="preserve">Reynolds, P. D., Camp, M. S., Bygrave, W. D., </w:t>
      </w:r>
      <w:proofErr w:type="spellStart"/>
      <w:r w:rsidRPr="00014FA7">
        <w:rPr>
          <w:sz w:val="20"/>
          <w:lang w:val="en-US"/>
        </w:rPr>
        <w:t>Autio</w:t>
      </w:r>
      <w:proofErr w:type="spellEnd"/>
      <w:r w:rsidRPr="00014FA7">
        <w:rPr>
          <w:sz w:val="20"/>
          <w:lang w:val="en-US"/>
        </w:rPr>
        <w:t>, E., &amp; Hay, M. (2001). Global entrepreneurship monitor. 2001 Summary Report. London Business School and Babson College: London.</w:t>
      </w:r>
    </w:p>
    <w:p w14:paraId="7E1A0E68" w14:textId="77777777" w:rsidR="0041152A" w:rsidRPr="00014FA7" w:rsidRDefault="0041152A" w:rsidP="0041152A">
      <w:pPr>
        <w:spacing w:after="60"/>
        <w:rPr>
          <w:sz w:val="20"/>
          <w:lang w:val="en-US"/>
        </w:rPr>
      </w:pPr>
      <w:r w:rsidRPr="0041152A">
        <w:rPr>
          <w:sz w:val="20"/>
        </w:rPr>
        <w:t xml:space="preserve">Santarelli, E., </w:t>
      </w:r>
      <w:proofErr w:type="spellStart"/>
      <w:r w:rsidRPr="0041152A">
        <w:rPr>
          <w:sz w:val="20"/>
        </w:rPr>
        <w:t>Carree</w:t>
      </w:r>
      <w:proofErr w:type="spellEnd"/>
      <w:r w:rsidRPr="0041152A">
        <w:rPr>
          <w:sz w:val="20"/>
        </w:rPr>
        <w:t xml:space="preserve">, M., &amp; </w:t>
      </w:r>
      <w:proofErr w:type="spellStart"/>
      <w:r w:rsidRPr="0041152A">
        <w:rPr>
          <w:sz w:val="20"/>
        </w:rPr>
        <w:t>Verheul</w:t>
      </w:r>
      <w:proofErr w:type="spellEnd"/>
      <w:r w:rsidRPr="0041152A">
        <w:rPr>
          <w:sz w:val="20"/>
        </w:rPr>
        <w:t xml:space="preserve">, I. (2006). </w:t>
      </w:r>
      <w:r w:rsidRPr="00014FA7">
        <w:rPr>
          <w:sz w:val="20"/>
          <w:lang w:val="en-US"/>
        </w:rPr>
        <w:t>Unemployment and firm entry and exit: an update on a controversial relationship. Paper Presented at the 3rd HE.W.P.E.M (Hellenic Workshop on Efficiency and Productivity Measurement): “Industry Dynamics, Productivity, Entrepreneurship and Growth”, University of Patras, June 16–18.</w:t>
      </w:r>
    </w:p>
    <w:p w14:paraId="48A7B3B3" w14:textId="77777777" w:rsidR="0041152A" w:rsidRPr="00014FA7" w:rsidRDefault="0041152A" w:rsidP="0041152A">
      <w:pPr>
        <w:spacing w:after="60"/>
        <w:rPr>
          <w:sz w:val="20"/>
          <w:lang w:val="en-US"/>
        </w:rPr>
      </w:pPr>
      <w:r w:rsidRPr="00014FA7">
        <w:rPr>
          <w:sz w:val="20"/>
          <w:lang w:val="en-US"/>
        </w:rPr>
        <w:t xml:space="preserve">Schneider, C., </w:t>
      </w:r>
      <w:proofErr w:type="spellStart"/>
      <w:r w:rsidRPr="00014FA7">
        <w:rPr>
          <w:sz w:val="20"/>
          <w:lang w:val="en-US"/>
        </w:rPr>
        <w:t>Veugelers</w:t>
      </w:r>
      <w:proofErr w:type="spellEnd"/>
      <w:r w:rsidRPr="00014FA7">
        <w:rPr>
          <w:sz w:val="20"/>
          <w:lang w:val="en-US"/>
        </w:rPr>
        <w:t>, R., (2010). On young highly innovative companies: why they matter and how (not) to policy support them. Ind. Corp. Change 19, 969–1007.</w:t>
      </w:r>
    </w:p>
    <w:p w14:paraId="64A5C70C" w14:textId="77777777" w:rsidR="0041152A" w:rsidRPr="00014FA7" w:rsidRDefault="0041152A" w:rsidP="0041152A">
      <w:pPr>
        <w:spacing w:after="60"/>
        <w:rPr>
          <w:sz w:val="20"/>
          <w:lang w:val="en-US"/>
        </w:rPr>
      </w:pPr>
      <w:r w:rsidRPr="00014FA7">
        <w:rPr>
          <w:sz w:val="20"/>
          <w:lang w:val="en-US"/>
        </w:rPr>
        <w:t>Schumpeter, J. A. (1934). The theory of economic development. Cambridge, MA: Harvard University Press.</w:t>
      </w:r>
    </w:p>
    <w:p w14:paraId="46D1FC36" w14:textId="77777777" w:rsidR="0041152A" w:rsidRPr="00014FA7" w:rsidRDefault="0041152A" w:rsidP="0041152A">
      <w:pPr>
        <w:spacing w:after="60"/>
        <w:rPr>
          <w:sz w:val="20"/>
          <w:lang w:val="en-US"/>
        </w:rPr>
      </w:pPr>
      <w:r w:rsidRPr="00014FA7">
        <w:rPr>
          <w:sz w:val="20"/>
          <w:lang w:val="en-US"/>
        </w:rPr>
        <w:t>Schumpeter, J. A. (1939). Business cycles: A theoretical, historical and statistical analysis of the capitalist process. New York: McGraw-Hill.</w:t>
      </w:r>
    </w:p>
    <w:p w14:paraId="00C59031" w14:textId="77777777" w:rsidR="0041152A" w:rsidRPr="00014FA7" w:rsidRDefault="0041152A" w:rsidP="0041152A">
      <w:pPr>
        <w:spacing w:after="60"/>
        <w:rPr>
          <w:sz w:val="20"/>
          <w:lang w:val="en-US"/>
        </w:rPr>
      </w:pPr>
      <w:r w:rsidRPr="00014FA7">
        <w:rPr>
          <w:sz w:val="20"/>
          <w:lang w:val="en-US"/>
        </w:rPr>
        <w:t>Shane, S. (2000). Prior knowledge and the discovery of entrepreneurial opportunities. Organization Science, 11, 448–469.</w:t>
      </w:r>
    </w:p>
    <w:p w14:paraId="363962D8" w14:textId="77777777" w:rsidR="0041152A" w:rsidRPr="00014FA7" w:rsidRDefault="0041152A" w:rsidP="0041152A">
      <w:pPr>
        <w:spacing w:after="60"/>
        <w:rPr>
          <w:sz w:val="20"/>
          <w:lang w:val="en-US"/>
        </w:rPr>
      </w:pPr>
      <w:r w:rsidRPr="00014FA7">
        <w:rPr>
          <w:sz w:val="20"/>
          <w:lang w:val="en-US"/>
        </w:rPr>
        <w:t xml:space="preserve">Shane, S. (2009). Why encouraging more people to become entrepreneurs is bad public </w:t>
      </w:r>
      <w:proofErr w:type="gramStart"/>
      <w:r w:rsidRPr="00014FA7">
        <w:rPr>
          <w:sz w:val="20"/>
          <w:lang w:val="en-US"/>
        </w:rPr>
        <w:t>policy.</w:t>
      </w:r>
      <w:proofErr w:type="gramEnd"/>
      <w:r w:rsidRPr="00014FA7">
        <w:rPr>
          <w:sz w:val="20"/>
          <w:lang w:val="en-US"/>
        </w:rPr>
        <w:t xml:space="preserve"> Small Business Economics, 33(2), 141–149.</w:t>
      </w:r>
    </w:p>
    <w:p w14:paraId="5291D767" w14:textId="77777777" w:rsidR="0041152A" w:rsidRPr="0041152A" w:rsidRDefault="0041152A" w:rsidP="0041152A">
      <w:pPr>
        <w:spacing w:after="60"/>
        <w:rPr>
          <w:sz w:val="20"/>
        </w:rPr>
      </w:pPr>
      <w:r w:rsidRPr="00014FA7">
        <w:rPr>
          <w:sz w:val="20"/>
          <w:lang w:val="en-US"/>
        </w:rPr>
        <w:t xml:space="preserve">Silva, O. (2007). The Jack-of-All-Trades entrepreneur: Innate talent or acquired skill? </w:t>
      </w:r>
      <w:proofErr w:type="spellStart"/>
      <w:r w:rsidRPr="0041152A">
        <w:rPr>
          <w:sz w:val="20"/>
        </w:rPr>
        <w:t>Economics</w:t>
      </w:r>
      <w:proofErr w:type="spellEnd"/>
      <w:r w:rsidRPr="0041152A">
        <w:rPr>
          <w:sz w:val="20"/>
        </w:rPr>
        <w:t xml:space="preserve"> </w:t>
      </w:r>
      <w:proofErr w:type="spellStart"/>
      <w:r w:rsidRPr="0041152A">
        <w:rPr>
          <w:sz w:val="20"/>
        </w:rPr>
        <w:t>Letters</w:t>
      </w:r>
      <w:proofErr w:type="spellEnd"/>
      <w:r w:rsidRPr="0041152A">
        <w:rPr>
          <w:sz w:val="20"/>
        </w:rPr>
        <w:t>, 97(2), 118-123.</w:t>
      </w:r>
    </w:p>
    <w:p w14:paraId="4001750B" w14:textId="77777777" w:rsidR="0041152A" w:rsidRPr="0041152A" w:rsidRDefault="0041152A" w:rsidP="0041152A">
      <w:pPr>
        <w:spacing w:after="60"/>
        <w:rPr>
          <w:sz w:val="20"/>
        </w:rPr>
      </w:pPr>
      <w:r w:rsidRPr="0041152A">
        <w:rPr>
          <w:sz w:val="20"/>
        </w:rPr>
        <w:t>Slide presentate al Comitato di Sorveglianza del POR FESR 2014-2020, Milano, 27 maggio 2021</w:t>
      </w:r>
    </w:p>
    <w:p w14:paraId="12F3ECAF" w14:textId="77777777" w:rsidR="0041152A" w:rsidRPr="00014FA7" w:rsidRDefault="0041152A" w:rsidP="0041152A">
      <w:pPr>
        <w:spacing w:after="60"/>
        <w:rPr>
          <w:sz w:val="20"/>
          <w:lang w:val="en-US"/>
        </w:rPr>
      </w:pPr>
      <w:proofErr w:type="spellStart"/>
      <w:r w:rsidRPr="00014FA7">
        <w:rPr>
          <w:sz w:val="20"/>
          <w:lang w:val="en-US"/>
        </w:rPr>
        <w:t>Söderblom</w:t>
      </w:r>
      <w:proofErr w:type="spellEnd"/>
      <w:r w:rsidRPr="00014FA7">
        <w:rPr>
          <w:sz w:val="20"/>
          <w:lang w:val="en-US"/>
        </w:rPr>
        <w:t xml:space="preserve">, A., Samuelsson, M., </w:t>
      </w:r>
      <w:proofErr w:type="spellStart"/>
      <w:r w:rsidRPr="00014FA7">
        <w:rPr>
          <w:sz w:val="20"/>
          <w:lang w:val="en-US"/>
        </w:rPr>
        <w:t>Wiklund</w:t>
      </w:r>
      <w:proofErr w:type="spellEnd"/>
      <w:r w:rsidRPr="00014FA7">
        <w:rPr>
          <w:sz w:val="20"/>
          <w:lang w:val="en-US"/>
        </w:rPr>
        <w:t>, J., &amp; Sandberg, R. (2015). Inside the black box of outcome additionality: effects of early-stage government subsidies on resource accumulation and new venture performance. Res. Policy, 44(8), 1501–1512.</w:t>
      </w:r>
    </w:p>
    <w:p w14:paraId="32CBA634" w14:textId="77777777" w:rsidR="0041152A" w:rsidRPr="00014FA7" w:rsidRDefault="0041152A" w:rsidP="0041152A">
      <w:pPr>
        <w:spacing w:after="60"/>
        <w:rPr>
          <w:sz w:val="20"/>
          <w:lang w:val="en-US"/>
        </w:rPr>
      </w:pPr>
      <w:r w:rsidRPr="00014FA7">
        <w:rPr>
          <w:sz w:val="20"/>
          <w:lang w:val="en-US"/>
        </w:rPr>
        <w:t>Stam, E. (2015). Entrepreneurial Ecosystems and Regional Policy: A Sympathetic Critique. European Planning Studies, 23(9), 1759-1769.</w:t>
      </w:r>
    </w:p>
    <w:p w14:paraId="49B3EE4F" w14:textId="77777777" w:rsidR="0041152A" w:rsidRPr="00014FA7" w:rsidRDefault="0041152A" w:rsidP="0041152A">
      <w:pPr>
        <w:spacing w:after="60"/>
        <w:rPr>
          <w:sz w:val="20"/>
          <w:lang w:val="en-US"/>
        </w:rPr>
      </w:pPr>
      <w:r w:rsidRPr="00014FA7">
        <w:rPr>
          <w:sz w:val="20"/>
          <w:lang w:val="en-US"/>
        </w:rPr>
        <w:t>Stam, E., &amp; van de Ven, A. (2019). Entrepreneurial ecosystem elements. Small Bus. Econ forthcoming.</w:t>
      </w:r>
    </w:p>
    <w:p w14:paraId="16CA293D" w14:textId="77777777" w:rsidR="0041152A" w:rsidRPr="00014FA7" w:rsidRDefault="0041152A" w:rsidP="0041152A">
      <w:pPr>
        <w:spacing w:after="60"/>
        <w:rPr>
          <w:sz w:val="20"/>
          <w:lang w:val="en-US"/>
        </w:rPr>
      </w:pPr>
      <w:r w:rsidRPr="00014FA7">
        <w:rPr>
          <w:sz w:val="20"/>
          <w:lang w:val="en-US"/>
        </w:rPr>
        <w:t>Stinchcombe, A.L. (1965). Social Structure and Organizations. In: March, J.P., Ed., Handbook of Organizations, Rand McNally, Chicago, 142-193.</w:t>
      </w:r>
    </w:p>
    <w:p w14:paraId="649CC926" w14:textId="77777777" w:rsidR="0041152A" w:rsidRPr="00014FA7" w:rsidRDefault="0041152A" w:rsidP="0041152A">
      <w:pPr>
        <w:spacing w:after="60"/>
        <w:rPr>
          <w:sz w:val="20"/>
          <w:lang w:val="en-US"/>
        </w:rPr>
      </w:pPr>
      <w:proofErr w:type="spellStart"/>
      <w:r w:rsidRPr="00014FA7">
        <w:rPr>
          <w:sz w:val="20"/>
          <w:lang w:val="en-US"/>
        </w:rPr>
        <w:t>Storey</w:t>
      </w:r>
      <w:proofErr w:type="spellEnd"/>
      <w:r w:rsidRPr="00014FA7">
        <w:rPr>
          <w:sz w:val="20"/>
          <w:lang w:val="en-US"/>
        </w:rPr>
        <w:t>, D. J. (1982). Entrepreneurship and the New Firm. Croom Helm: London.</w:t>
      </w:r>
    </w:p>
    <w:p w14:paraId="6DDD9549" w14:textId="77777777" w:rsidR="0041152A" w:rsidRPr="00014FA7" w:rsidRDefault="0041152A" w:rsidP="0041152A">
      <w:pPr>
        <w:spacing w:after="60"/>
        <w:rPr>
          <w:sz w:val="20"/>
          <w:lang w:val="en-US"/>
        </w:rPr>
      </w:pPr>
      <w:proofErr w:type="spellStart"/>
      <w:r w:rsidRPr="00014FA7">
        <w:rPr>
          <w:sz w:val="20"/>
          <w:lang w:val="en-US"/>
        </w:rPr>
        <w:t>Storey</w:t>
      </w:r>
      <w:proofErr w:type="spellEnd"/>
      <w:r w:rsidRPr="00014FA7">
        <w:rPr>
          <w:sz w:val="20"/>
          <w:lang w:val="en-US"/>
        </w:rPr>
        <w:t xml:space="preserve">, D. J. (1991). The birth of new firms – does unemployment matter? A review of the evidence. Small Business Economics, 3, 167–178. </w:t>
      </w:r>
    </w:p>
    <w:p w14:paraId="68B51398" w14:textId="77777777" w:rsidR="0041152A" w:rsidRPr="00014FA7" w:rsidRDefault="0041152A" w:rsidP="0041152A">
      <w:pPr>
        <w:spacing w:after="60"/>
        <w:rPr>
          <w:sz w:val="20"/>
          <w:lang w:val="en-US"/>
        </w:rPr>
      </w:pPr>
      <w:proofErr w:type="spellStart"/>
      <w:r w:rsidRPr="00014FA7">
        <w:rPr>
          <w:sz w:val="20"/>
          <w:lang w:val="en-US"/>
        </w:rPr>
        <w:t>Storey</w:t>
      </w:r>
      <w:proofErr w:type="spellEnd"/>
      <w:r w:rsidRPr="00014FA7">
        <w:rPr>
          <w:sz w:val="20"/>
          <w:lang w:val="en-US"/>
        </w:rPr>
        <w:t>, D. J. (1994). Understanding the Small Business Sector. Routledge: London.</w:t>
      </w:r>
    </w:p>
    <w:p w14:paraId="05BD94A6" w14:textId="77777777" w:rsidR="0041152A" w:rsidRPr="00014FA7" w:rsidRDefault="0041152A" w:rsidP="0041152A">
      <w:pPr>
        <w:spacing w:after="60"/>
        <w:rPr>
          <w:sz w:val="20"/>
          <w:lang w:val="en-US"/>
        </w:rPr>
      </w:pPr>
      <w:proofErr w:type="spellStart"/>
      <w:r w:rsidRPr="00014FA7">
        <w:rPr>
          <w:sz w:val="20"/>
          <w:lang w:val="en-US"/>
        </w:rPr>
        <w:t>Storey</w:t>
      </w:r>
      <w:proofErr w:type="spellEnd"/>
      <w:r w:rsidRPr="00014FA7">
        <w:rPr>
          <w:sz w:val="20"/>
          <w:lang w:val="en-US"/>
        </w:rPr>
        <w:t>, D. J., &amp; Jones, A. M. (1987). New firm formation - A labor market approach to industrial entry. Scottish Journal of Political Economy, 34, 37–51.</w:t>
      </w:r>
    </w:p>
    <w:p w14:paraId="54FC6365" w14:textId="77777777" w:rsidR="0041152A" w:rsidRPr="00014FA7" w:rsidRDefault="0041152A" w:rsidP="0041152A">
      <w:pPr>
        <w:spacing w:after="60"/>
        <w:rPr>
          <w:sz w:val="20"/>
          <w:lang w:val="en-US"/>
        </w:rPr>
      </w:pPr>
      <w:proofErr w:type="spellStart"/>
      <w:r w:rsidRPr="00014FA7">
        <w:rPr>
          <w:sz w:val="20"/>
          <w:lang w:val="en-US"/>
        </w:rPr>
        <w:t>Storey</w:t>
      </w:r>
      <w:proofErr w:type="spellEnd"/>
      <w:r w:rsidRPr="00014FA7">
        <w:rPr>
          <w:sz w:val="20"/>
          <w:lang w:val="en-US"/>
        </w:rPr>
        <w:t>, D.J., &amp; Greene, F.J. (2010). Small business and entrepreneurship. Harlow: Financial Times Prentice Hall.</w:t>
      </w:r>
    </w:p>
    <w:p w14:paraId="717DF148" w14:textId="77777777" w:rsidR="0041152A" w:rsidRPr="00014FA7" w:rsidRDefault="0041152A" w:rsidP="0041152A">
      <w:pPr>
        <w:spacing w:after="60"/>
        <w:rPr>
          <w:sz w:val="20"/>
          <w:lang w:val="en-US"/>
        </w:rPr>
      </w:pPr>
      <w:proofErr w:type="spellStart"/>
      <w:r w:rsidRPr="00014FA7">
        <w:rPr>
          <w:sz w:val="20"/>
          <w:lang w:val="en-US"/>
        </w:rPr>
        <w:t>Storey</w:t>
      </w:r>
      <w:proofErr w:type="spellEnd"/>
      <w:r w:rsidRPr="00014FA7">
        <w:rPr>
          <w:sz w:val="20"/>
          <w:lang w:val="en-US"/>
        </w:rPr>
        <w:t xml:space="preserve">, J., Quintas, P., Taylor, P., &amp; </w:t>
      </w:r>
      <w:proofErr w:type="spellStart"/>
      <w:r w:rsidRPr="00014FA7">
        <w:rPr>
          <w:sz w:val="20"/>
          <w:lang w:val="en-US"/>
        </w:rPr>
        <w:t>Fowle</w:t>
      </w:r>
      <w:proofErr w:type="spellEnd"/>
      <w:r w:rsidRPr="00014FA7">
        <w:rPr>
          <w:sz w:val="20"/>
          <w:lang w:val="en-US"/>
        </w:rPr>
        <w:t xml:space="preserve">, W. (2002). Flexible employment contracts and their implications for product and process innovation. Int. J. Hum. </w:t>
      </w:r>
      <w:proofErr w:type="spellStart"/>
      <w:r w:rsidRPr="00014FA7">
        <w:rPr>
          <w:sz w:val="20"/>
          <w:lang w:val="en-US"/>
        </w:rPr>
        <w:t>Resour</w:t>
      </w:r>
      <w:proofErr w:type="spellEnd"/>
      <w:r w:rsidRPr="00014FA7">
        <w:rPr>
          <w:sz w:val="20"/>
          <w:lang w:val="en-US"/>
        </w:rPr>
        <w:t xml:space="preserve">. </w:t>
      </w:r>
      <w:proofErr w:type="spellStart"/>
      <w:r w:rsidRPr="00014FA7">
        <w:rPr>
          <w:sz w:val="20"/>
          <w:lang w:val="en-US"/>
        </w:rPr>
        <w:t>Manag</w:t>
      </w:r>
      <w:proofErr w:type="spellEnd"/>
      <w:r w:rsidRPr="00014FA7">
        <w:rPr>
          <w:sz w:val="20"/>
          <w:lang w:val="en-US"/>
        </w:rPr>
        <w:t>., 13(1), 1–18.</w:t>
      </w:r>
    </w:p>
    <w:p w14:paraId="079E3DF6" w14:textId="77777777" w:rsidR="0041152A" w:rsidRPr="0041152A" w:rsidRDefault="0041152A" w:rsidP="0041152A">
      <w:pPr>
        <w:spacing w:after="60"/>
        <w:rPr>
          <w:sz w:val="20"/>
        </w:rPr>
      </w:pPr>
      <w:r w:rsidRPr="00014FA7">
        <w:rPr>
          <w:sz w:val="20"/>
          <w:lang w:val="en-US"/>
        </w:rPr>
        <w:t xml:space="preserve">Taylor, M. (1999). Self-employment and windfall gains in </w:t>
      </w:r>
      <w:r w:rsidR="00327AAC" w:rsidRPr="00014FA7">
        <w:rPr>
          <w:sz w:val="20"/>
          <w:lang w:val="en-US"/>
        </w:rPr>
        <w:t>B</w:t>
      </w:r>
      <w:r w:rsidRPr="00014FA7">
        <w:rPr>
          <w:sz w:val="20"/>
          <w:lang w:val="en-US"/>
        </w:rPr>
        <w:t xml:space="preserve">ritain: evidence from panel data. </w:t>
      </w:r>
      <w:r w:rsidRPr="0041152A">
        <w:rPr>
          <w:sz w:val="20"/>
        </w:rPr>
        <w:t xml:space="preserve">CEPR </w:t>
      </w:r>
      <w:proofErr w:type="spellStart"/>
      <w:r w:rsidRPr="0041152A">
        <w:rPr>
          <w:sz w:val="20"/>
        </w:rPr>
        <w:t>Discussion</w:t>
      </w:r>
      <w:proofErr w:type="spellEnd"/>
      <w:r w:rsidRPr="0041152A">
        <w:rPr>
          <w:sz w:val="20"/>
        </w:rPr>
        <w:t xml:space="preserve"> Paper, No. 2084, CEPR: London.</w:t>
      </w:r>
    </w:p>
    <w:p w14:paraId="5CBBC1EF" w14:textId="77777777" w:rsidR="0041152A" w:rsidRPr="00014FA7" w:rsidRDefault="0041152A" w:rsidP="0041152A">
      <w:pPr>
        <w:spacing w:after="60"/>
        <w:rPr>
          <w:sz w:val="20"/>
          <w:lang w:val="en-US"/>
        </w:rPr>
      </w:pPr>
      <w:r w:rsidRPr="0041152A">
        <w:rPr>
          <w:sz w:val="20"/>
        </w:rPr>
        <w:t xml:space="preserve">van </w:t>
      </w:r>
      <w:proofErr w:type="spellStart"/>
      <w:r w:rsidRPr="0041152A">
        <w:rPr>
          <w:sz w:val="20"/>
        </w:rPr>
        <w:t>Praag</w:t>
      </w:r>
      <w:proofErr w:type="spellEnd"/>
      <w:r w:rsidRPr="0041152A">
        <w:rPr>
          <w:sz w:val="20"/>
        </w:rPr>
        <w:t xml:space="preserve">, M. C., &amp; </w:t>
      </w:r>
      <w:proofErr w:type="spellStart"/>
      <w:r w:rsidRPr="0041152A">
        <w:rPr>
          <w:sz w:val="20"/>
        </w:rPr>
        <w:t>Versloot</w:t>
      </w:r>
      <w:proofErr w:type="spellEnd"/>
      <w:r w:rsidRPr="0041152A">
        <w:rPr>
          <w:sz w:val="20"/>
        </w:rPr>
        <w:t xml:space="preserve">, P. H. (2007). </w:t>
      </w:r>
      <w:r w:rsidRPr="00014FA7">
        <w:rPr>
          <w:sz w:val="20"/>
          <w:lang w:val="en-US"/>
        </w:rPr>
        <w:t>What Is the value of entrepreneurship? A review of recent research. Small Business Economics, 29(4), 351–382.</w:t>
      </w:r>
    </w:p>
    <w:p w14:paraId="2A0BD72D" w14:textId="77777777" w:rsidR="0041152A" w:rsidRPr="00014FA7" w:rsidRDefault="0041152A" w:rsidP="0041152A">
      <w:pPr>
        <w:spacing w:after="60"/>
        <w:rPr>
          <w:sz w:val="20"/>
          <w:lang w:val="en-US"/>
        </w:rPr>
      </w:pPr>
      <w:proofErr w:type="spellStart"/>
      <w:r w:rsidRPr="00014FA7">
        <w:rPr>
          <w:sz w:val="20"/>
          <w:lang w:val="en-US"/>
        </w:rPr>
        <w:t>Vivarelli</w:t>
      </w:r>
      <w:proofErr w:type="spellEnd"/>
      <w:r w:rsidRPr="00014FA7">
        <w:rPr>
          <w:sz w:val="20"/>
          <w:lang w:val="en-US"/>
        </w:rPr>
        <w:t xml:space="preserve">, M. (1991). The birth of new enterprises. Small Business Economics, 3, 215–223. </w:t>
      </w:r>
    </w:p>
    <w:p w14:paraId="234A9BA9" w14:textId="77777777" w:rsidR="0041152A" w:rsidRPr="00014FA7" w:rsidRDefault="0041152A" w:rsidP="0041152A">
      <w:pPr>
        <w:spacing w:after="60"/>
        <w:rPr>
          <w:sz w:val="20"/>
          <w:lang w:val="en-US"/>
        </w:rPr>
      </w:pPr>
      <w:proofErr w:type="spellStart"/>
      <w:r w:rsidRPr="00014FA7">
        <w:rPr>
          <w:sz w:val="20"/>
          <w:lang w:val="en-US"/>
        </w:rPr>
        <w:t>Vivarelli</w:t>
      </w:r>
      <w:proofErr w:type="spellEnd"/>
      <w:r w:rsidRPr="00014FA7">
        <w:rPr>
          <w:sz w:val="20"/>
          <w:lang w:val="en-US"/>
        </w:rPr>
        <w:t>, M. (2004). Are all the potential entrepreneurs so good? Small Business Economics, 23, 41–49.</w:t>
      </w:r>
    </w:p>
    <w:p w14:paraId="004272B9" w14:textId="77777777" w:rsidR="0041152A" w:rsidRPr="00014FA7" w:rsidRDefault="0041152A" w:rsidP="0041152A">
      <w:pPr>
        <w:spacing w:after="60"/>
        <w:rPr>
          <w:sz w:val="20"/>
          <w:lang w:val="en-US"/>
        </w:rPr>
      </w:pPr>
      <w:proofErr w:type="spellStart"/>
      <w:r w:rsidRPr="00014FA7">
        <w:rPr>
          <w:sz w:val="20"/>
          <w:lang w:val="en-US"/>
        </w:rPr>
        <w:t>Vivarelli</w:t>
      </w:r>
      <w:proofErr w:type="spellEnd"/>
      <w:r w:rsidRPr="00014FA7">
        <w:rPr>
          <w:sz w:val="20"/>
          <w:lang w:val="en-US"/>
        </w:rPr>
        <w:t>, M. (2007). Entry and Post-Entry Performance of Newborn Firms. Routledge: London.</w:t>
      </w:r>
    </w:p>
    <w:p w14:paraId="1037CBE5" w14:textId="77777777" w:rsidR="0041152A" w:rsidRPr="00014FA7" w:rsidRDefault="0041152A" w:rsidP="0041152A">
      <w:pPr>
        <w:spacing w:after="60"/>
        <w:rPr>
          <w:sz w:val="20"/>
          <w:lang w:val="en-US"/>
        </w:rPr>
      </w:pPr>
      <w:proofErr w:type="spellStart"/>
      <w:r w:rsidRPr="00014FA7">
        <w:rPr>
          <w:sz w:val="20"/>
          <w:lang w:val="en-US"/>
        </w:rPr>
        <w:t>Vivarelli</w:t>
      </w:r>
      <w:proofErr w:type="spellEnd"/>
      <w:r w:rsidRPr="00014FA7">
        <w:rPr>
          <w:sz w:val="20"/>
          <w:lang w:val="en-US"/>
        </w:rPr>
        <w:t xml:space="preserve">, M., &amp; </w:t>
      </w:r>
      <w:proofErr w:type="spellStart"/>
      <w:r w:rsidRPr="00014FA7">
        <w:rPr>
          <w:sz w:val="20"/>
          <w:lang w:val="en-US"/>
        </w:rPr>
        <w:t>Audretsch</w:t>
      </w:r>
      <w:proofErr w:type="spellEnd"/>
      <w:r w:rsidRPr="00014FA7">
        <w:rPr>
          <w:sz w:val="20"/>
          <w:lang w:val="en-US"/>
        </w:rPr>
        <w:t>, D. B. (1998). The link between the entry decision and post-entry performance: evidence from Italy. Industrial and Corporate Change, 7, 485–500.</w:t>
      </w:r>
    </w:p>
    <w:p w14:paraId="4795DBDF" w14:textId="77777777" w:rsidR="0041152A" w:rsidRPr="00014FA7" w:rsidRDefault="0041152A" w:rsidP="0041152A">
      <w:pPr>
        <w:spacing w:after="60"/>
        <w:rPr>
          <w:sz w:val="20"/>
          <w:lang w:val="en-US"/>
        </w:rPr>
      </w:pPr>
      <w:proofErr w:type="spellStart"/>
      <w:r w:rsidRPr="00014FA7">
        <w:rPr>
          <w:sz w:val="20"/>
          <w:lang w:val="en-US"/>
        </w:rPr>
        <w:t>Vivarelli</w:t>
      </w:r>
      <w:proofErr w:type="spellEnd"/>
      <w:r w:rsidRPr="00014FA7">
        <w:rPr>
          <w:sz w:val="20"/>
          <w:lang w:val="en-US"/>
        </w:rPr>
        <w:t xml:space="preserve">, M., &amp; </w:t>
      </w:r>
      <w:proofErr w:type="spellStart"/>
      <w:r w:rsidRPr="00014FA7">
        <w:rPr>
          <w:sz w:val="20"/>
          <w:lang w:val="en-US"/>
        </w:rPr>
        <w:t>Santarelli</w:t>
      </w:r>
      <w:proofErr w:type="spellEnd"/>
      <w:r w:rsidRPr="00014FA7">
        <w:rPr>
          <w:sz w:val="20"/>
          <w:lang w:val="en-US"/>
        </w:rPr>
        <w:t>, E. (2007). Entrepreneurship and the process of firms’ entry, survival and growth. Industrial and Corporate Change, Volume 16, Number 3, pp. 455–488.</w:t>
      </w:r>
    </w:p>
    <w:p w14:paraId="5B20CD63" w14:textId="77777777" w:rsidR="0041152A" w:rsidRPr="00014FA7" w:rsidRDefault="0041152A" w:rsidP="0041152A">
      <w:pPr>
        <w:spacing w:after="60"/>
        <w:rPr>
          <w:sz w:val="20"/>
          <w:lang w:val="en-US"/>
        </w:rPr>
      </w:pPr>
      <w:proofErr w:type="spellStart"/>
      <w:r w:rsidRPr="00014FA7">
        <w:rPr>
          <w:sz w:val="20"/>
          <w:lang w:val="en-US"/>
        </w:rPr>
        <w:t>Wennberg</w:t>
      </w:r>
      <w:proofErr w:type="spellEnd"/>
      <w:r w:rsidRPr="00014FA7">
        <w:rPr>
          <w:sz w:val="20"/>
          <w:lang w:val="en-US"/>
        </w:rPr>
        <w:t xml:space="preserve">, K., </w:t>
      </w:r>
      <w:proofErr w:type="spellStart"/>
      <w:r w:rsidRPr="00014FA7">
        <w:rPr>
          <w:sz w:val="20"/>
          <w:lang w:val="en-US"/>
        </w:rPr>
        <w:t>Wiklund</w:t>
      </w:r>
      <w:proofErr w:type="spellEnd"/>
      <w:r w:rsidRPr="00014FA7">
        <w:rPr>
          <w:sz w:val="20"/>
          <w:lang w:val="en-US"/>
        </w:rPr>
        <w:t>, J., &amp; Wright, M. (2011). The effectiveness of university knowledge spillovers: Performance differences between university spinoffs and corporate spinoffs. Research Policy, 40(8), 1128-1143.</w:t>
      </w:r>
    </w:p>
    <w:p w14:paraId="1474370B" w14:textId="77777777" w:rsidR="0041152A" w:rsidRPr="00014FA7" w:rsidRDefault="0041152A" w:rsidP="0041152A">
      <w:pPr>
        <w:spacing w:after="60"/>
        <w:rPr>
          <w:sz w:val="20"/>
          <w:lang w:val="en-US"/>
        </w:rPr>
      </w:pPr>
      <w:proofErr w:type="spellStart"/>
      <w:r w:rsidRPr="00014FA7">
        <w:rPr>
          <w:sz w:val="20"/>
          <w:lang w:val="en-US"/>
        </w:rPr>
        <w:t>Wennekers</w:t>
      </w:r>
      <w:proofErr w:type="spellEnd"/>
      <w:r w:rsidRPr="00014FA7">
        <w:rPr>
          <w:sz w:val="20"/>
          <w:lang w:val="en-US"/>
        </w:rPr>
        <w:t xml:space="preserve">, S., &amp; </w:t>
      </w:r>
      <w:proofErr w:type="spellStart"/>
      <w:r w:rsidRPr="00014FA7">
        <w:rPr>
          <w:sz w:val="20"/>
          <w:lang w:val="en-US"/>
        </w:rPr>
        <w:t>Thurik</w:t>
      </w:r>
      <w:proofErr w:type="spellEnd"/>
      <w:r w:rsidRPr="00014FA7">
        <w:rPr>
          <w:sz w:val="20"/>
          <w:lang w:val="en-US"/>
        </w:rPr>
        <w:t>, A. R. (1999). Linking entrepreneurship and economic growth. Small Business Economics, 13(1), 27–55.</w:t>
      </w:r>
    </w:p>
    <w:p w14:paraId="49705FF0" w14:textId="77777777" w:rsidR="0041152A" w:rsidRPr="00014FA7" w:rsidRDefault="0041152A" w:rsidP="0041152A">
      <w:pPr>
        <w:spacing w:after="60"/>
        <w:rPr>
          <w:sz w:val="20"/>
          <w:lang w:val="en-US"/>
        </w:rPr>
      </w:pPr>
      <w:r w:rsidRPr="00014FA7">
        <w:rPr>
          <w:sz w:val="20"/>
          <w:lang w:val="en-US"/>
        </w:rPr>
        <w:t xml:space="preserve">Xu, B. (1998). A </w:t>
      </w:r>
      <w:proofErr w:type="spellStart"/>
      <w:r w:rsidRPr="00014FA7">
        <w:rPr>
          <w:sz w:val="20"/>
          <w:lang w:val="en-US"/>
        </w:rPr>
        <w:t>reestimation</w:t>
      </w:r>
      <w:proofErr w:type="spellEnd"/>
      <w:r w:rsidRPr="00014FA7">
        <w:rPr>
          <w:sz w:val="20"/>
          <w:lang w:val="en-US"/>
        </w:rPr>
        <w:t xml:space="preserve"> of the Evans-Jovanovic entrepreneurial choice model. Economics Letters, 58, 91–95.</w:t>
      </w:r>
    </w:p>
    <w:p w14:paraId="771D43D7" w14:textId="77777777" w:rsidR="0041152A" w:rsidRPr="00014FA7" w:rsidRDefault="0041152A" w:rsidP="0041152A">
      <w:pPr>
        <w:spacing w:after="60"/>
        <w:rPr>
          <w:sz w:val="20"/>
          <w:lang w:val="en-US"/>
        </w:rPr>
      </w:pPr>
      <w:proofErr w:type="spellStart"/>
      <w:r w:rsidRPr="00014FA7">
        <w:rPr>
          <w:sz w:val="20"/>
          <w:lang w:val="en-US"/>
        </w:rPr>
        <w:t>Zacharakis</w:t>
      </w:r>
      <w:proofErr w:type="spellEnd"/>
      <w:r w:rsidRPr="00014FA7">
        <w:rPr>
          <w:sz w:val="20"/>
          <w:lang w:val="en-US"/>
        </w:rPr>
        <w:t>, A. L., Bygrave, W. D., &amp; Shepherd, D. A. (2000). Global entrepreneurship monitor. national entrepreneurship assessment: United States of America, 2000 Executive Report. Babson College: Babson Park, MA.</w:t>
      </w:r>
    </w:p>
    <w:p w14:paraId="38C07E26" w14:textId="77777777" w:rsidR="0041152A" w:rsidRPr="0041152A" w:rsidRDefault="0041152A" w:rsidP="0041152A">
      <w:pPr>
        <w:spacing w:after="60"/>
        <w:rPr>
          <w:sz w:val="20"/>
        </w:rPr>
      </w:pPr>
      <w:r w:rsidRPr="00014FA7">
        <w:rPr>
          <w:sz w:val="20"/>
          <w:lang w:val="en-US"/>
        </w:rPr>
        <w:t xml:space="preserve">Zhou, H., Dekker, R., &amp; </w:t>
      </w:r>
      <w:proofErr w:type="spellStart"/>
      <w:r w:rsidRPr="00014FA7">
        <w:rPr>
          <w:sz w:val="20"/>
          <w:lang w:val="en-US"/>
        </w:rPr>
        <w:t>Kleinknecht</w:t>
      </w:r>
      <w:proofErr w:type="spellEnd"/>
      <w:r w:rsidRPr="00014FA7">
        <w:rPr>
          <w:sz w:val="20"/>
          <w:lang w:val="en-US"/>
        </w:rPr>
        <w:t xml:space="preserve">, A. (2011). Flexible labor and innovation performance: evidence from longitudinal firm-level data. </w:t>
      </w:r>
      <w:proofErr w:type="spellStart"/>
      <w:r w:rsidRPr="0041152A">
        <w:rPr>
          <w:sz w:val="20"/>
        </w:rPr>
        <w:t>Ind</w:t>
      </w:r>
      <w:proofErr w:type="spellEnd"/>
      <w:r w:rsidRPr="0041152A">
        <w:rPr>
          <w:sz w:val="20"/>
        </w:rPr>
        <w:t xml:space="preserve">. Corp. </w:t>
      </w:r>
      <w:proofErr w:type="spellStart"/>
      <w:r w:rsidRPr="0041152A">
        <w:rPr>
          <w:sz w:val="20"/>
        </w:rPr>
        <w:t>Change</w:t>
      </w:r>
      <w:proofErr w:type="spellEnd"/>
      <w:r w:rsidRPr="0041152A">
        <w:rPr>
          <w:sz w:val="20"/>
        </w:rPr>
        <w:t>, 20(3), 941–968.</w:t>
      </w:r>
    </w:p>
    <w:p w14:paraId="4BB45923" w14:textId="77777777" w:rsidR="00DB18B0" w:rsidRDefault="00DB18B0" w:rsidP="00DB18B0"/>
    <w:p w14:paraId="60CC6BAE" w14:textId="77777777" w:rsidR="003E31D4" w:rsidRPr="003E31D4" w:rsidRDefault="003E31D4" w:rsidP="003E31D4"/>
    <w:sectPr w:rsidR="003E31D4" w:rsidRPr="003E31D4" w:rsidSect="005875A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7918F" w14:textId="77777777" w:rsidR="00B1628C" w:rsidRDefault="00B1628C">
      <w:r>
        <w:separator/>
      </w:r>
    </w:p>
  </w:endnote>
  <w:endnote w:type="continuationSeparator" w:id="0">
    <w:p w14:paraId="312204A0" w14:textId="77777777" w:rsidR="00B1628C" w:rsidRDefault="00B16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Avant Garde Std Bk">
    <w:altName w:val="Calibri"/>
    <w:panose1 w:val="00000000000000000000"/>
    <w:charset w:val="00"/>
    <w:family w:val="swiss"/>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HelveticaNeueLT Std">
    <w:altName w:val="Arial"/>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Neue-Bold">
    <w:altName w:val="Sylfaen"/>
    <w:panose1 w:val="00000000000000000000"/>
    <w:charset w:val="00"/>
    <w:family w:val="swiss"/>
    <w:notTrueType/>
    <w:pitch w:val="default"/>
    <w:sig w:usb0="00000003" w:usb1="00000000" w:usb2="00000000" w:usb3="00000000" w:csb0="00000001" w:csb1="00000000"/>
  </w:font>
  <w:font w:name="HelveticaNeue-Light">
    <w:altName w:val="Arial"/>
    <w:panose1 w:val="00000000000000000000"/>
    <w:charset w:val="00"/>
    <w:family w:val="swiss"/>
    <w:notTrueType/>
    <w:pitch w:val="default"/>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FFE2E" w14:textId="77777777" w:rsidR="003B6596" w:rsidRPr="00FE5B8D" w:rsidRDefault="00B1628C">
    <w:pPr>
      <w:pStyle w:val="Pidipagina"/>
    </w:pPr>
    <w:sdt>
      <w:sdtPr>
        <w:rPr>
          <w:color w:val="446530" w:themeColor="accent2" w:themeShade="80"/>
        </w:rPr>
        <w:alias w:val="Data"/>
        <w:tag w:val=""/>
        <w:id w:val="1522045982"/>
        <w:dataBinding w:prefixMappings="xmlns:ns0='http://schemas.microsoft.com/office/2006/coverPageProps' " w:xpath="/ns0:CoverPageProperties[1]/ns0:PublishDate[1]" w:storeItemID="{55AF091B-3C7A-41E3-B477-F2FDAA23CFDA}"/>
        <w:date w:fullDate="2021-12-01T00:00:00Z">
          <w:dateFormat w:val="MMMM yyyy"/>
          <w:lid w:val="it-IT"/>
          <w:storeMappedDataAs w:val="dateTime"/>
          <w:calendar w:val="gregorian"/>
        </w:date>
      </w:sdtPr>
      <w:sdtEndPr/>
      <w:sdtContent>
        <w:r w:rsidR="003B6596">
          <w:rPr>
            <w:color w:val="446530" w:themeColor="accent2" w:themeShade="80"/>
          </w:rPr>
          <w:t>dicembre 2021</w:t>
        </w:r>
      </w:sdtContent>
    </w:sdt>
    <w:r w:rsidR="003B6596">
      <w:fldChar w:fldCharType="begin"/>
    </w:r>
    <w:r w:rsidR="003B6596" w:rsidRPr="004D0BA2">
      <w:rPr>
        <w:rFonts w:ascii="Century Gothic" w:hAnsi="Century Gothic"/>
        <w:color w:val="F24F4F"/>
      </w:rPr>
      <w:instrText>[Titolo piano aziendale]</w:instrText>
    </w:r>
    <w:r w:rsidR="003B6596">
      <w:fldChar w:fldCharType="separate"/>
    </w:r>
    <w:r w:rsidR="003B6596" w:rsidRPr="004D0BA2">
      <w:rPr>
        <w:rFonts w:ascii="Century Gothic" w:hAnsi="Century Gothic"/>
        <w:color w:val="F24F4F"/>
      </w:rPr>
      <w:t xml:space="preserve"> - </w:t>
    </w:r>
    <w:r w:rsidR="003B6596">
      <w:rPr>
        <w:noProof/>
      </w:rPr>
      <w:fldChar w:fldCharType="end"/>
    </w:r>
    <w:r w:rsidR="003B6596">
      <w:ptab w:relativeTo="margin" w:alignment="right" w:leader="none"/>
    </w:r>
    <w:r w:rsidR="003B6596" w:rsidRPr="00F2786B">
      <w:rPr>
        <w:color w:val="446530" w:themeColor="accent2" w:themeShade="80"/>
      </w:rPr>
      <w:fldChar w:fldCharType="begin"/>
    </w:r>
    <w:r w:rsidR="003B6596" w:rsidRPr="00F2786B">
      <w:rPr>
        <w:color w:val="446530" w:themeColor="accent2" w:themeShade="80"/>
      </w:rPr>
      <w:instrText xml:space="preserve"> PAGE   \* MERGEFORMAT </w:instrText>
    </w:r>
    <w:r w:rsidR="003B6596" w:rsidRPr="00F2786B">
      <w:rPr>
        <w:color w:val="446530" w:themeColor="accent2" w:themeShade="80"/>
      </w:rPr>
      <w:fldChar w:fldCharType="separate"/>
    </w:r>
    <w:r w:rsidR="00BC05DE">
      <w:rPr>
        <w:noProof/>
        <w:color w:val="446530" w:themeColor="accent2" w:themeShade="80"/>
      </w:rPr>
      <w:t>4</w:t>
    </w:r>
    <w:r w:rsidR="003B6596" w:rsidRPr="00F2786B">
      <w:rPr>
        <w:noProof/>
        <w:color w:val="446530" w:themeColor="accent2" w:themeShade="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3A036" w14:textId="77777777" w:rsidR="00B1628C" w:rsidRDefault="00B1628C">
      <w:r>
        <w:separator/>
      </w:r>
    </w:p>
  </w:footnote>
  <w:footnote w:type="continuationSeparator" w:id="0">
    <w:p w14:paraId="35844D20" w14:textId="77777777" w:rsidR="00B1628C" w:rsidRDefault="00B1628C">
      <w:r>
        <w:continuationSeparator/>
      </w:r>
    </w:p>
  </w:footnote>
  <w:footnote w:id="1">
    <w:p w14:paraId="63A5E4D1" w14:textId="77777777" w:rsidR="003B6596" w:rsidRDefault="003B6596" w:rsidP="00CC6B8A">
      <w:pPr>
        <w:pStyle w:val="Testonotaapidipagina"/>
      </w:pPr>
      <w:r>
        <w:rPr>
          <w:rStyle w:val="Rimandonotaapidipagina"/>
        </w:rPr>
        <w:footnoteRef/>
      </w:r>
      <w:r>
        <w:t xml:space="preserve"> Asse I Ricerca, sviluppo tecnologico e innovazione (OT1); Asse II Migliorare l’accesso alle tecnologie dell’informazione (OT2); Asse III Promuovere la competitività delle piccole e medie imprese (OT3).</w:t>
      </w:r>
    </w:p>
  </w:footnote>
  <w:footnote w:id="2">
    <w:p w14:paraId="6E480336" w14:textId="77777777" w:rsidR="003B6596" w:rsidRDefault="003B6596" w:rsidP="00CC6B8A">
      <w:pPr>
        <w:pStyle w:val="Testonotaapidipagina"/>
      </w:pPr>
      <w:r>
        <w:rPr>
          <w:rStyle w:val="Rimandonotaapidipagina"/>
        </w:rPr>
        <w:footnoteRef/>
      </w:r>
      <w:r>
        <w:t xml:space="preserve"> Priorità FEASR: I Trasferimento di conoscenze e innovazione nel settore agricolo e forestale e nelle zone rurali; II Competitività e redditività delle aziende agricole, gestione sostenibile delle foreste; III Organizzazione della filiera alimentare, incluse la trasformazione e la commercializzazione dei prodotti agricoli, il benessere degli animali e la gestione dei rischi.</w:t>
      </w:r>
    </w:p>
  </w:footnote>
  <w:footnote w:id="3">
    <w:p w14:paraId="5BB00DED" w14:textId="77777777" w:rsidR="003B6596" w:rsidRDefault="003B6596">
      <w:pPr>
        <w:pStyle w:val="Testonotaapidipagina"/>
      </w:pPr>
      <w:r>
        <w:rPr>
          <w:rStyle w:val="Rimandonotaapidipagina"/>
        </w:rPr>
        <w:footnoteRef/>
      </w:r>
      <w:r>
        <w:t xml:space="preserve"> </w:t>
      </w:r>
      <w:r w:rsidRPr="00737A76">
        <w:t>Il Bando sos</w:t>
      </w:r>
      <w:r>
        <w:t>tiene lo sviluppo di</w:t>
      </w:r>
      <w:r w:rsidRPr="00737A76">
        <w:t xml:space="preserve"> 9 Cluster Tecnologici Lombardi riconosciuti da Regione Lombardia in specifiche aree tecnologiche</w:t>
      </w:r>
      <w:r>
        <w:t>, per favorire</w:t>
      </w:r>
      <w:r w:rsidRPr="00737A76">
        <w:t xml:space="preserve"> </w:t>
      </w:r>
      <w:r>
        <w:t xml:space="preserve">la </w:t>
      </w:r>
      <w:r w:rsidRPr="00737A76">
        <w:t>competitività e dell’attrattività del territorio</w:t>
      </w:r>
      <w:r>
        <w:t xml:space="preserve"> e </w:t>
      </w:r>
      <w:r w:rsidRPr="00737A76">
        <w:t>degli attori del sistema della ricerca</w:t>
      </w:r>
      <w:r>
        <w:t xml:space="preserve">, promuovere la visibilità </w:t>
      </w:r>
      <w:r w:rsidRPr="00737A76">
        <w:t>delle eccellenze lombarde e facilitarne la collaborazione anche a livello internazionale.</w:t>
      </w:r>
    </w:p>
  </w:footnote>
  <w:footnote w:id="4">
    <w:p w14:paraId="0C1318BD" w14:textId="77777777" w:rsidR="003B6596" w:rsidRDefault="003B6596">
      <w:pPr>
        <w:pStyle w:val="Testonotaapidipagina"/>
      </w:pPr>
      <w:r>
        <w:rPr>
          <w:rStyle w:val="Rimandonotaapidipagina"/>
        </w:rPr>
        <w:footnoteRef/>
      </w:r>
      <w:r>
        <w:t xml:space="preserve"> Si veda l’allegato della seduta del 27 maggio 2021 del </w:t>
      </w:r>
      <w:proofErr w:type="spellStart"/>
      <w:r>
        <w:t>CdS</w:t>
      </w:r>
      <w:proofErr w:type="spellEnd"/>
      <w:r>
        <w:t xml:space="preserve">: “Rapporto Annuale 2020, Stato Avanzamento 2021, Prospettive chiusura 2023”. Disponibile al seguente link </w:t>
      </w:r>
      <w:hyperlink r:id="rId1" w:history="1">
        <w:r w:rsidRPr="002F423C">
          <w:rPr>
            <w:rStyle w:val="Collegamentoipertestuale"/>
          </w:rPr>
          <w:t>https://www.fesr.regione.lombardia.it/wps/portal/PROUE/FESR/autorita-e-organi/comitato-di-sorveglianza</w:t>
        </w:r>
      </w:hyperlink>
      <w:r>
        <w:tab/>
      </w:r>
    </w:p>
  </w:footnote>
  <w:footnote w:id="5">
    <w:p w14:paraId="53A8C3C1" w14:textId="77777777" w:rsidR="003B6596" w:rsidRDefault="003B6596" w:rsidP="00C73BF9">
      <w:pPr>
        <w:pStyle w:val="Testonotaapidipagina"/>
      </w:pPr>
      <w:r>
        <w:rPr>
          <w:rStyle w:val="Rimandonotaapidipagina"/>
        </w:rPr>
        <w:footnoteRef/>
      </w:r>
      <w:r>
        <w:t xml:space="preserve"> Regione Lombardia DELIBERAZIONE N° XI / 3596 Seduta del 28/09/2020. Disponibile al seguente link </w:t>
      </w:r>
      <w:hyperlink r:id="rId2" w:history="1">
        <w:r w:rsidRPr="00FE600D">
          <w:rPr>
            <w:rStyle w:val="Collegamentoipertestuale"/>
          </w:rPr>
          <w:t>https://www.fesr.regione.lombardia.it/wps/wcm/connect/2154aec8-6a87-41d0-aa1f-f168322b9bb4/dgr+3596_2020+riprogrammazione+por+fesr+2014-2020.pdf?MOD=AJPERES&amp;CONVERT_TO=url&amp;CACHEID=ROOTWORKSPACE-2154aec8-6a87-41d0-aa1f-f168322b9bb4-njuMLfz</w:t>
        </w:r>
      </w:hyperlink>
    </w:p>
  </w:footnote>
  <w:footnote w:id="6">
    <w:p w14:paraId="0C6AACB1" w14:textId="77777777" w:rsidR="003B6596" w:rsidRDefault="003B6596">
      <w:pPr>
        <w:pStyle w:val="Testonotaapidipagina"/>
      </w:pPr>
      <w:r>
        <w:rPr>
          <w:rStyle w:val="Rimandonotaapidipagina"/>
        </w:rPr>
        <w:footnoteRef/>
      </w:r>
      <w:r>
        <w:t xml:space="preserve"> </w:t>
      </w:r>
      <w:r w:rsidRPr="00932390">
        <w:rPr>
          <w:rFonts w:cs="Arial"/>
          <w:szCs w:val="22"/>
        </w:rPr>
        <w:t>100 M</w:t>
      </w:r>
      <w:r>
        <w:rPr>
          <w:rFonts w:cs="Arial"/>
          <w:szCs w:val="22"/>
        </w:rPr>
        <w:t>euro</w:t>
      </w:r>
      <w:r w:rsidRPr="00932390">
        <w:rPr>
          <w:rFonts w:cs="Arial"/>
          <w:szCs w:val="22"/>
        </w:rPr>
        <w:t xml:space="preserve"> derivanti dallo spostamento, sul Fo</w:t>
      </w:r>
      <w:r>
        <w:rPr>
          <w:rFonts w:cs="Arial"/>
          <w:szCs w:val="22"/>
        </w:rPr>
        <w:t>ndo di Sviluppo e Coesione</w:t>
      </w:r>
      <w:r w:rsidRPr="00932390">
        <w:rPr>
          <w:rFonts w:cs="Arial"/>
          <w:szCs w:val="22"/>
        </w:rPr>
        <w:t>, di risorse già programmate per l’Avviso Dote Unica Lavoro fase III a valere sull’Asse I del POR</w:t>
      </w:r>
      <w:r>
        <w:rPr>
          <w:rFonts w:cs="Arial"/>
          <w:szCs w:val="22"/>
        </w:rPr>
        <w:t xml:space="preserve"> FSE</w:t>
      </w:r>
      <w:r w:rsidRPr="00932390">
        <w:rPr>
          <w:rFonts w:cs="Arial"/>
          <w:szCs w:val="22"/>
        </w:rPr>
        <w:t>, mentre i restanti 68,5 M</w:t>
      </w:r>
      <w:r>
        <w:rPr>
          <w:rFonts w:cs="Arial"/>
          <w:szCs w:val="22"/>
        </w:rPr>
        <w:t>euro</w:t>
      </w:r>
      <w:r w:rsidRPr="00932390">
        <w:rPr>
          <w:rFonts w:cs="Arial"/>
          <w:szCs w:val="22"/>
        </w:rPr>
        <w:t xml:space="preserve"> sono risorse non ancora programmate sul Programma al momento dell’</w:t>
      </w:r>
      <w:r w:rsidRPr="00932390">
        <w:rPr>
          <w:rFonts w:cs="Arial"/>
        </w:rPr>
        <w:t>Accordo tra il Ministro per il Sud e la Coesione Territoriale e il Presidente di Regione Lombardia (cosiddetto “Accordo Provenzano”)</w:t>
      </w:r>
      <w:r>
        <w:rPr>
          <w:rFonts w:cs="Arial"/>
        </w:rPr>
        <w:t>.</w:t>
      </w:r>
    </w:p>
  </w:footnote>
  <w:footnote w:id="7">
    <w:p w14:paraId="736FB327" w14:textId="77777777" w:rsidR="003B6596" w:rsidRDefault="003B6596">
      <w:pPr>
        <w:pStyle w:val="Testonotaapidipagina"/>
      </w:pPr>
      <w:r>
        <w:rPr>
          <w:rStyle w:val="Rimandonotaapidipagina"/>
        </w:rPr>
        <w:footnoteRef/>
      </w:r>
      <w:r>
        <w:t xml:space="preserve"> Si noti che, a</w:t>
      </w:r>
      <w:r w:rsidRPr="00F66338">
        <w:t xml:space="preserve"> seguito della riprogrammazione, la dotazione finanziaria dell’A</w:t>
      </w:r>
      <w:r>
        <w:t>sse I è stata portata a 236,7 Meuro</w:t>
      </w:r>
      <w:r w:rsidRPr="00F66338">
        <w:t xml:space="preserve"> (121,3 M</w:t>
      </w:r>
      <w:r>
        <w:t>euro</w:t>
      </w:r>
      <w:r w:rsidRPr="00F66338">
        <w:t xml:space="preserve"> </w:t>
      </w:r>
      <w:r>
        <w:t xml:space="preserve"> in meno </w:t>
      </w:r>
      <w:r w:rsidRPr="00F66338">
        <w:t xml:space="preserve">rispetto a prima). </w:t>
      </w:r>
    </w:p>
  </w:footnote>
  <w:footnote w:id="8">
    <w:p w14:paraId="1F38C97E" w14:textId="77777777" w:rsidR="003B6596" w:rsidRDefault="003B6596">
      <w:pPr>
        <w:pStyle w:val="Testonotaapidipagina"/>
      </w:pPr>
      <w:r>
        <w:rPr>
          <w:rStyle w:val="Rimandonotaapidipagina"/>
        </w:rPr>
        <w:footnoteRef/>
      </w:r>
      <w:r>
        <w:t xml:space="preserve"> Le risorse della DUL fase III, pari a 100 Meuro, sono state spostate sull’FSC. </w:t>
      </w:r>
    </w:p>
  </w:footnote>
  <w:footnote w:id="9">
    <w:p w14:paraId="6096B705" w14:textId="77777777" w:rsidR="003B6596" w:rsidRDefault="003B6596" w:rsidP="00F517FE">
      <w:pPr>
        <w:pStyle w:val="Testonotaapidipagina"/>
      </w:pPr>
      <w:r>
        <w:rPr>
          <w:rStyle w:val="Rimandonotaapidipagina"/>
        </w:rPr>
        <w:footnoteRef/>
      </w:r>
      <w:r>
        <w:t xml:space="preserve"> Si veda la “RELAZIONE DI ACCOMPAGNAMENTO ALLA RIPROGRAMMAZIONE POR FSE 2014-2020 REGIONE LOMBARDIA” disponibile al seguente link: </w:t>
      </w:r>
      <w:hyperlink r:id="rId3" w:history="1">
        <w:r w:rsidRPr="00F517FE">
          <w:rPr>
            <w:rStyle w:val="Collegamentoipertestuale"/>
          </w:rPr>
          <w:t>https://www.fse.regione.lombardia.it/wps/wcm/connect/2493feb1-7531-4287-a774-bf3a33b4fc4a/Relazione+di+riprogrammazione+POR+FSE+6.0_+v+3.0_29092020.pdf?MOD=AJPERES&amp;CONVERT_TO=url&amp;CACHEID=ROOTWORKSPACE-2493feb1-7531-4287-a774-bf3a33b4fc4a-nrtj3bs</w:t>
        </w:r>
      </w:hyperlink>
    </w:p>
  </w:footnote>
  <w:footnote w:id="10">
    <w:p w14:paraId="10F82944" w14:textId="77777777" w:rsidR="003B6596" w:rsidRDefault="003B6596" w:rsidP="008A4FCA">
      <w:pPr>
        <w:pStyle w:val="Testonotaapidipagina"/>
      </w:pPr>
      <w:r>
        <w:rPr>
          <w:rStyle w:val="Rimandonotaapidipagina"/>
        </w:rPr>
        <w:footnoteRef/>
      </w:r>
      <w:r>
        <w:t xml:space="preserve"> Si veda la “RELAZIONE DI ACCOMPAGNAMENTO ALLA RIPROGRAMMAZIONE POR FSE 2014-2020 REGIONE LOMBARDIA” disponibile al seguente link: </w:t>
      </w:r>
      <w:hyperlink r:id="rId4" w:history="1">
        <w:r w:rsidRPr="00F517FE">
          <w:rPr>
            <w:rStyle w:val="Collegamentoipertestuale"/>
          </w:rPr>
          <w:t>https://www.fse.regione.lombardia.it/wps/wcm/connect/2493feb1-7531-4287-a774-bf3a33b4fc4a/Relazione+di+riprogrammazione+POR+FSE+6.0_+v+3.0_29092020.pdf?MOD=AJPERES&amp;CONVERT_TO=url&amp;CACHEID=ROOTWORKSPACE-2493feb1-7531-4287-a774-bf3a33b4fc4a-nrtj3bs</w:t>
        </w:r>
      </w:hyperlink>
    </w:p>
  </w:footnote>
  <w:footnote w:id="11">
    <w:p w14:paraId="1B53BF24" w14:textId="77777777" w:rsidR="003B6596" w:rsidRDefault="003B6596" w:rsidP="002800B4">
      <w:pPr>
        <w:pStyle w:val="Testonotaapidipagina"/>
      </w:pPr>
      <w:r>
        <w:rPr>
          <w:rStyle w:val="Rimandonotaapidipagina"/>
        </w:rPr>
        <w:footnoteRef/>
      </w:r>
      <w:r>
        <w:t xml:space="preserve"> Art. 38 del Decreto Rilancio (D.L. N.34/2020) “Rafforzamento dell’ecosistema delle startup innovative”</w:t>
      </w:r>
    </w:p>
  </w:footnote>
  <w:footnote w:id="12">
    <w:p w14:paraId="76D88CB6" w14:textId="77777777" w:rsidR="003B6596" w:rsidRDefault="003B6596" w:rsidP="002800B4">
      <w:pPr>
        <w:pStyle w:val="Testonotaapidipagina"/>
      </w:pPr>
      <w:r>
        <w:rPr>
          <w:rStyle w:val="Rimandonotaapidipagina"/>
        </w:rPr>
        <w:footnoteRef/>
      </w:r>
      <w:r>
        <w:t xml:space="preserve"> “Regional Innovation </w:t>
      </w:r>
      <w:proofErr w:type="spellStart"/>
      <w:r>
        <w:t>Scoreboard</w:t>
      </w:r>
      <w:proofErr w:type="spellEnd"/>
      <w:r>
        <w:t xml:space="preserve"> 2021”, </w:t>
      </w:r>
      <w:proofErr w:type="spellStart"/>
      <w:r>
        <w:t>European</w:t>
      </w:r>
      <w:proofErr w:type="spellEnd"/>
      <w:r>
        <w:t xml:space="preserve"> Commission (2021); “Regional Innovation </w:t>
      </w:r>
      <w:proofErr w:type="spellStart"/>
      <w:r>
        <w:t>Scoreboard</w:t>
      </w:r>
      <w:proofErr w:type="spellEnd"/>
      <w:r>
        <w:t xml:space="preserve"> 2021”, </w:t>
      </w:r>
      <w:proofErr w:type="spellStart"/>
      <w:r>
        <w:t>European</w:t>
      </w:r>
      <w:proofErr w:type="spellEnd"/>
      <w:r>
        <w:t xml:space="preserve"> Commission (2019)</w:t>
      </w:r>
    </w:p>
  </w:footnote>
  <w:footnote w:id="13">
    <w:p w14:paraId="6C9B0AA4" w14:textId="77777777" w:rsidR="003B6596" w:rsidRDefault="003B6596" w:rsidP="002800B4">
      <w:pPr>
        <w:pStyle w:val="Testonotaapidipagina"/>
      </w:pPr>
      <w:r>
        <w:rPr>
          <w:rStyle w:val="Rimandonotaapidipagina"/>
        </w:rPr>
        <w:footnoteRef/>
      </w:r>
      <w:r>
        <w:t xml:space="preserve"> “Economie regionali – L’economia della Lombardia”, numero 3 - Giugno 2020. Disponibile al link: </w:t>
      </w:r>
      <w:hyperlink r:id="rId5" w:history="1">
        <w:r w:rsidRPr="00A71B33">
          <w:rPr>
            <w:rStyle w:val="Collegamentoipertestuale"/>
          </w:rPr>
          <w:t>https://www.bancaditalia.it/pubblicazioni/economie-regionali/2020/2020-0003/2003-lombardia.pdf</w:t>
        </w:r>
      </w:hyperlink>
    </w:p>
  </w:footnote>
  <w:footnote w:id="14">
    <w:p w14:paraId="12F41E68" w14:textId="77777777" w:rsidR="003B6596" w:rsidRPr="00AB3F10" w:rsidRDefault="003B6596" w:rsidP="002800B4">
      <w:pPr>
        <w:pStyle w:val="Testonotaapidipagina"/>
        <w:rPr>
          <w:lang w:val="en-GB"/>
        </w:rPr>
      </w:pPr>
      <w:r>
        <w:rPr>
          <w:rStyle w:val="Rimandonotaapidipagina"/>
        </w:rPr>
        <w:footnoteRef/>
      </w:r>
      <w:r w:rsidRPr="00AB3F10">
        <w:rPr>
          <w:lang w:val="en-GB"/>
        </w:rPr>
        <w:t xml:space="preserve"> </w:t>
      </w:r>
      <w:proofErr w:type="spellStart"/>
      <w:r w:rsidRPr="00AB3F10">
        <w:rPr>
          <w:lang w:val="en-GB"/>
        </w:rPr>
        <w:t>Stryber</w:t>
      </w:r>
      <w:proofErr w:type="spellEnd"/>
      <w:r w:rsidRPr="00AB3F10">
        <w:rPr>
          <w:lang w:val="en-GB"/>
        </w:rPr>
        <w:t xml:space="preserve">, </w:t>
      </w:r>
      <w:proofErr w:type="spellStart"/>
      <w:r w:rsidRPr="00AB3F10">
        <w:rPr>
          <w:lang w:val="en-GB"/>
        </w:rPr>
        <w:t>Startup</w:t>
      </w:r>
      <w:proofErr w:type="spellEnd"/>
      <w:r w:rsidRPr="00AB3F10">
        <w:rPr>
          <w:lang w:val="en-GB"/>
        </w:rPr>
        <w:t xml:space="preserve"> failure in Europe - </w:t>
      </w:r>
      <w:proofErr w:type="spellStart"/>
      <w:r w:rsidRPr="00AB3F10">
        <w:rPr>
          <w:lang w:val="en-GB"/>
        </w:rPr>
        <w:t>Indepth</w:t>
      </w:r>
      <w:proofErr w:type="spellEnd"/>
      <w:r w:rsidRPr="00AB3F10">
        <w:rPr>
          <w:lang w:val="en-GB"/>
        </w:rPr>
        <w:t xml:space="preserve"> analysis, 2020</w:t>
      </w:r>
    </w:p>
  </w:footnote>
  <w:footnote w:id="15">
    <w:p w14:paraId="3A3F33C1" w14:textId="77777777" w:rsidR="003B6596" w:rsidRDefault="003B6596">
      <w:pPr>
        <w:pStyle w:val="Testonotaapidipagina"/>
      </w:pPr>
      <w:r>
        <w:rPr>
          <w:rStyle w:val="Rimandonotaapidipagina"/>
        </w:rPr>
        <w:footnoteRef/>
      </w:r>
      <w:r>
        <w:t xml:space="preserve"> Il RAV non riporta risposte per cinque quesiti valutativi in quanto afferenti a bandi non ancora conclusi. L’analisi dell’efficacia di questi bandi sarà sviluppata nei prossimi anni.</w:t>
      </w:r>
    </w:p>
  </w:footnote>
  <w:footnote w:id="16">
    <w:p w14:paraId="25B140E4" w14:textId="77777777" w:rsidR="003B6596" w:rsidRDefault="003B6596" w:rsidP="003B3DCA">
      <w:pPr>
        <w:pStyle w:val="Testonotaapidipagina"/>
      </w:pPr>
      <w:r>
        <w:rPr>
          <w:rStyle w:val="Rimandonotaapidipagina"/>
        </w:rPr>
        <w:footnoteRef/>
      </w:r>
      <w:r>
        <w:t xml:space="preserve"> Il POR FESR Lombardia 2014-2020 mette in campo servizi specifici per l’avvio e lo sviluppo di nuove iniziative imprenditoriali e di autoimpiego, incentivi, contributi a fondo perduto e anche interventi di micro-finanza.</w:t>
      </w:r>
    </w:p>
  </w:footnote>
  <w:footnote w:id="17">
    <w:p w14:paraId="1C133323" w14:textId="77777777" w:rsidR="003B6596" w:rsidRDefault="003B6596" w:rsidP="003B3DCA">
      <w:pPr>
        <w:pStyle w:val="Testonotaapidipagina"/>
      </w:pPr>
      <w:r>
        <w:rPr>
          <w:rStyle w:val="Rimandonotaapidipagina"/>
        </w:rPr>
        <w:footnoteRef/>
      </w:r>
      <w:r>
        <w:t xml:space="preserve"> Tale scelta si è basata sul fatto che la Fase III dell’intervento ha subito delle interruzioni e modifiche nelle modalità di erogazione a causa della crisi pandemica da COVID-19, mentre la Fase IV di DUL ha visto l’avviso solo recentemente pubblicato.</w:t>
      </w:r>
      <w:r w:rsidR="00BC05DE">
        <w:t xml:space="preserve"> Questa fase è stata attivata </w:t>
      </w:r>
      <w:r w:rsidR="00BC05DE" w:rsidRPr="00BC05DE">
        <w:rPr>
          <w:rFonts w:cs="Arial"/>
          <w:szCs w:val="22"/>
        </w:rPr>
        <w:t xml:space="preserve">per </w:t>
      </w:r>
      <w:r w:rsidR="00BC05DE" w:rsidRPr="00BC05DE">
        <w:rPr>
          <w:rFonts w:cs="Arial"/>
        </w:rPr>
        <w:t xml:space="preserve">assicurare un maggiore supporto alla ricollocazione e riqualificazione professionale dei lavoratori coinvolti nella crisi e </w:t>
      </w:r>
      <w:r w:rsidR="00BC05DE">
        <w:rPr>
          <w:rFonts w:cs="Arial"/>
        </w:rPr>
        <w:t xml:space="preserve">per </w:t>
      </w:r>
      <w:r w:rsidR="00BC05DE" w:rsidRPr="00BC05DE">
        <w:rPr>
          <w:rFonts w:cs="Arial"/>
        </w:rPr>
        <w:t>garantire una maggiore corrispondenza tra i nuovi bisogni di sostegno delle persone ed i servizi erogati, rafforzando le attività di orientamento, formazione e accompagnamento al lavoro.</w:t>
      </w:r>
    </w:p>
  </w:footnote>
  <w:footnote w:id="18">
    <w:p w14:paraId="279D840F" w14:textId="77777777" w:rsidR="003B6596" w:rsidRDefault="003B6596" w:rsidP="003B3DCA">
      <w:pPr>
        <w:pStyle w:val="Testonotaapidipagina"/>
      </w:pPr>
      <w:r>
        <w:rPr>
          <w:rStyle w:val="Rimandonotaapidipagina"/>
        </w:rPr>
        <w:footnoteRef/>
      </w:r>
      <w:r>
        <w:t xml:space="preserve"> Si noti che, a partire dall’approvazione della Fase III (e come tuttora in vigore nella Fase IV), le attività previste nel filone autoimprenditorialità sono state leggermente modificate e, ad oggi, prevedono: percorsi specialistici mirati e consulenza specialistica (coaching, counseling, assistenza finalizzate allo sviluppo di un’idea imprenditoriale), ivi incluso il rinvio ai CPI; formazione per il business plan (definizione di dettaglio dell’idea imprenditoriale, acquisizione conoscenze/competenze, studi di fattibilità e ricerche di mercato, azioni di marketing territoriale e piani di comunicazione, etc.); formazione di accompagnamento all’autoimpiego e all’autoimprenditorialità; assistenza personalizzata per la stesura del business plan, con affiancamento specifico in relazione alla tipologia di attività; accompagnamento per l’accesso al credito e alla finanziabilità; servizi a sostegno della costituzione di impresa.</w:t>
      </w:r>
    </w:p>
  </w:footnote>
  <w:footnote w:id="19">
    <w:p w14:paraId="60DFEBB8" w14:textId="77777777" w:rsidR="003B6596" w:rsidRDefault="003B6596" w:rsidP="003B3DCA">
      <w:pPr>
        <w:pStyle w:val="Testonotaapidipagina"/>
      </w:pPr>
      <w:r>
        <w:rPr>
          <w:rStyle w:val="Rimandonotaapidipagina"/>
        </w:rPr>
        <w:footnoteRef/>
      </w:r>
      <w:r>
        <w:t xml:space="preserve"> Possono iscriversi all’Albo degli operatori accreditati presso la Regione Lombardia i seguenti soggetti: le imprese;</w:t>
      </w:r>
    </w:p>
    <w:p w14:paraId="0962DB7F" w14:textId="77777777" w:rsidR="003B6596" w:rsidRDefault="003B6596" w:rsidP="003B3DCA">
      <w:pPr>
        <w:pStyle w:val="Testonotaapidipagina"/>
      </w:pPr>
      <w:r>
        <w:t>le società e gli enti dotati di riconoscimento giuridico; i soggetti emanazione delle parti sociali in possesso dei requisiti previsti (si veda Delibera Giunta Regionale n. 2412 del 26 ottobre 2011); enti pubblici, singoli o associati che abbiano capacità giuridica e autonomia statutaria, il cui statuto preveda un puntale anche se non esclusivo, riferimento ad una o più attività attinenti ai servizi per i quali si chiede l’iscrizione all’albo.</w:t>
      </w:r>
    </w:p>
  </w:footnote>
  <w:footnote w:id="20">
    <w:p w14:paraId="308B4EF6" w14:textId="77777777" w:rsidR="003B6596" w:rsidRDefault="003B6596" w:rsidP="003B3DCA">
      <w:pPr>
        <w:pStyle w:val="Testonotaapidipagina"/>
      </w:pPr>
      <w:r>
        <w:rPr>
          <w:rStyle w:val="Rimandonotaapidipagina"/>
        </w:rPr>
        <w:footnoteRef/>
      </w:r>
      <w:r>
        <w:t xml:space="preserve"> Si noti che, secondo l’attuale manuale della Fase IV, il costo standard orario è pari a €40,00 per persona (il servizio è erogabile anche in gruppo e non solo individualmente). Attualmente, è prevista la partecipazione di soggetti appartenenti alle fasce di intensità di aiuto 2/3/4, i quali possono accedere a un numero massimo di ore di supporto da parte degli operatori pari a, rispettivamente, 15 ore/20 ore/25 ore.</w:t>
      </w:r>
    </w:p>
  </w:footnote>
  <w:footnote w:id="21">
    <w:p w14:paraId="6B60F334" w14:textId="77777777" w:rsidR="003B6596" w:rsidRDefault="003B6596" w:rsidP="003B3DCA">
      <w:pPr>
        <w:pStyle w:val="Testonotaapidipagina"/>
      </w:pPr>
      <w:r>
        <w:rPr>
          <w:rStyle w:val="Rimandonotaapidipagina"/>
        </w:rPr>
        <w:footnoteRef/>
      </w:r>
      <w:r>
        <w:t xml:space="preserve"> L’importo medio per la DUL Autoimprenditorialità richiesta nella Fase II è stato €3.809,97.</w:t>
      </w:r>
    </w:p>
  </w:footnote>
  <w:footnote w:id="22">
    <w:p w14:paraId="015F08CE" w14:textId="77777777" w:rsidR="003B6596" w:rsidRDefault="003B6596" w:rsidP="003B3DCA">
      <w:pPr>
        <w:pStyle w:val="Testonotaapidipagina"/>
      </w:pPr>
      <w:r>
        <w:rPr>
          <w:rStyle w:val="Rimandonotaapidipagina"/>
        </w:rPr>
        <w:footnoteRef/>
      </w:r>
      <w:r>
        <w:t xml:space="preserve"> Ciò trova riscontro anche nei risultati della survey, dalla quale è emerso che il 22% dei rispondenti ha aderito alla DUL Autoimprenditorialità poiché non aveva alternative lavorative.</w:t>
      </w:r>
    </w:p>
  </w:footnote>
  <w:footnote w:id="23">
    <w:p w14:paraId="35E18481" w14:textId="77777777" w:rsidR="003B6596" w:rsidRDefault="003B6596" w:rsidP="003B3DCA">
      <w:pPr>
        <w:pStyle w:val="Testonotaapidipagina"/>
      </w:pPr>
      <w:r>
        <w:rPr>
          <w:rStyle w:val="Rimandonotaapidipagina"/>
        </w:rPr>
        <w:footnoteRef/>
      </w:r>
      <w:r>
        <w:t xml:space="preserve"> I soggetti dovevano essere </w:t>
      </w:r>
      <w:r w:rsidRPr="002A41A9">
        <w:t>accreditati presso la Regione Lombardia come operatori per l’erogazione di servizi per il lavoro e la formazione</w:t>
      </w:r>
      <w:r>
        <w:t>.</w:t>
      </w:r>
    </w:p>
  </w:footnote>
  <w:footnote w:id="24">
    <w:p w14:paraId="27A50F26" w14:textId="77777777" w:rsidR="003B6596" w:rsidRDefault="003B6596" w:rsidP="003B3DCA">
      <w:pPr>
        <w:pStyle w:val="Testonotaapidipagina"/>
      </w:pPr>
      <w:r>
        <w:rPr>
          <w:rStyle w:val="Rimandonotaapidipagina"/>
        </w:rPr>
        <w:footnoteRef/>
      </w:r>
      <w:r>
        <w:t xml:space="preserve"> Bando approvato con Decreto n.962 del 28/01/2019</w:t>
      </w:r>
    </w:p>
  </w:footnote>
  <w:footnote w:id="25">
    <w:p w14:paraId="0242F249" w14:textId="77777777" w:rsidR="003B6596" w:rsidRPr="00C97D93" w:rsidRDefault="003B6596" w:rsidP="003B3DCA">
      <w:pPr>
        <w:pStyle w:val="Testonotaapidipagina"/>
        <w:contextualSpacing/>
        <w:rPr>
          <w:rFonts w:cs="Arial"/>
          <w:szCs w:val="18"/>
        </w:rPr>
      </w:pPr>
      <w:r w:rsidRPr="00C97D93">
        <w:rPr>
          <w:rStyle w:val="Rimandonotaapidipagina"/>
          <w:rFonts w:cs="Arial"/>
          <w:szCs w:val="18"/>
        </w:rPr>
        <w:footnoteRef/>
      </w:r>
      <w:r w:rsidRPr="00C97D93">
        <w:rPr>
          <w:rFonts w:cs="Arial"/>
          <w:szCs w:val="18"/>
        </w:rPr>
        <w:t xml:space="preserve"> </w:t>
      </w:r>
      <w:r w:rsidRPr="00813BA7">
        <w:rPr>
          <w:rFonts w:cs="Arial"/>
        </w:rPr>
        <w:t>I contenuti di questo primo modulo potevano riguardare: stesura di un primo piano di fattibilità dell’idea imprenditoriale, analisi di mercato, ricognizione di possibilità di finanziamento agevolato e incentivi esistenti, acquisizione di informazioni necessarie per l’elaborazione del business plan e stesura dello stesso, espletamento di adempimenti necessari ai fini dell'iscrizione dell'impresa alla CCIAA e/o dell'apertura di una partita IVA</w:t>
      </w:r>
      <w:r>
        <w:rPr>
          <w:rFonts w:cs="Arial"/>
        </w:rPr>
        <w:t>.</w:t>
      </w:r>
    </w:p>
  </w:footnote>
  <w:footnote w:id="26">
    <w:p w14:paraId="5D5586F3" w14:textId="77777777" w:rsidR="003B6596" w:rsidRPr="00C97D93" w:rsidRDefault="003B6596" w:rsidP="003B3DCA">
      <w:pPr>
        <w:pStyle w:val="Testonotaapidipagina"/>
        <w:contextualSpacing/>
        <w:rPr>
          <w:rFonts w:cs="Arial"/>
          <w:szCs w:val="18"/>
        </w:rPr>
      </w:pPr>
      <w:r w:rsidRPr="00C97D93">
        <w:rPr>
          <w:rStyle w:val="Rimandonotaapidipagina"/>
          <w:rFonts w:cs="Arial"/>
          <w:szCs w:val="18"/>
        </w:rPr>
        <w:footnoteRef/>
      </w:r>
      <w:r w:rsidRPr="00C97D93">
        <w:rPr>
          <w:rFonts w:cs="Arial"/>
          <w:szCs w:val="18"/>
        </w:rPr>
        <w:t xml:space="preserve"> </w:t>
      </w:r>
      <w:r>
        <w:rPr>
          <w:rFonts w:cs="Arial"/>
        </w:rPr>
        <w:t>La consulenza poteva essere inerente a:</w:t>
      </w:r>
      <w:r w:rsidRPr="00813BA7">
        <w:rPr>
          <w:rFonts w:cs="Arial"/>
        </w:rPr>
        <w:t xml:space="preserve"> strategie per competere sui mercati internazionali; lo sviluppo dell’impresa nel contesto europeo, le opportunità dei programmi e dei bandi europei a gestione diretta e gli strumenti per elaborare proposte efficaci, la creazione di reti; altri strumenti di finanziamento, utilizzo del crowdfunding; il diritto d’autore in campo culturale e la registrazione dei brevetti</w:t>
      </w:r>
      <w:r>
        <w:rPr>
          <w:rFonts w:cs="Arial"/>
        </w:rPr>
        <w:t>.</w:t>
      </w:r>
    </w:p>
  </w:footnote>
  <w:footnote w:id="27">
    <w:p w14:paraId="35270D78" w14:textId="77777777" w:rsidR="003B6596" w:rsidRDefault="003B6596" w:rsidP="003B3DCA">
      <w:pPr>
        <w:pStyle w:val="Testonotaapidipagina"/>
      </w:pPr>
      <w:r>
        <w:rPr>
          <w:rStyle w:val="Rimandonotaapidipagina"/>
        </w:rPr>
        <w:footnoteRef/>
      </w:r>
      <w:r>
        <w:t xml:space="preserve"> I costi diretti relativi alle risorse umane interne ed esterne impiegate nell’attività progettuale dovevano essere rendicontati a costi reali, mentre tutti gli altri costi diretti e indiretti ammissibili diversi da quelli di personale dovevano essere dichiarati su base forfettaria in una percentuale pari al 40% dei costi diretti del personale. Tra tali costi rientravano, a titolo esemplificativo, le spese generali, spese per la produzione di materiale di comunicazione, spese per la stipula dell’assicurazione infortuni per i team anche durante gli stage all’estero, spese di soggiorno connesse agli stage, spese per l’acquisizione di attività in delega o di servizi strumentali accessori presso soggetti terzi.</w:t>
      </w:r>
    </w:p>
  </w:footnote>
  <w:footnote w:id="28">
    <w:p w14:paraId="363C825F" w14:textId="77777777" w:rsidR="003B6596" w:rsidRDefault="003B6596" w:rsidP="003B3DCA">
      <w:pPr>
        <w:pStyle w:val="Testonotaapidipagina"/>
      </w:pPr>
      <w:r>
        <w:rPr>
          <w:rStyle w:val="Rimandonotaapidipagina"/>
        </w:rPr>
        <w:footnoteRef/>
      </w:r>
      <w:r>
        <w:t xml:space="preserve"> 4 progetti sono stati ammessi ma non sono stati finanziati per esaurimento delle risorse, mentre 5 sono stati giudicati inammissibili.</w:t>
      </w:r>
    </w:p>
  </w:footnote>
  <w:footnote w:id="29">
    <w:p w14:paraId="4A623ED1" w14:textId="77777777" w:rsidR="003B6596" w:rsidRDefault="003B6596" w:rsidP="003B3DCA">
      <w:pPr>
        <w:pStyle w:val="Testonotaapidipagina"/>
      </w:pPr>
      <w:r>
        <w:rPr>
          <w:rStyle w:val="Rimandonotaapidipagina"/>
        </w:rPr>
        <w:footnoteRef/>
      </w:r>
      <w:r>
        <w:t xml:space="preserve"> Si precisa che l’indagine CAWI è stata rivolta a tutto l’universo dei destinatari. Tuttavia, in 85 casi su 2.649 non è stato possibile rintracciare un contatto utile per l’invio del questionario</w:t>
      </w:r>
    </w:p>
  </w:footnote>
  <w:footnote w:id="30">
    <w:p w14:paraId="3610BCA1" w14:textId="77777777" w:rsidR="003B6596" w:rsidRDefault="003B6596" w:rsidP="003B3DCA">
      <w:pPr>
        <w:pStyle w:val="Testonotaapidipagina"/>
      </w:pPr>
      <w:r>
        <w:rPr>
          <w:rStyle w:val="Rimandonotaapidipagina"/>
        </w:rPr>
        <w:footnoteRef/>
      </w:r>
      <w:r>
        <w:t xml:space="preserve"> 335 rispondenti</w:t>
      </w:r>
    </w:p>
  </w:footnote>
  <w:footnote w:id="31">
    <w:p w14:paraId="3B214B20" w14:textId="77777777" w:rsidR="003B6596" w:rsidRDefault="003B6596" w:rsidP="003B3DCA">
      <w:pPr>
        <w:pStyle w:val="Testonotaapidipagina"/>
      </w:pPr>
      <w:r>
        <w:rPr>
          <w:rStyle w:val="Rimandonotaapidipagina"/>
        </w:rPr>
        <w:footnoteRef/>
      </w:r>
      <w:r>
        <w:t xml:space="preserve"> 331 rispondenti</w:t>
      </w:r>
    </w:p>
  </w:footnote>
  <w:footnote w:id="32">
    <w:p w14:paraId="074BCDEA" w14:textId="77777777" w:rsidR="003B6596" w:rsidRDefault="003B6596" w:rsidP="003B3DCA">
      <w:pPr>
        <w:pStyle w:val="Testonotaapidipagina"/>
      </w:pPr>
      <w:r>
        <w:rPr>
          <w:rStyle w:val="Rimandonotaapidipagina"/>
        </w:rPr>
        <w:footnoteRef/>
      </w:r>
      <w:r>
        <w:t xml:space="preserve"> 252 rispondenti</w:t>
      </w:r>
    </w:p>
  </w:footnote>
  <w:footnote w:id="33">
    <w:p w14:paraId="022741D5" w14:textId="77777777" w:rsidR="003B6596" w:rsidRDefault="003B6596" w:rsidP="003B3DCA">
      <w:pPr>
        <w:pStyle w:val="Testonotaapidipagina"/>
      </w:pPr>
      <w:r>
        <w:rPr>
          <w:rStyle w:val="Rimandonotaapidipagina"/>
        </w:rPr>
        <w:footnoteRef/>
      </w:r>
      <w:r>
        <w:t xml:space="preserve"> 367 rispondenti su 376</w:t>
      </w:r>
    </w:p>
  </w:footnote>
  <w:footnote w:id="34">
    <w:p w14:paraId="37154838" w14:textId="77777777" w:rsidR="003B6596" w:rsidRDefault="003B6596" w:rsidP="003B3DCA">
      <w:pPr>
        <w:pStyle w:val="Testonotaapidipagina"/>
      </w:pPr>
      <w:r>
        <w:rPr>
          <w:rStyle w:val="Rimandonotaapidipagina"/>
        </w:rPr>
        <w:footnoteRef/>
      </w:r>
      <w:r>
        <w:t xml:space="preserve"> 366 rispondenti su 376</w:t>
      </w:r>
    </w:p>
  </w:footnote>
  <w:footnote w:id="35">
    <w:p w14:paraId="46805CE5" w14:textId="77777777" w:rsidR="003B6596" w:rsidRDefault="003B6596" w:rsidP="003B3DCA">
      <w:pPr>
        <w:pStyle w:val="Testonotaapidipagina"/>
      </w:pPr>
      <w:r>
        <w:rPr>
          <w:rStyle w:val="Rimandonotaapidipagina"/>
        </w:rPr>
        <w:footnoteRef/>
      </w:r>
      <w:r>
        <w:t xml:space="preserve"> Nel questionario si dava la possibilità di indicare fino a un massimo di 3 criticità.</w:t>
      </w:r>
    </w:p>
  </w:footnote>
  <w:footnote w:id="36">
    <w:p w14:paraId="457891C9" w14:textId="77777777" w:rsidR="003B6596" w:rsidRDefault="003B6596" w:rsidP="00D83F0B">
      <w:pPr>
        <w:pStyle w:val="Testonotaapidipagina"/>
      </w:pPr>
      <w:r>
        <w:rPr>
          <w:rStyle w:val="Rimandonotaapidipagina"/>
        </w:rPr>
        <w:footnoteRef/>
      </w:r>
      <w:r>
        <w:t xml:space="preserve"> Si ricordano i percorsi IFTS volti alla formazione delle seguenti figure: </w:t>
      </w:r>
      <w:r w:rsidRPr="00646A06">
        <w:t xml:space="preserve">Tecnico del controllo e della tutela ambientale - </w:t>
      </w:r>
      <w:proofErr w:type="spellStart"/>
      <w:r w:rsidRPr="00646A06">
        <w:t>waste</w:t>
      </w:r>
      <w:proofErr w:type="spellEnd"/>
      <w:r w:rsidRPr="00646A06">
        <w:t xml:space="preserve"> manager; Tecnico per la gestione dell'ambiente e della qualità - esperto in controlli non distruttivi; Tecnico di monitoraggio e gestione del territorio e dell'ambiente - agroenergie e sostenibilità a</w:t>
      </w:r>
      <w:r>
        <w:t xml:space="preserve">mbientale;  Tecnico in processi; Tecnico </w:t>
      </w:r>
      <w:r w:rsidRPr="00F1153A">
        <w:t>di monitoraggio e gestione del territorio e dell'ambiente</w:t>
      </w:r>
      <w:r>
        <w:t xml:space="preserve">; </w:t>
      </w:r>
      <w:r w:rsidRPr="00F1153A">
        <w:t>Tecnico per l’istallazione e manutenzione di impianti meccatronici applicati a veicoli a motore</w:t>
      </w:r>
      <w:r>
        <w:t xml:space="preserve">; </w:t>
      </w:r>
      <w:r w:rsidRPr="00F1153A">
        <w:t>Food System Manager per la gestione e lo sviluppo sostenibile di imprese integrate</w:t>
      </w:r>
      <w:r>
        <w:t xml:space="preserve"> nel food system del territorio.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E5877" w14:textId="77777777" w:rsidR="003B6596" w:rsidRDefault="00B1628C">
    <w:pPr>
      <w:pStyle w:val="Intestazione"/>
    </w:pPr>
    <w:r>
      <w:rPr>
        <w:noProof/>
      </w:rPr>
      <w:pict w14:anchorId="73E64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10543173" o:spid="_x0000_s1026" type="#_x0000_t75" style="position:absolute;left:0;text-align:left;margin-left:0;margin-top:0;width:595.45pt;height:841.9pt;z-index:-251658752;mso-position-horizontal:center;mso-position-horizontal-relative:margin;mso-position-vertical:center;mso-position-vertical-relative:margin" o:allowincell="f">
          <v:imagedata r:id="rId1" o:title="Cornice_A4_verticale con loghi-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EA7E8E"/>
    <w:multiLevelType w:val="hybridMultilevel"/>
    <w:tmpl w:val="9EBE4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30885"/>
    <w:multiLevelType w:val="hybridMultilevel"/>
    <w:tmpl w:val="E9224B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0C4FF1"/>
    <w:multiLevelType w:val="hybridMultilevel"/>
    <w:tmpl w:val="4A224D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B1E2898"/>
    <w:multiLevelType w:val="hybridMultilevel"/>
    <w:tmpl w:val="F9BEAD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CD454E6"/>
    <w:multiLevelType w:val="hybridMultilevel"/>
    <w:tmpl w:val="6BE46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D52CE"/>
    <w:multiLevelType w:val="hybridMultilevel"/>
    <w:tmpl w:val="E4C64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B6412F"/>
    <w:multiLevelType w:val="hybridMultilevel"/>
    <w:tmpl w:val="BB787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075659"/>
    <w:multiLevelType w:val="hybridMultilevel"/>
    <w:tmpl w:val="AF94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A1EEF"/>
    <w:multiLevelType w:val="hybridMultilevel"/>
    <w:tmpl w:val="ED36B2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FCD3911"/>
    <w:multiLevelType w:val="hybridMultilevel"/>
    <w:tmpl w:val="E2EC2AFE"/>
    <w:lvl w:ilvl="0" w:tplc="9D58C13C">
      <w:start w:val="1"/>
      <w:numFmt w:val="bullet"/>
      <w:pStyle w:val="bulletpoin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0796878"/>
    <w:multiLevelType w:val="hybridMultilevel"/>
    <w:tmpl w:val="3E140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5315CD"/>
    <w:multiLevelType w:val="hybridMultilevel"/>
    <w:tmpl w:val="87B47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5F01CA"/>
    <w:multiLevelType w:val="hybridMultilevel"/>
    <w:tmpl w:val="C63ECC1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2887CE6"/>
    <w:multiLevelType w:val="hybridMultilevel"/>
    <w:tmpl w:val="2DF8FF36"/>
    <w:lvl w:ilvl="0" w:tplc="16D2E158">
      <w:numFmt w:val="bullet"/>
      <w:lvlText w:val="•"/>
      <w:lvlJc w:val="left"/>
      <w:pPr>
        <w:ind w:left="1080" w:hanging="720"/>
      </w:pPr>
      <w:rPr>
        <w:rFonts w:ascii="Calibri" w:eastAsiaTheme="minorEastAsia"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634597C"/>
    <w:multiLevelType w:val="hybridMultilevel"/>
    <w:tmpl w:val="587281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7396CDA"/>
    <w:multiLevelType w:val="hybridMultilevel"/>
    <w:tmpl w:val="570A7C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77D29C0"/>
    <w:multiLevelType w:val="hybridMultilevel"/>
    <w:tmpl w:val="E85A76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8660981"/>
    <w:multiLevelType w:val="hybridMultilevel"/>
    <w:tmpl w:val="940C303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0" w15:restartNumberingAfterBreak="0">
    <w:nsid w:val="2A105F9C"/>
    <w:multiLevelType w:val="hybridMultilevel"/>
    <w:tmpl w:val="4D94B9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E121268"/>
    <w:multiLevelType w:val="hybridMultilevel"/>
    <w:tmpl w:val="ACD86A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E467264"/>
    <w:multiLevelType w:val="hybridMultilevel"/>
    <w:tmpl w:val="5038FA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0254289"/>
    <w:multiLevelType w:val="hybridMultilevel"/>
    <w:tmpl w:val="956E2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9873C3"/>
    <w:multiLevelType w:val="hybridMultilevel"/>
    <w:tmpl w:val="9EACDA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4821B90"/>
    <w:multiLevelType w:val="hybridMultilevel"/>
    <w:tmpl w:val="D4460678"/>
    <w:lvl w:ilvl="0" w:tplc="9F480486">
      <w:start w:val="1"/>
      <w:numFmt w:val="bullet"/>
      <w:pStyle w:val="bullettable1"/>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4822D44"/>
    <w:multiLevelType w:val="hybridMultilevel"/>
    <w:tmpl w:val="977AB4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98F5800"/>
    <w:multiLevelType w:val="hybridMultilevel"/>
    <w:tmpl w:val="67882C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CE676DD"/>
    <w:multiLevelType w:val="hybridMultilevel"/>
    <w:tmpl w:val="A4B64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EE2841"/>
    <w:multiLevelType w:val="hybridMultilevel"/>
    <w:tmpl w:val="2196C6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E2A0AE2"/>
    <w:multiLevelType w:val="hybridMultilevel"/>
    <w:tmpl w:val="48C65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2C2A45"/>
    <w:multiLevelType w:val="hybridMultilevel"/>
    <w:tmpl w:val="AA0CFC32"/>
    <w:lvl w:ilvl="0" w:tplc="192E6CEA">
      <w:start w:val="1"/>
      <w:numFmt w:val="bullet"/>
      <w:lvlText w:val=""/>
      <w:lvlJc w:val="left"/>
      <w:pPr>
        <w:ind w:left="360" w:hanging="360"/>
      </w:pPr>
      <w:rPr>
        <w:rFonts w:ascii="Symbol" w:hAnsi="Symbol" w:hint="default"/>
        <w:color w:val="0C90CF"/>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3FCE72DD"/>
    <w:multiLevelType w:val="hybridMultilevel"/>
    <w:tmpl w:val="9886C1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1884E4B"/>
    <w:multiLevelType w:val="hybridMultilevel"/>
    <w:tmpl w:val="901056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D421035"/>
    <w:multiLevelType w:val="hybridMultilevel"/>
    <w:tmpl w:val="F30A8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0C2A41"/>
    <w:multiLevelType w:val="hybridMultilevel"/>
    <w:tmpl w:val="99F02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5C124F"/>
    <w:multiLevelType w:val="hybridMultilevel"/>
    <w:tmpl w:val="90EC191E"/>
    <w:lvl w:ilvl="0" w:tplc="91028286">
      <w:start w:val="1"/>
      <w:numFmt w:val="bullet"/>
      <w:pStyle w:val="bullettable2"/>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5BF3858"/>
    <w:multiLevelType w:val="hybridMultilevel"/>
    <w:tmpl w:val="9BCC5F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5EB61DB"/>
    <w:multiLevelType w:val="hybridMultilevel"/>
    <w:tmpl w:val="A210DA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6F42868"/>
    <w:multiLevelType w:val="hybridMultilevel"/>
    <w:tmpl w:val="C06451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8A915EA"/>
    <w:multiLevelType w:val="multilevel"/>
    <w:tmpl w:val="74682A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A577611"/>
    <w:multiLevelType w:val="hybridMultilevel"/>
    <w:tmpl w:val="5B6463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A9F4F38"/>
    <w:multiLevelType w:val="hybridMultilevel"/>
    <w:tmpl w:val="9656C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AD7257F"/>
    <w:multiLevelType w:val="hybridMultilevel"/>
    <w:tmpl w:val="5B0431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5B2679BC"/>
    <w:multiLevelType w:val="hybridMultilevel"/>
    <w:tmpl w:val="030AFB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5D9B3ACC"/>
    <w:multiLevelType w:val="hybridMultilevel"/>
    <w:tmpl w:val="C51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D03C2C"/>
    <w:multiLevelType w:val="multilevel"/>
    <w:tmpl w:val="F650E70C"/>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7" w15:restartNumberingAfterBreak="0">
    <w:nsid w:val="5FF04109"/>
    <w:multiLevelType w:val="hybridMultilevel"/>
    <w:tmpl w:val="8654EE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60D16EA3"/>
    <w:multiLevelType w:val="hybridMultilevel"/>
    <w:tmpl w:val="772099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6245473B"/>
    <w:multiLevelType w:val="hybridMultilevel"/>
    <w:tmpl w:val="A86815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683037D5"/>
    <w:multiLevelType w:val="hybridMultilevel"/>
    <w:tmpl w:val="571A19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021766B"/>
    <w:multiLevelType w:val="hybridMultilevel"/>
    <w:tmpl w:val="947029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702B0338"/>
    <w:multiLevelType w:val="hybridMultilevel"/>
    <w:tmpl w:val="61627F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2F02A22"/>
    <w:multiLevelType w:val="hybridMultilevel"/>
    <w:tmpl w:val="0E4A7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150F13"/>
    <w:multiLevelType w:val="hybridMultilevel"/>
    <w:tmpl w:val="31CCB7F0"/>
    <w:lvl w:ilvl="0" w:tplc="E4A6605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75127FB2"/>
    <w:multiLevelType w:val="hybridMultilevel"/>
    <w:tmpl w:val="6F8AA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5F33BB4"/>
    <w:multiLevelType w:val="hybridMultilevel"/>
    <w:tmpl w:val="275A0EBC"/>
    <w:lvl w:ilvl="0" w:tplc="04100001">
      <w:start w:val="1"/>
      <w:numFmt w:val="bullet"/>
      <w:lvlText w:val=""/>
      <w:lvlJc w:val="left"/>
      <w:pPr>
        <w:ind w:left="720" w:hanging="360"/>
      </w:pPr>
      <w:rPr>
        <w:rFonts w:ascii="Symbol" w:hAnsi="Symbol" w:hint="default"/>
      </w:rPr>
    </w:lvl>
    <w:lvl w:ilvl="1" w:tplc="7FA66E58">
      <w:numFmt w:val="bullet"/>
      <w:lvlText w:val="•"/>
      <w:lvlJc w:val="left"/>
      <w:pPr>
        <w:ind w:left="1800" w:hanging="720"/>
      </w:pPr>
      <w:rPr>
        <w:rFonts w:ascii="Calibri" w:eastAsiaTheme="minorEastAsia"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78581A03"/>
    <w:multiLevelType w:val="hybridMultilevel"/>
    <w:tmpl w:val="394686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7C4833F7"/>
    <w:multiLevelType w:val="hybridMultilevel"/>
    <w:tmpl w:val="AE28C1B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59" w15:restartNumberingAfterBreak="0">
    <w:nsid w:val="7C6E5BD3"/>
    <w:multiLevelType w:val="hybridMultilevel"/>
    <w:tmpl w:val="141CB9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5"/>
  </w:num>
  <w:num w:numId="2">
    <w:abstractNumId w:val="36"/>
  </w:num>
  <w:num w:numId="3">
    <w:abstractNumId w:val="11"/>
  </w:num>
  <w:num w:numId="4">
    <w:abstractNumId w:val="32"/>
  </w:num>
  <w:num w:numId="5">
    <w:abstractNumId w:val="14"/>
  </w:num>
  <w:num w:numId="6">
    <w:abstractNumId w:val="46"/>
  </w:num>
  <w:num w:numId="7">
    <w:abstractNumId w:val="54"/>
  </w:num>
  <w:num w:numId="8">
    <w:abstractNumId w:val="15"/>
  </w:num>
  <w:num w:numId="9">
    <w:abstractNumId w:val="45"/>
  </w:num>
  <w:num w:numId="10">
    <w:abstractNumId w:val="42"/>
  </w:num>
  <w:num w:numId="11">
    <w:abstractNumId w:val="35"/>
  </w:num>
  <w:num w:numId="12">
    <w:abstractNumId w:val="30"/>
  </w:num>
  <w:num w:numId="13">
    <w:abstractNumId w:val="23"/>
  </w:num>
  <w:num w:numId="14">
    <w:abstractNumId w:val="55"/>
  </w:num>
  <w:num w:numId="15">
    <w:abstractNumId w:val="53"/>
  </w:num>
  <w:num w:numId="16">
    <w:abstractNumId w:val="13"/>
  </w:num>
  <w:num w:numId="17">
    <w:abstractNumId w:val="7"/>
  </w:num>
  <w:num w:numId="18">
    <w:abstractNumId w:val="58"/>
  </w:num>
  <w:num w:numId="19">
    <w:abstractNumId w:val="9"/>
  </w:num>
  <w:num w:numId="20">
    <w:abstractNumId w:val="34"/>
  </w:num>
  <w:num w:numId="21">
    <w:abstractNumId w:val="28"/>
  </w:num>
  <w:num w:numId="22">
    <w:abstractNumId w:val="12"/>
  </w:num>
  <w:num w:numId="23">
    <w:abstractNumId w:val="19"/>
  </w:num>
  <w:num w:numId="24">
    <w:abstractNumId w:val="8"/>
  </w:num>
  <w:num w:numId="25">
    <w:abstractNumId w:val="2"/>
  </w:num>
  <w:num w:numId="26">
    <w:abstractNumId w:val="6"/>
  </w:num>
  <w:num w:numId="27">
    <w:abstractNumId w:val="59"/>
  </w:num>
  <w:num w:numId="28">
    <w:abstractNumId w:val="43"/>
  </w:num>
  <w:num w:numId="29">
    <w:abstractNumId w:val="40"/>
  </w:num>
  <w:num w:numId="30">
    <w:abstractNumId w:val="5"/>
  </w:num>
  <w:num w:numId="31">
    <w:abstractNumId w:val="57"/>
  </w:num>
  <w:num w:numId="32">
    <w:abstractNumId w:val="0"/>
  </w:num>
  <w:num w:numId="33">
    <w:abstractNumId w:val="1"/>
  </w:num>
  <w:num w:numId="34">
    <w:abstractNumId w:val="27"/>
  </w:num>
  <w:num w:numId="35">
    <w:abstractNumId w:val="52"/>
  </w:num>
  <w:num w:numId="36">
    <w:abstractNumId w:val="24"/>
  </w:num>
  <w:num w:numId="37">
    <w:abstractNumId w:val="47"/>
  </w:num>
  <w:num w:numId="38">
    <w:abstractNumId w:val="22"/>
  </w:num>
  <w:num w:numId="39">
    <w:abstractNumId w:val="18"/>
  </w:num>
  <w:num w:numId="40">
    <w:abstractNumId w:val="29"/>
  </w:num>
  <w:num w:numId="41">
    <w:abstractNumId w:val="39"/>
  </w:num>
  <w:num w:numId="42">
    <w:abstractNumId w:val="48"/>
  </w:num>
  <w:num w:numId="43">
    <w:abstractNumId w:val="33"/>
  </w:num>
  <w:num w:numId="44">
    <w:abstractNumId w:val="10"/>
  </w:num>
  <w:num w:numId="45">
    <w:abstractNumId w:val="26"/>
  </w:num>
  <w:num w:numId="46">
    <w:abstractNumId w:val="49"/>
  </w:num>
  <w:num w:numId="47">
    <w:abstractNumId w:val="17"/>
  </w:num>
  <w:num w:numId="48">
    <w:abstractNumId w:val="4"/>
  </w:num>
  <w:num w:numId="49">
    <w:abstractNumId w:val="16"/>
  </w:num>
  <w:num w:numId="50">
    <w:abstractNumId w:val="38"/>
  </w:num>
  <w:num w:numId="51">
    <w:abstractNumId w:val="37"/>
  </w:num>
  <w:num w:numId="52">
    <w:abstractNumId w:val="41"/>
  </w:num>
  <w:num w:numId="53">
    <w:abstractNumId w:val="50"/>
  </w:num>
  <w:num w:numId="54">
    <w:abstractNumId w:val="44"/>
  </w:num>
  <w:num w:numId="55">
    <w:abstractNumId w:val="56"/>
  </w:num>
  <w:num w:numId="56">
    <w:abstractNumId w:val="20"/>
  </w:num>
  <w:num w:numId="57">
    <w:abstractNumId w:val="51"/>
  </w:num>
  <w:num w:numId="58">
    <w:abstractNumId w:val="3"/>
  </w:num>
  <w:num w:numId="59">
    <w:abstractNumId w:val="21"/>
  </w:num>
  <w:num w:numId="60">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it-IT" w:vendorID="64" w:dllVersion="6" w:nlCheck="1" w:checkStyle="0"/>
  <w:activeWritingStyle w:appName="MSWord" w:lang="en-US" w:vendorID="64" w:dllVersion="6"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de-DE" w:vendorID="64" w:dllVersion="4096" w:nlCheck="1" w:checkStyle="0"/>
  <w:proofState w:spelling="clean" w:grammar="clean"/>
  <w:attachedTemplate r:id="rId1"/>
  <w:defaultTabStop w:val="720"/>
  <w:hyphenationZone w:val="283"/>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0AA"/>
    <w:rsid w:val="00000DF9"/>
    <w:rsid w:val="0000142B"/>
    <w:rsid w:val="00001DC5"/>
    <w:rsid w:val="000021B0"/>
    <w:rsid w:val="00003539"/>
    <w:rsid w:val="000043A1"/>
    <w:rsid w:val="00004736"/>
    <w:rsid w:val="00004DA0"/>
    <w:rsid w:val="000053B7"/>
    <w:rsid w:val="00006E39"/>
    <w:rsid w:val="0001064C"/>
    <w:rsid w:val="00010E63"/>
    <w:rsid w:val="0001357E"/>
    <w:rsid w:val="00013EB9"/>
    <w:rsid w:val="00014155"/>
    <w:rsid w:val="00014B13"/>
    <w:rsid w:val="00014E3E"/>
    <w:rsid w:val="00014FA7"/>
    <w:rsid w:val="00016560"/>
    <w:rsid w:val="000202AE"/>
    <w:rsid w:val="00020990"/>
    <w:rsid w:val="00020B16"/>
    <w:rsid w:val="00023F45"/>
    <w:rsid w:val="00025490"/>
    <w:rsid w:val="00025C8B"/>
    <w:rsid w:val="00026AA6"/>
    <w:rsid w:val="00026B90"/>
    <w:rsid w:val="000278FD"/>
    <w:rsid w:val="000313C7"/>
    <w:rsid w:val="00033819"/>
    <w:rsid w:val="000339AA"/>
    <w:rsid w:val="00033A16"/>
    <w:rsid w:val="000340B1"/>
    <w:rsid w:val="00035E43"/>
    <w:rsid w:val="000361C4"/>
    <w:rsid w:val="00036C38"/>
    <w:rsid w:val="00036F26"/>
    <w:rsid w:val="00037F6B"/>
    <w:rsid w:val="0004050C"/>
    <w:rsid w:val="00040992"/>
    <w:rsid w:val="00041066"/>
    <w:rsid w:val="00041E94"/>
    <w:rsid w:val="0004279E"/>
    <w:rsid w:val="00042D40"/>
    <w:rsid w:val="00043688"/>
    <w:rsid w:val="000444D8"/>
    <w:rsid w:val="00045115"/>
    <w:rsid w:val="0004590D"/>
    <w:rsid w:val="0004597D"/>
    <w:rsid w:val="0004668C"/>
    <w:rsid w:val="00046AAF"/>
    <w:rsid w:val="000474AE"/>
    <w:rsid w:val="0005051E"/>
    <w:rsid w:val="00052C26"/>
    <w:rsid w:val="00056554"/>
    <w:rsid w:val="00056C2E"/>
    <w:rsid w:val="00057263"/>
    <w:rsid w:val="0005770D"/>
    <w:rsid w:val="00060409"/>
    <w:rsid w:val="000628DD"/>
    <w:rsid w:val="00062C67"/>
    <w:rsid w:val="00063D45"/>
    <w:rsid w:val="00063DA6"/>
    <w:rsid w:val="0006465D"/>
    <w:rsid w:val="000655FA"/>
    <w:rsid w:val="00065A0D"/>
    <w:rsid w:val="0006637E"/>
    <w:rsid w:val="00067309"/>
    <w:rsid w:val="00067317"/>
    <w:rsid w:val="00070916"/>
    <w:rsid w:val="00071E90"/>
    <w:rsid w:val="00072E55"/>
    <w:rsid w:val="00074BBB"/>
    <w:rsid w:val="00074C8B"/>
    <w:rsid w:val="0007501A"/>
    <w:rsid w:val="00075122"/>
    <w:rsid w:val="000757F1"/>
    <w:rsid w:val="0007628B"/>
    <w:rsid w:val="00077031"/>
    <w:rsid w:val="000800BA"/>
    <w:rsid w:val="0008179F"/>
    <w:rsid w:val="000824DF"/>
    <w:rsid w:val="00084CAD"/>
    <w:rsid w:val="00084F3C"/>
    <w:rsid w:val="000868FA"/>
    <w:rsid w:val="00087205"/>
    <w:rsid w:val="00087B1A"/>
    <w:rsid w:val="0009134D"/>
    <w:rsid w:val="000917A2"/>
    <w:rsid w:val="000935EA"/>
    <w:rsid w:val="000939D3"/>
    <w:rsid w:val="00093DDC"/>
    <w:rsid w:val="00096776"/>
    <w:rsid w:val="00096C86"/>
    <w:rsid w:val="000A013F"/>
    <w:rsid w:val="000A0BB6"/>
    <w:rsid w:val="000A189E"/>
    <w:rsid w:val="000A2946"/>
    <w:rsid w:val="000A2A5F"/>
    <w:rsid w:val="000A3516"/>
    <w:rsid w:val="000A3965"/>
    <w:rsid w:val="000A463B"/>
    <w:rsid w:val="000A5229"/>
    <w:rsid w:val="000A573B"/>
    <w:rsid w:val="000A61FE"/>
    <w:rsid w:val="000A7047"/>
    <w:rsid w:val="000A763A"/>
    <w:rsid w:val="000A7745"/>
    <w:rsid w:val="000B0028"/>
    <w:rsid w:val="000B0E46"/>
    <w:rsid w:val="000B2CE0"/>
    <w:rsid w:val="000B2DE1"/>
    <w:rsid w:val="000B2F4D"/>
    <w:rsid w:val="000B3C8E"/>
    <w:rsid w:val="000B3C93"/>
    <w:rsid w:val="000B4A37"/>
    <w:rsid w:val="000B4ED7"/>
    <w:rsid w:val="000B57AC"/>
    <w:rsid w:val="000B6295"/>
    <w:rsid w:val="000B6752"/>
    <w:rsid w:val="000B7CE8"/>
    <w:rsid w:val="000C0A28"/>
    <w:rsid w:val="000C1120"/>
    <w:rsid w:val="000C17F2"/>
    <w:rsid w:val="000C34D1"/>
    <w:rsid w:val="000C430C"/>
    <w:rsid w:val="000C4BF2"/>
    <w:rsid w:val="000C5180"/>
    <w:rsid w:val="000C5A8A"/>
    <w:rsid w:val="000C5F21"/>
    <w:rsid w:val="000C6276"/>
    <w:rsid w:val="000D2F43"/>
    <w:rsid w:val="000D2FC8"/>
    <w:rsid w:val="000D3754"/>
    <w:rsid w:val="000D3FFA"/>
    <w:rsid w:val="000D4CEC"/>
    <w:rsid w:val="000D6C2D"/>
    <w:rsid w:val="000E2050"/>
    <w:rsid w:val="000E3027"/>
    <w:rsid w:val="000E3AC2"/>
    <w:rsid w:val="000E412A"/>
    <w:rsid w:val="000E48EA"/>
    <w:rsid w:val="000E624C"/>
    <w:rsid w:val="000F16BE"/>
    <w:rsid w:val="000F2880"/>
    <w:rsid w:val="00101534"/>
    <w:rsid w:val="00101606"/>
    <w:rsid w:val="00101BF2"/>
    <w:rsid w:val="00102222"/>
    <w:rsid w:val="00102834"/>
    <w:rsid w:val="00102AE5"/>
    <w:rsid w:val="00104B12"/>
    <w:rsid w:val="00107505"/>
    <w:rsid w:val="00110251"/>
    <w:rsid w:val="00110F3E"/>
    <w:rsid w:val="00111076"/>
    <w:rsid w:val="00111636"/>
    <w:rsid w:val="00111AE0"/>
    <w:rsid w:val="00112399"/>
    <w:rsid w:val="0011272D"/>
    <w:rsid w:val="00112A15"/>
    <w:rsid w:val="001131D0"/>
    <w:rsid w:val="00116989"/>
    <w:rsid w:val="00117387"/>
    <w:rsid w:val="00117770"/>
    <w:rsid w:val="001230B4"/>
    <w:rsid w:val="00123846"/>
    <w:rsid w:val="00123DE7"/>
    <w:rsid w:val="001241C1"/>
    <w:rsid w:val="00125CD8"/>
    <w:rsid w:val="00126343"/>
    <w:rsid w:val="001270B8"/>
    <w:rsid w:val="0013063F"/>
    <w:rsid w:val="00135522"/>
    <w:rsid w:val="00135858"/>
    <w:rsid w:val="0013616F"/>
    <w:rsid w:val="0013722B"/>
    <w:rsid w:val="00140591"/>
    <w:rsid w:val="0014185E"/>
    <w:rsid w:val="00142272"/>
    <w:rsid w:val="001432E8"/>
    <w:rsid w:val="00143B49"/>
    <w:rsid w:val="0014487B"/>
    <w:rsid w:val="00147949"/>
    <w:rsid w:val="00147E41"/>
    <w:rsid w:val="00147FDE"/>
    <w:rsid w:val="00152A00"/>
    <w:rsid w:val="00153A27"/>
    <w:rsid w:val="001569AE"/>
    <w:rsid w:val="00157CAE"/>
    <w:rsid w:val="00160198"/>
    <w:rsid w:val="0016057B"/>
    <w:rsid w:val="00162141"/>
    <w:rsid w:val="00162C99"/>
    <w:rsid w:val="001637E0"/>
    <w:rsid w:val="00170D70"/>
    <w:rsid w:val="00170E3C"/>
    <w:rsid w:val="001711EE"/>
    <w:rsid w:val="0017321A"/>
    <w:rsid w:val="0017414F"/>
    <w:rsid w:val="001751A2"/>
    <w:rsid w:val="00175661"/>
    <w:rsid w:val="001767ED"/>
    <w:rsid w:val="001777C6"/>
    <w:rsid w:val="00180FCF"/>
    <w:rsid w:val="00181D0D"/>
    <w:rsid w:val="00182874"/>
    <w:rsid w:val="0018339B"/>
    <w:rsid w:val="00185E05"/>
    <w:rsid w:val="00187D48"/>
    <w:rsid w:val="00190C51"/>
    <w:rsid w:val="001914AF"/>
    <w:rsid w:val="00195785"/>
    <w:rsid w:val="001A0E5C"/>
    <w:rsid w:val="001A1EC4"/>
    <w:rsid w:val="001A28AF"/>
    <w:rsid w:val="001A2FF3"/>
    <w:rsid w:val="001A32D9"/>
    <w:rsid w:val="001A4E10"/>
    <w:rsid w:val="001A51AA"/>
    <w:rsid w:val="001A6474"/>
    <w:rsid w:val="001A70B0"/>
    <w:rsid w:val="001A7718"/>
    <w:rsid w:val="001B09DD"/>
    <w:rsid w:val="001B0D04"/>
    <w:rsid w:val="001B2E14"/>
    <w:rsid w:val="001B473A"/>
    <w:rsid w:val="001B5168"/>
    <w:rsid w:val="001B5571"/>
    <w:rsid w:val="001B6901"/>
    <w:rsid w:val="001B69DE"/>
    <w:rsid w:val="001B6DEF"/>
    <w:rsid w:val="001B6EFC"/>
    <w:rsid w:val="001B7818"/>
    <w:rsid w:val="001C0557"/>
    <w:rsid w:val="001C0577"/>
    <w:rsid w:val="001C3D34"/>
    <w:rsid w:val="001C60C0"/>
    <w:rsid w:val="001C6DF2"/>
    <w:rsid w:val="001D0EBD"/>
    <w:rsid w:val="001D3390"/>
    <w:rsid w:val="001D41EF"/>
    <w:rsid w:val="001D6161"/>
    <w:rsid w:val="001D6CC7"/>
    <w:rsid w:val="001D7F38"/>
    <w:rsid w:val="001D7F71"/>
    <w:rsid w:val="001D7FE5"/>
    <w:rsid w:val="001E1012"/>
    <w:rsid w:val="001E21FC"/>
    <w:rsid w:val="001E2E3E"/>
    <w:rsid w:val="001E2E58"/>
    <w:rsid w:val="001E373A"/>
    <w:rsid w:val="001E37C2"/>
    <w:rsid w:val="001E3957"/>
    <w:rsid w:val="001E3E2E"/>
    <w:rsid w:val="001E6467"/>
    <w:rsid w:val="001E6EE6"/>
    <w:rsid w:val="001E7E3D"/>
    <w:rsid w:val="001F3514"/>
    <w:rsid w:val="001F36A5"/>
    <w:rsid w:val="001F57B3"/>
    <w:rsid w:val="001F64BE"/>
    <w:rsid w:val="001F6C6C"/>
    <w:rsid w:val="00200C69"/>
    <w:rsid w:val="00201C81"/>
    <w:rsid w:val="00203680"/>
    <w:rsid w:val="002042E5"/>
    <w:rsid w:val="002047E8"/>
    <w:rsid w:val="002063B1"/>
    <w:rsid w:val="00206C89"/>
    <w:rsid w:val="00207BA1"/>
    <w:rsid w:val="002124F1"/>
    <w:rsid w:val="00212AD1"/>
    <w:rsid w:val="00215F70"/>
    <w:rsid w:val="00216B19"/>
    <w:rsid w:val="00216C97"/>
    <w:rsid w:val="00216F3A"/>
    <w:rsid w:val="002201F7"/>
    <w:rsid w:val="00220482"/>
    <w:rsid w:val="00220585"/>
    <w:rsid w:val="00221113"/>
    <w:rsid w:val="00221B98"/>
    <w:rsid w:val="00222489"/>
    <w:rsid w:val="00223F84"/>
    <w:rsid w:val="002254F3"/>
    <w:rsid w:val="002258D6"/>
    <w:rsid w:val="00225B03"/>
    <w:rsid w:val="00225D1F"/>
    <w:rsid w:val="002270EB"/>
    <w:rsid w:val="002272DB"/>
    <w:rsid w:val="00227AF3"/>
    <w:rsid w:val="00231E62"/>
    <w:rsid w:val="002328E6"/>
    <w:rsid w:val="00234796"/>
    <w:rsid w:val="00235ABF"/>
    <w:rsid w:val="00237B51"/>
    <w:rsid w:val="0024021E"/>
    <w:rsid w:val="00240C03"/>
    <w:rsid w:val="00240D1C"/>
    <w:rsid w:val="00240E68"/>
    <w:rsid w:val="002416BA"/>
    <w:rsid w:val="002425E4"/>
    <w:rsid w:val="00242BAE"/>
    <w:rsid w:val="002439B9"/>
    <w:rsid w:val="002439D3"/>
    <w:rsid w:val="00243AF6"/>
    <w:rsid w:val="00243DC3"/>
    <w:rsid w:val="002464C8"/>
    <w:rsid w:val="002466FC"/>
    <w:rsid w:val="00247C99"/>
    <w:rsid w:val="002515F0"/>
    <w:rsid w:val="00251F63"/>
    <w:rsid w:val="00253CE8"/>
    <w:rsid w:val="00253E14"/>
    <w:rsid w:val="002616A9"/>
    <w:rsid w:val="00261778"/>
    <w:rsid w:val="00263177"/>
    <w:rsid w:val="00265BA0"/>
    <w:rsid w:val="0026721E"/>
    <w:rsid w:val="00267E50"/>
    <w:rsid w:val="0027045F"/>
    <w:rsid w:val="00271E30"/>
    <w:rsid w:val="0027289C"/>
    <w:rsid w:val="0027415B"/>
    <w:rsid w:val="00274D8C"/>
    <w:rsid w:val="0027564B"/>
    <w:rsid w:val="00275A3E"/>
    <w:rsid w:val="002768A2"/>
    <w:rsid w:val="00276D8D"/>
    <w:rsid w:val="002800B4"/>
    <w:rsid w:val="00280386"/>
    <w:rsid w:val="00281C2F"/>
    <w:rsid w:val="00282A60"/>
    <w:rsid w:val="00283956"/>
    <w:rsid w:val="00284740"/>
    <w:rsid w:val="00284872"/>
    <w:rsid w:val="00286AE8"/>
    <w:rsid w:val="00287AF5"/>
    <w:rsid w:val="0029037A"/>
    <w:rsid w:val="0029063E"/>
    <w:rsid w:val="00290843"/>
    <w:rsid w:val="002909CC"/>
    <w:rsid w:val="00290DEA"/>
    <w:rsid w:val="00291AAF"/>
    <w:rsid w:val="00292D10"/>
    <w:rsid w:val="00293EDB"/>
    <w:rsid w:val="0029674A"/>
    <w:rsid w:val="00296C11"/>
    <w:rsid w:val="00296FB0"/>
    <w:rsid w:val="002A1A86"/>
    <w:rsid w:val="002A339C"/>
    <w:rsid w:val="002A3784"/>
    <w:rsid w:val="002A38DD"/>
    <w:rsid w:val="002A3DAD"/>
    <w:rsid w:val="002A3E5C"/>
    <w:rsid w:val="002A55DD"/>
    <w:rsid w:val="002A7645"/>
    <w:rsid w:val="002B162C"/>
    <w:rsid w:val="002B2D4D"/>
    <w:rsid w:val="002B3943"/>
    <w:rsid w:val="002B3FB8"/>
    <w:rsid w:val="002B6922"/>
    <w:rsid w:val="002C09A8"/>
    <w:rsid w:val="002C1914"/>
    <w:rsid w:val="002C1AD5"/>
    <w:rsid w:val="002C2651"/>
    <w:rsid w:val="002C2CDA"/>
    <w:rsid w:val="002C2FED"/>
    <w:rsid w:val="002C41F9"/>
    <w:rsid w:val="002C427C"/>
    <w:rsid w:val="002C5688"/>
    <w:rsid w:val="002C5716"/>
    <w:rsid w:val="002C5871"/>
    <w:rsid w:val="002C6482"/>
    <w:rsid w:val="002C6C31"/>
    <w:rsid w:val="002C73B1"/>
    <w:rsid w:val="002C7905"/>
    <w:rsid w:val="002D0949"/>
    <w:rsid w:val="002D1553"/>
    <w:rsid w:val="002D20A8"/>
    <w:rsid w:val="002D23C1"/>
    <w:rsid w:val="002D56BC"/>
    <w:rsid w:val="002D5B26"/>
    <w:rsid w:val="002D6E25"/>
    <w:rsid w:val="002D7977"/>
    <w:rsid w:val="002D7DD9"/>
    <w:rsid w:val="002E1638"/>
    <w:rsid w:val="002E1CE7"/>
    <w:rsid w:val="002E2F1F"/>
    <w:rsid w:val="002E54C5"/>
    <w:rsid w:val="002E5AD0"/>
    <w:rsid w:val="002E65C9"/>
    <w:rsid w:val="002E6A01"/>
    <w:rsid w:val="002E6CEF"/>
    <w:rsid w:val="002F0131"/>
    <w:rsid w:val="002F0447"/>
    <w:rsid w:val="002F144D"/>
    <w:rsid w:val="002F15B4"/>
    <w:rsid w:val="002F3A94"/>
    <w:rsid w:val="002F3B80"/>
    <w:rsid w:val="002F403E"/>
    <w:rsid w:val="002F423C"/>
    <w:rsid w:val="002F46B6"/>
    <w:rsid w:val="002F5803"/>
    <w:rsid w:val="002F6758"/>
    <w:rsid w:val="002F7DD1"/>
    <w:rsid w:val="002F7F31"/>
    <w:rsid w:val="0030095B"/>
    <w:rsid w:val="00301C97"/>
    <w:rsid w:val="0030242F"/>
    <w:rsid w:val="003049F4"/>
    <w:rsid w:val="00304C0E"/>
    <w:rsid w:val="00305596"/>
    <w:rsid w:val="00305B5E"/>
    <w:rsid w:val="00306055"/>
    <w:rsid w:val="003063A3"/>
    <w:rsid w:val="003064D8"/>
    <w:rsid w:val="00312E56"/>
    <w:rsid w:val="003141A2"/>
    <w:rsid w:val="00315100"/>
    <w:rsid w:val="00315805"/>
    <w:rsid w:val="00315FCE"/>
    <w:rsid w:val="0031773D"/>
    <w:rsid w:val="00317B73"/>
    <w:rsid w:val="0032008C"/>
    <w:rsid w:val="003207A3"/>
    <w:rsid w:val="0032094B"/>
    <w:rsid w:val="0032099C"/>
    <w:rsid w:val="003215CE"/>
    <w:rsid w:val="00321E99"/>
    <w:rsid w:val="0032311A"/>
    <w:rsid w:val="00324268"/>
    <w:rsid w:val="003260BB"/>
    <w:rsid w:val="003260FC"/>
    <w:rsid w:val="003270F9"/>
    <w:rsid w:val="00327798"/>
    <w:rsid w:val="00327AAC"/>
    <w:rsid w:val="00331B21"/>
    <w:rsid w:val="003329F6"/>
    <w:rsid w:val="003355AC"/>
    <w:rsid w:val="00336397"/>
    <w:rsid w:val="00337AEF"/>
    <w:rsid w:val="00343683"/>
    <w:rsid w:val="003440C3"/>
    <w:rsid w:val="00344F3E"/>
    <w:rsid w:val="003451DB"/>
    <w:rsid w:val="003500F8"/>
    <w:rsid w:val="00350A27"/>
    <w:rsid w:val="00350F7F"/>
    <w:rsid w:val="00351CCF"/>
    <w:rsid w:val="00352243"/>
    <w:rsid w:val="00355FBC"/>
    <w:rsid w:val="003565C7"/>
    <w:rsid w:val="00357276"/>
    <w:rsid w:val="003609F3"/>
    <w:rsid w:val="0036154E"/>
    <w:rsid w:val="003621DC"/>
    <w:rsid w:val="0036245A"/>
    <w:rsid w:val="003629F9"/>
    <w:rsid w:val="00365A06"/>
    <w:rsid w:val="00365D4C"/>
    <w:rsid w:val="0036603B"/>
    <w:rsid w:val="00366538"/>
    <w:rsid w:val="00367002"/>
    <w:rsid w:val="003702EA"/>
    <w:rsid w:val="00371094"/>
    <w:rsid w:val="0037389E"/>
    <w:rsid w:val="0037483E"/>
    <w:rsid w:val="00375316"/>
    <w:rsid w:val="003756BD"/>
    <w:rsid w:val="00375942"/>
    <w:rsid w:val="003766AE"/>
    <w:rsid w:val="00376ABA"/>
    <w:rsid w:val="0037710A"/>
    <w:rsid w:val="003835BB"/>
    <w:rsid w:val="0038676D"/>
    <w:rsid w:val="00386DCF"/>
    <w:rsid w:val="0038722D"/>
    <w:rsid w:val="003900B2"/>
    <w:rsid w:val="00391246"/>
    <w:rsid w:val="00391AE8"/>
    <w:rsid w:val="00391B04"/>
    <w:rsid w:val="00391E18"/>
    <w:rsid w:val="00391F67"/>
    <w:rsid w:val="003924AE"/>
    <w:rsid w:val="00394DE9"/>
    <w:rsid w:val="003959D5"/>
    <w:rsid w:val="00396197"/>
    <w:rsid w:val="003967D9"/>
    <w:rsid w:val="00396C3E"/>
    <w:rsid w:val="0039714A"/>
    <w:rsid w:val="00397583"/>
    <w:rsid w:val="0039778C"/>
    <w:rsid w:val="003978EE"/>
    <w:rsid w:val="003A138C"/>
    <w:rsid w:val="003A1B38"/>
    <w:rsid w:val="003A3556"/>
    <w:rsid w:val="003A414E"/>
    <w:rsid w:val="003A4338"/>
    <w:rsid w:val="003A4BC2"/>
    <w:rsid w:val="003A58BD"/>
    <w:rsid w:val="003A749C"/>
    <w:rsid w:val="003A7C49"/>
    <w:rsid w:val="003A7CB7"/>
    <w:rsid w:val="003B0E68"/>
    <w:rsid w:val="003B14EA"/>
    <w:rsid w:val="003B1639"/>
    <w:rsid w:val="003B26A9"/>
    <w:rsid w:val="003B2E8B"/>
    <w:rsid w:val="003B3DCA"/>
    <w:rsid w:val="003B4B87"/>
    <w:rsid w:val="003B6596"/>
    <w:rsid w:val="003B7EF7"/>
    <w:rsid w:val="003C19C1"/>
    <w:rsid w:val="003C2559"/>
    <w:rsid w:val="003C4780"/>
    <w:rsid w:val="003C4FE7"/>
    <w:rsid w:val="003C56FE"/>
    <w:rsid w:val="003C57DC"/>
    <w:rsid w:val="003C6F94"/>
    <w:rsid w:val="003D093D"/>
    <w:rsid w:val="003D0E26"/>
    <w:rsid w:val="003D1865"/>
    <w:rsid w:val="003D1CC6"/>
    <w:rsid w:val="003D21F2"/>
    <w:rsid w:val="003D2AB6"/>
    <w:rsid w:val="003D2CCB"/>
    <w:rsid w:val="003D5996"/>
    <w:rsid w:val="003D75EA"/>
    <w:rsid w:val="003D7AA3"/>
    <w:rsid w:val="003E0CA2"/>
    <w:rsid w:val="003E0D99"/>
    <w:rsid w:val="003E1B59"/>
    <w:rsid w:val="003E31D4"/>
    <w:rsid w:val="003E342F"/>
    <w:rsid w:val="003E42F9"/>
    <w:rsid w:val="003E44AF"/>
    <w:rsid w:val="003E4A73"/>
    <w:rsid w:val="003E6B39"/>
    <w:rsid w:val="003E6CC6"/>
    <w:rsid w:val="003E7148"/>
    <w:rsid w:val="003E7337"/>
    <w:rsid w:val="003F0B60"/>
    <w:rsid w:val="003F2660"/>
    <w:rsid w:val="003F2A13"/>
    <w:rsid w:val="003F2DCD"/>
    <w:rsid w:val="003F4146"/>
    <w:rsid w:val="003F5170"/>
    <w:rsid w:val="003F6530"/>
    <w:rsid w:val="003F7AA6"/>
    <w:rsid w:val="0040083A"/>
    <w:rsid w:val="004012D9"/>
    <w:rsid w:val="0040401B"/>
    <w:rsid w:val="00404AA1"/>
    <w:rsid w:val="00404E5E"/>
    <w:rsid w:val="00405B37"/>
    <w:rsid w:val="00406254"/>
    <w:rsid w:val="00406512"/>
    <w:rsid w:val="00406EE6"/>
    <w:rsid w:val="004079E5"/>
    <w:rsid w:val="004107F3"/>
    <w:rsid w:val="0041152A"/>
    <w:rsid w:val="00411F53"/>
    <w:rsid w:val="00414545"/>
    <w:rsid w:val="00414FD8"/>
    <w:rsid w:val="00415677"/>
    <w:rsid w:val="004168BD"/>
    <w:rsid w:val="00416C33"/>
    <w:rsid w:val="00417A1B"/>
    <w:rsid w:val="00417A91"/>
    <w:rsid w:val="00417D66"/>
    <w:rsid w:val="00420232"/>
    <w:rsid w:val="004212C0"/>
    <w:rsid w:val="00422EE2"/>
    <w:rsid w:val="0042333E"/>
    <w:rsid w:val="004242C0"/>
    <w:rsid w:val="00424542"/>
    <w:rsid w:val="00426724"/>
    <w:rsid w:val="004306C3"/>
    <w:rsid w:val="004310EF"/>
    <w:rsid w:val="004322F5"/>
    <w:rsid w:val="00432BCA"/>
    <w:rsid w:val="004332EE"/>
    <w:rsid w:val="004345CA"/>
    <w:rsid w:val="004354A7"/>
    <w:rsid w:val="00437AEE"/>
    <w:rsid w:val="004404B2"/>
    <w:rsid w:val="00441B7A"/>
    <w:rsid w:val="00442A22"/>
    <w:rsid w:val="00442A98"/>
    <w:rsid w:val="00442AAB"/>
    <w:rsid w:val="00442D81"/>
    <w:rsid w:val="00443C1C"/>
    <w:rsid w:val="004467F6"/>
    <w:rsid w:val="0044795D"/>
    <w:rsid w:val="00447C65"/>
    <w:rsid w:val="0045184A"/>
    <w:rsid w:val="00451F67"/>
    <w:rsid w:val="00453A0C"/>
    <w:rsid w:val="00454C35"/>
    <w:rsid w:val="00454FD7"/>
    <w:rsid w:val="00455E2A"/>
    <w:rsid w:val="004564CC"/>
    <w:rsid w:val="00456940"/>
    <w:rsid w:val="00460241"/>
    <w:rsid w:val="00461005"/>
    <w:rsid w:val="004623FF"/>
    <w:rsid w:val="00462BE9"/>
    <w:rsid w:val="00462CA1"/>
    <w:rsid w:val="00462DF2"/>
    <w:rsid w:val="00463030"/>
    <w:rsid w:val="00463822"/>
    <w:rsid w:val="004644BE"/>
    <w:rsid w:val="00464844"/>
    <w:rsid w:val="00464BDF"/>
    <w:rsid w:val="004655FA"/>
    <w:rsid w:val="0046693E"/>
    <w:rsid w:val="004673FE"/>
    <w:rsid w:val="00470B30"/>
    <w:rsid w:val="00470C19"/>
    <w:rsid w:val="00470C68"/>
    <w:rsid w:val="00471CDB"/>
    <w:rsid w:val="00472F2A"/>
    <w:rsid w:val="0047382D"/>
    <w:rsid w:val="00473AC8"/>
    <w:rsid w:val="00475B79"/>
    <w:rsid w:val="00475CD2"/>
    <w:rsid w:val="00476322"/>
    <w:rsid w:val="00477798"/>
    <w:rsid w:val="00477F0C"/>
    <w:rsid w:val="00481DF0"/>
    <w:rsid w:val="00482018"/>
    <w:rsid w:val="004828FF"/>
    <w:rsid w:val="004843EE"/>
    <w:rsid w:val="00485A54"/>
    <w:rsid w:val="00485ADA"/>
    <w:rsid w:val="00485FF1"/>
    <w:rsid w:val="00486F07"/>
    <w:rsid w:val="0049154A"/>
    <w:rsid w:val="00491E10"/>
    <w:rsid w:val="0049223E"/>
    <w:rsid w:val="00494D39"/>
    <w:rsid w:val="004966FC"/>
    <w:rsid w:val="004978CD"/>
    <w:rsid w:val="004A0332"/>
    <w:rsid w:val="004A07A7"/>
    <w:rsid w:val="004A199D"/>
    <w:rsid w:val="004A2755"/>
    <w:rsid w:val="004A4BB2"/>
    <w:rsid w:val="004A5D10"/>
    <w:rsid w:val="004A6B24"/>
    <w:rsid w:val="004B0964"/>
    <w:rsid w:val="004B09DC"/>
    <w:rsid w:val="004B0E01"/>
    <w:rsid w:val="004B4222"/>
    <w:rsid w:val="004B4C7F"/>
    <w:rsid w:val="004B5551"/>
    <w:rsid w:val="004B6516"/>
    <w:rsid w:val="004B6FB4"/>
    <w:rsid w:val="004C12CF"/>
    <w:rsid w:val="004C26B8"/>
    <w:rsid w:val="004C3FA7"/>
    <w:rsid w:val="004C5DF3"/>
    <w:rsid w:val="004C7CD8"/>
    <w:rsid w:val="004D0BA2"/>
    <w:rsid w:val="004D0F7E"/>
    <w:rsid w:val="004D12E2"/>
    <w:rsid w:val="004D1934"/>
    <w:rsid w:val="004D2CE7"/>
    <w:rsid w:val="004D3AFE"/>
    <w:rsid w:val="004D3F1C"/>
    <w:rsid w:val="004D5D36"/>
    <w:rsid w:val="004D61C6"/>
    <w:rsid w:val="004D6333"/>
    <w:rsid w:val="004E097A"/>
    <w:rsid w:val="004E1954"/>
    <w:rsid w:val="004E301D"/>
    <w:rsid w:val="004E338B"/>
    <w:rsid w:val="004E49A7"/>
    <w:rsid w:val="004E6566"/>
    <w:rsid w:val="004E6A1D"/>
    <w:rsid w:val="004F05F0"/>
    <w:rsid w:val="004F0BF0"/>
    <w:rsid w:val="004F4128"/>
    <w:rsid w:val="004F452C"/>
    <w:rsid w:val="004F58DC"/>
    <w:rsid w:val="004F60E5"/>
    <w:rsid w:val="004F6140"/>
    <w:rsid w:val="004F6D6F"/>
    <w:rsid w:val="005004C6"/>
    <w:rsid w:val="00500B6B"/>
    <w:rsid w:val="00501111"/>
    <w:rsid w:val="00501B83"/>
    <w:rsid w:val="00503021"/>
    <w:rsid w:val="00503780"/>
    <w:rsid w:val="005040DF"/>
    <w:rsid w:val="00504D90"/>
    <w:rsid w:val="00505B8F"/>
    <w:rsid w:val="005066F0"/>
    <w:rsid w:val="00507B3C"/>
    <w:rsid w:val="00511947"/>
    <w:rsid w:val="0051286A"/>
    <w:rsid w:val="00513021"/>
    <w:rsid w:val="0051315E"/>
    <w:rsid w:val="005139C6"/>
    <w:rsid w:val="00514AE2"/>
    <w:rsid w:val="00516F2F"/>
    <w:rsid w:val="005202BD"/>
    <w:rsid w:val="00520B36"/>
    <w:rsid w:val="005214BB"/>
    <w:rsid w:val="005219E6"/>
    <w:rsid w:val="005227BA"/>
    <w:rsid w:val="00522C21"/>
    <w:rsid w:val="005242CC"/>
    <w:rsid w:val="005244A8"/>
    <w:rsid w:val="00524D2B"/>
    <w:rsid w:val="00526830"/>
    <w:rsid w:val="00526942"/>
    <w:rsid w:val="005279F9"/>
    <w:rsid w:val="00527A65"/>
    <w:rsid w:val="00530314"/>
    <w:rsid w:val="00530BA2"/>
    <w:rsid w:val="00534D3F"/>
    <w:rsid w:val="00535808"/>
    <w:rsid w:val="005370CA"/>
    <w:rsid w:val="0053711F"/>
    <w:rsid w:val="0053719A"/>
    <w:rsid w:val="005374EA"/>
    <w:rsid w:val="00537E82"/>
    <w:rsid w:val="005402D0"/>
    <w:rsid w:val="00540932"/>
    <w:rsid w:val="005411D5"/>
    <w:rsid w:val="00541CAD"/>
    <w:rsid w:val="00542C8E"/>
    <w:rsid w:val="00543756"/>
    <w:rsid w:val="00543D24"/>
    <w:rsid w:val="005440DF"/>
    <w:rsid w:val="0054504D"/>
    <w:rsid w:val="00545EE8"/>
    <w:rsid w:val="0054724B"/>
    <w:rsid w:val="0054788F"/>
    <w:rsid w:val="00551F75"/>
    <w:rsid w:val="00551F7D"/>
    <w:rsid w:val="00552AA2"/>
    <w:rsid w:val="00552D05"/>
    <w:rsid w:val="00552D66"/>
    <w:rsid w:val="005537D3"/>
    <w:rsid w:val="00554816"/>
    <w:rsid w:val="00555A6A"/>
    <w:rsid w:val="00556091"/>
    <w:rsid w:val="0055679D"/>
    <w:rsid w:val="00557691"/>
    <w:rsid w:val="00557E5A"/>
    <w:rsid w:val="0056157C"/>
    <w:rsid w:val="005621E4"/>
    <w:rsid w:val="0056232E"/>
    <w:rsid w:val="00565BF9"/>
    <w:rsid w:val="00566199"/>
    <w:rsid w:val="00566B57"/>
    <w:rsid w:val="00567152"/>
    <w:rsid w:val="00567386"/>
    <w:rsid w:val="005679A5"/>
    <w:rsid w:val="00567BB2"/>
    <w:rsid w:val="00567DE8"/>
    <w:rsid w:val="005734F1"/>
    <w:rsid w:val="005745C0"/>
    <w:rsid w:val="00574C74"/>
    <w:rsid w:val="005753C4"/>
    <w:rsid w:val="00575530"/>
    <w:rsid w:val="00575AD5"/>
    <w:rsid w:val="0057601B"/>
    <w:rsid w:val="00576231"/>
    <w:rsid w:val="00577EB9"/>
    <w:rsid w:val="005805A1"/>
    <w:rsid w:val="00581D32"/>
    <w:rsid w:val="005825C2"/>
    <w:rsid w:val="00583041"/>
    <w:rsid w:val="0058374D"/>
    <w:rsid w:val="00583B76"/>
    <w:rsid w:val="00583E9F"/>
    <w:rsid w:val="005846B0"/>
    <w:rsid w:val="00584813"/>
    <w:rsid w:val="00584F42"/>
    <w:rsid w:val="00586800"/>
    <w:rsid w:val="005875A0"/>
    <w:rsid w:val="00591DD5"/>
    <w:rsid w:val="005924DB"/>
    <w:rsid w:val="00592717"/>
    <w:rsid w:val="00592E8C"/>
    <w:rsid w:val="00593354"/>
    <w:rsid w:val="00594984"/>
    <w:rsid w:val="00595035"/>
    <w:rsid w:val="0059721A"/>
    <w:rsid w:val="005977C8"/>
    <w:rsid w:val="00597920"/>
    <w:rsid w:val="005A14C2"/>
    <w:rsid w:val="005A14D8"/>
    <w:rsid w:val="005A4621"/>
    <w:rsid w:val="005A6CD8"/>
    <w:rsid w:val="005A6ED9"/>
    <w:rsid w:val="005B0A45"/>
    <w:rsid w:val="005B0FBE"/>
    <w:rsid w:val="005B12F6"/>
    <w:rsid w:val="005B146A"/>
    <w:rsid w:val="005B1864"/>
    <w:rsid w:val="005B6229"/>
    <w:rsid w:val="005B6554"/>
    <w:rsid w:val="005C0696"/>
    <w:rsid w:val="005C0C53"/>
    <w:rsid w:val="005C17CC"/>
    <w:rsid w:val="005C3A82"/>
    <w:rsid w:val="005C5FE6"/>
    <w:rsid w:val="005C6BEC"/>
    <w:rsid w:val="005C73BC"/>
    <w:rsid w:val="005C743A"/>
    <w:rsid w:val="005D0262"/>
    <w:rsid w:val="005D139D"/>
    <w:rsid w:val="005D2577"/>
    <w:rsid w:val="005D2800"/>
    <w:rsid w:val="005D28D4"/>
    <w:rsid w:val="005D2981"/>
    <w:rsid w:val="005D4040"/>
    <w:rsid w:val="005D424F"/>
    <w:rsid w:val="005D46EF"/>
    <w:rsid w:val="005D5A32"/>
    <w:rsid w:val="005D6100"/>
    <w:rsid w:val="005D67B3"/>
    <w:rsid w:val="005D6B8F"/>
    <w:rsid w:val="005E09E8"/>
    <w:rsid w:val="005E0BC4"/>
    <w:rsid w:val="005E18CC"/>
    <w:rsid w:val="005E1EAC"/>
    <w:rsid w:val="005E2339"/>
    <w:rsid w:val="005E29F3"/>
    <w:rsid w:val="005E475C"/>
    <w:rsid w:val="005E50E0"/>
    <w:rsid w:val="005E5706"/>
    <w:rsid w:val="005E75CE"/>
    <w:rsid w:val="005F0A13"/>
    <w:rsid w:val="005F0C4A"/>
    <w:rsid w:val="005F1949"/>
    <w:rsid w:val="005F40F4"/>
    <w:rsid w:val="005F427F"/>
    <w:rsid w:val="005F4D3B"/>
    <w:rsid w:val="005F5766"/>
    <w:rsid w:val="005F6CA5"/>
    <w:rsid w:val="005F7CF4"/>
    <w:rsid w:val="0060436D"/>
    <w:rsid w:val="00605261"/>
    <w:rsid w:val="00605DC1"/>
    <w:rsid w:val="00606C66"/>
    <w:rsid w:val="00611BD7"/>
    <w:rsid w:val="00612CDF"/>
    <w:rsid w:val="0061413D"/>
    <w:rsid w:val="0061438A"/>
    <w:rsid w:val="0061637B"/>
    <w:rsid w:val="00616851"/>
    <w:rsid w:val="006215EA"/>
    <w:rsid w:val="0062176C"/>
    <w:rsid w:val="00623E07"/>
    <w:rsid w:val="00624B2A"/>
    <w:rsid w:val="00625496"/>
    <w:rsid w:val="00626479"/>
    <w:rsid w:val="00626526"/>
    <w:rsid w:val="00627C70"/>
    <w:rsid w:val="00630C06"/>
    <w:rsid w:val="0063105D"/>
    <w:rsid w:val="0063158E"/>
    <w:rsid w:val="00631B27"/>
    <w:rsid w:val="00632943"/>
    <w:rsid w:val="00633784"/>
    <w:rsid w:val="00634C41"/>
    <w:rsid w:val="006369B7"/>
    <w:rsid w:val="006371E8"/>
    <w:rsid w:val="00637C5C"/>
    <w:rsid w:val="00637EBC"/>
    <w:rsid w:val="00641CE1"/>
    <w:rsid w:val="006422AE"/>
    <w:rsid w:val="00642888"/>
    <w:rsid w:val="006434F2"/>
    <w:rsid w:val="00644162"/>
    <w:rsid w:val="0064490B"/>
    <w:rsid w:val="0064605D"/>
    <w:rsid w:val="00646128"/>
    <w:rsid w:val="00646D17"/>
    <w:rsid w:val="00650C78"/>
    <w:rsid w:val="00651E24"/>
    <w:rsid w:val="0065231A"/>
    <w:rsid w:val="0065281F"/>
    <w:rsid w:val="00652CB0"/>
    <w:rsid w:val="0065362F"/>
    <w:rsid w:val="00655079"/>
    <w:rsid w:val="006551DC"/>
    <w:rsid w:val="006560BF"/>
    <w:rsid w:val="00657C14"/>
    <w:rsid w:val="00661EED"/>
    <w:rsid w:val="00662181"/>
    <w:rsid w:val="006629C3"/>
    <w:rsid w:val="0066465E"/>
    <w:rsid w:val="00664F6B"/>
    <w:rsid w:val="00665EFE"/>
    <w:rsid w:val="006736FE"/>
    <w:rsid w:val="00674326"/>
    <w:rsid w:val="00675114"/>
    <w:rsid w:val="00675A91"/>
    <w:rsid w:val="00676232"/>
    <w:rsid w:val="00676294"/>
    <w:rsid w:val="00680D68"/>
    <w:rsid w:val="006813F3"/>
    <w:rsid w:val="00681FA3"/>
    <w:rsid w:val="00682BAB"/>
    <w:rsid w:val="00682D30"/>
    <w:rsid w:val="0068331E"/>
    <w:rsid w:val="00684F17"/>
    <w:rsid w:val="00685ABF"/>
    <w:rsid w:val="006873A2"/>
    <w:rsid w:val="00690333"/>
    <w:rsid w:val="0069095A"/>
    <w:rsid w:val="00693902"/>
    <w:rsid w:val="00693AE0"/>
    <w:rsid w:val="00695763"/>
    <w:rsid w:val="006A265E"/>
    <w:rsid w:val="006A2F73"/>
    <w:rsid w:val="006A322C"/>
    <w:rsid w:val="006A405B"/>
    <w:rsid w:val="006A44AD"/>
    <w:rsid w:val="006A5203"/>
    <w:rsid w:val="006A7837"/>
    <w:rsid w:val="006B0371"/>
    <w:rsid w:val="006B13FF"/>
    <w:rsid w:val="006B1999"/>
    <w:rsid w:val="006B1C81"/>
    <w:rsid w:val="006B28D6"/>
    <w:rsid w:val="006B413C"/>
    <w:rsid w:val="006B461D"/>
    <w:rsid w:val="006B5A08"/>
    <w:rsid w:val="006B5A66"/>
    <w:rsid w:val="006B6747"/>
    <w:rsid w:val="006B69B0"/>
    <w:rsid w:val="006B74F6"/>
    <w:rsid w:val="006B7654"/>
    <w:rsid w:val="006B7D51"/>
    <w:rsid w:val="006C10A1"/>
    <w:rsid w:val="006C27B5"/>
    <w:rsid w:val="006C3A15"/>
    <w:rsid w:val="006C42EB"/>
    <w:rsid w:val="006C5878"/>
    <w:rsid w:val="006D00D8"/>
    <w:rsid w:val="006D133F"/>
    <w:rsid w:val="006D167B"/>
    <w:rsid w:val="006D167C"/>
    <w:rsid w:val="006D1DAD"/>
    <w:rsid w:val="006D36EF"/>
    <w:rsid w:val="006D4C99"/>
    <w:rsid w:val="006D5651"/>
    <w:rsid w:val="006D694C"/>
    <w:rsid w:val="006D717C"/>
    <w:rsid w:val="006E2F31"/>
    <w:rsid w:val="006E32F8"/>
    <w:rsid w:val="006E54BB"/>
    <w:rsid w:val="006E54FE"/>
    <w:rsid w:val="006E5D29"/>
    <w:rsid w:val="006E61C1"/>
    <w:rsid w:val="006F124C"/>
    <w:rsid w:val="006F14E0"/>
    <w:rsid w:val="006F15AB"/>
    <w:rsid w:val="006F1CC1"/>
    <w:rsid w:val="006F3AEC"/>
    <w:rsid w:val="006F4DB0"/>
    <w:rsid w:val="006F5397"/>
    <w:rsid w:val="006F585C"/>
    <w:rsid w:val="006F6334"/>
    <w:rsid w:val="006F6BED"/>
    <w:rsid w:val="00700098"/>
    <w:rsid w:val="00702200"/>
    <w:rsid w:val="0070241D"/>
    <w:rsid w:val="00702456"/>
    <w:rsid w:val="0070396A"/>
    <w:rsid w:val="00703E60"/>
    <w:rsid w:val="0070588E"/>
    <w:rsid w:val="00705BC4"/>
    <w:rsid w:val="0070787C"/>
    <w:rsid w:val="00707F41"/>
    <w:rsid w:val="00711ED8"/>
    <w:rsid w:val="0071203D"/>
    <w:rsid w:val="007123E6"/>
    <w:rsid w:val="00712A8D"/>
    <w:rsid w:val="00713702"/>
    <w:rsid w:val="007143D8"/>
    <w:rsid w:val="00715448"/>
    <w:rsid w:val="007154DB"/>
    <w:rsid w:val="00717209"/>
    <w:rsid w:val="007200F8"/>
    <w:rsid w:val="007200FB"/>
    <w:rsid w:val="007208B1"/>
    <w:rsid w:val="00722A76"/>
    <w:rsid w:val="0072368E"/>
    <w:rsid w:val="00723AA5"/>
    <w:rsid w:val="00724059"/>
    <w:rsid w:val="00724AD5"/>
    <w:rsid w:val="00724B37"/>
    <w:rsid w:val="00724EB3"/>
    <w:rsid w:val="007251AB"/>
    <w:rsid w:val="0072628A"/>
    <w:rsid w:val="00730C56"/>
    <w:rsid w:val="0073202D"/>
    <w:rsid w:val="00734922"/>
    <w:rsid w:val="00735C60"/>
    <w:rsid w:val="00736089"/>
    <w:rsid w:val="0073623C"/>
    <w:rsid w:val="0073632B"/>
    <w:rsid w:val="007368A4"/>
    <w:rsid w:val="00736D99"/>
    <w:rsid w:val="00736EDE"/>
    <w:rsid w:val="007372FA"/>
    <w:rsid w:val="007378D2"/>
    <w:rsid w:val="00737A76"/>
    <w:rsid w:val="00742C9D"/>
    <w:rsid w:val="007433C4"/>
    <w:rsid w:val="007434ED"/>
    <w:rsid w:val="00743E96"/>
    <w:rsid w:val="00745A3C"/>
    <w:rsid w:val="00745CB3"/>
    <w:rsid w:val="0075001E"/>
    <w:rsid w:val="00752417"/>
    <w:rsid w:val="00752606"/>
    <w:rsid w:val="00752D25"/>
    <w:rsid w:val="00753962"/>
    <w:rsid w:val="00753DCF"/>
    <w:rsid w:val="00755EA3"/>
    <w:rsid w:val="00756520"/>
    <w:rsid w:val="00757C06"/>
    <w:rsid w:val="00760822"/>
    <w:rsid w:val="00761DE3"/>
    <w:rsid w:val="00761E31"/>
    <w:rsid w:val="00763874"/>
    <w:rsid w:val="00763A8F"/>
    <w:rsid w:val="007643A3"/>
    <w:rsid w:val="0076557C"/>
    <w:rsid w:val="00767FCC"/>
    <w:rsid w:val="0077206E"/>
    <w:rsid w:val="00772FB6"/>
    <w:rsid w:val="0077437D"/>
    <w:rsid w:val="007746E9"/>
    <w:rsid w:val="0077478E"/>
    <w:rsid w:val="007758E7"/>
    <w:rsid w:val="0077596B"/>
    <w:rsid w:val="00775A41"/>
    <w:rsid w:val="007773C2"/>
    <w:rsid w:val="00777ED6"/>
    <w:rsid w:val="00780B10"/>
    <w:rsid w:val="00782E34"/>
    <w:rsid w:val="00782EAD"/>
    <w:rsid w:val="0078536F"/>
    <w:rsid w:val="007855DE"/>
    <w:rsid w:val="00787744"/>
    <w:rsid w:val="0079046D"/>
    <w:rsid w:val="00792C8F"/>
    <w:rsid w:val="00792CC0"/>
    <w:rsid w:val="00793DCE"/>
    <w:rsid w:val="007947F7"/>
    <w:rsid w:val="00794B66"/>
    <w:rsid w:val="007A1E42"/>
    <w:rsid w:val="007A3B72"/>
    <w:rsid w:val="007A44A9"/>
    <w:rsid w:val="007A52BA"/>
    <w:rsid w:val="007A5BEC"/>
    <w:rsid w:val="007B01BA"/>
    <w:rsid w:val="007B0735"/>
    <w:rsid w:val="007B1CB5"/>
    <w:rsid w:val="007B293C"/>
    <w:rsid w:val="007B3384"/>
    <w:rsid w:val="007B36A4"/>
    <w:rsid w:val="007B391D"/>
    <w:rsid w:val="007B3DBE"/>
    <w:rsid w:val="007B4596"/>
    <w:rsid w:val="007B50BA"/>
    <w:rsid w:val="007B7DDA"/>
    <w:rsid w:val="007C0F2F"/>
    <w:rsid w:val="007C1EC7"/>
    <w:rsid w:val="007C2BD5"/>
    <w:rsid w:val="007C3F6D"/>
    <w:rsid w:val="007C43AA"/>
    <w:rsid w:val="007C4689"/>
    <w:rsid w:val="007C48C3"/>
    <w:rsid w:val="007C4972"/>
    <w:rsid w:val="007C6765"/>
    <w:rsid w:val="007C6A35"/>
    <w:rsid w:val="007D0C2B"/>
    <w:rsid w:val="007D13AF"/>
    <w:rsid w:val="007D2800"/>
    <w:rsid w:val="007D514A"/>
    <w:rsid w:val="007D59FA"/>
    <w:rsid w:val="007D5C6E"/>
    <w:rsid w:val="007E13E0"/>
    <w:rsid w:val="007E180D"/>
    <w:rsid w:val="007E4F51"/>
    <w:rsid w:val="007E7B1A"/>
    <w:rsid w:val="007E7F46"/>
    <w:rsid w:val="007E7FA8"/>
    <w:rsid w:val="007F1391"/>
    <w:rsid w:val="007F1A79"/>
    <w:rsid w:val="007F29A9"/>
    <w:rsid w:val="007F4A42"/>
    <w:rsid w:val="007F51EB"/>
    <w:rsid w:val="007F54B3"/>
    <w:rsid w:val="007F5A1B"/>
    <w:rsid w:val="007F708D"/>
    <w:rsid w:val="0080066F"/>
    <w:rsid w:val="00803ADF"/>
    <w:rsid w:val="0080537C"/>
    <w:rsid w:val="0080637B"/>
    <w:rsid w:val="008077FC"/>
    <w:rsid w:val="008101AE"/>
    <w:rsid w:val="00811025"/>
    <w:rsid w:val="00811197"/>
    <w:rsid w:val="008120A4"/>
    <w:rsid w:val="00813061"/>
    <w:rsid w:val="00813093"/>
    <w:rsid w:val="008138C1"/>
    <w:rsid w:val="00813CC6"/>
    <w:rsid w:val="00814449"/>
    <w:rsid w:val="0081452A"/>
    <w:rsid w:val="0081593A"/>
    <w:rsid w:val="008159D4"/>
    <w:rsid w:val="00820DA1"/>
    <w:rsid w:val="00823456"/>
    <w:rsid w:val="0082391D"/>
    <w:rsid w:val="00823F3D"/>
    <w:rsid w:val="00824CC6"/>
    <w:rsid w:val="00825049"/>
    <w:rsid w:val="00825203"/>
    <w:rsid w:val="00825423"/>
    <w:rsid w:val="008259AE"/>
    <w:rsid w:val="00830167"/>
    <w:rsid w:val="00831E7A"/>
    <w:rsid w:val="008325F4"/>
    <w:rsid w:val="00834560"/>
    <w:rsid w:val="008348EF"/>
    <w:rsid w:val="00835BB3"/>
    <w:rsid w:val="00836287"/>
    <w:rsid w:val="00837607"/>
    <w:rsid w:val="00840CB1"/>
    <w:rsid w:val="00842428"/>
    <w:rsid w:val="008470EB"/>
    <w:rsid w:val="0084713A"/>
    <w:rsid w:val="00847325"/>
    <w:rsid w:val="00847BF2"/>
    <w:rsid w:val="008521D0"/>
    <w:rsid w:val="00852462"/>
    <w:rsid w:val="00854A36"/>
    <w:rsid w:val="00855817"/>
    <w:rsid w:val="00856CFF"/>
    <w:rsid w:val="00856FE2"/>
    <w:rsid w:val="008604D7"/>
    <w:rsid w:val="00860F54"/>
    <w:rsid w:val="00861913"/>
    <w:rsid w:val="0086197B"/>
    <w:rsid w:val="00862727"/>
    <w:rsid w:val="00865457"/>
    <w:rsid w:val="0086635A"/>
    <w:rsid w:val="0086701E"/>
    <w:rsid w:val="0087310B"/>
    <w:rsid w:val="0087350E"/>
    <w:rsid w:val="00873CBC"/>
    <w:rsid w:val="008742BA"/>
    <w:rsid w:val="00874DE1"/>
    <w:rsid w:val="00875148"/>
    <w:rsid w:val="0087712B"/>
    <w:rsid w:val="00877371"/>
    <w:rsid w:val="00877522"/>
    <w:rsid w:val="00880E2A"/>
    <w:rsid w:val="00880EB1"/>
    <w:rsid w:val="008815F6"/>
    <w:rsid w:val="008823C1"/>
    <w:rsid w:val="00882D72"/>
    <w:rsid w:val="008830C8"/>
    <w:rsid w:val="00884F1D"/>
    <w:rsid w:val="00886332"/>
    <w:rsid w:val="008874EA"/>
    <w:rsid w:val="0088784B"/>
    <w:rsid w:val="00887DC4"/>
    <w:rsid w:val="00890369"/>
    <w:rsid w:val="0089100A"/>
    <w:rsid w:val="0089358A"/>
    <w:rsid w:val="00893C63"/>
    <w:rsid w:val="00894B76"/>
    <w:rsid w:val="00894E42"/>
    <w:rsid w:val="0089672C"/>
    <w:rsid w:val="00896B03"/>
    <w:rsid w:val="0089712C"/>
    <w:rsid w:val="0089774F"/>
    <w:rsid w:val="00897D48"/>
    <w:rsid w:val="008A1170"/>
    <w:rsid w:val="008A1230"/>
    <w:rsid w:val="008A1703"/>
    <w:rsid w:val="008A282D"/>
    <w:rsid w:val="008A28D4"/>
    <w:rsid w:val="008A4FCA"/>
    <w:rsid w:val="008A5216"/>
    <w:rsid w:val="008A538F"/>
    <w:rsid w:val="008A6881"/>
    <w:rsid w:val="008A7F9B"/>
    <w:rsid w:val="008B01BD"/>
    <w:rsid w:val="008B05B7"/>
    <w:rsid w:val="008B07EF"/>
    <w:rsid w:val="008B0B44"/>
    <w:rsid w:val="008B150B"/>
    <w:rsid w:val="008B36A7"/>
    <w:rsid w:val="008B3C46"/>
    <w:rsid w:val="008B4A36"/>
    <w:rsid w:val="008B4CEA"/>
    <w:rsid w:val="008B4FF8"/>
    <w:rsid w:val="008B5138"/>
    <w:rsid w:val="008B53C1"/>
    <w:rsid w:val="008B5A1C"/>
    <w:rsid w:val="008B6160"/>
    <w:rsid w:val="008C09F7"/>
    <w:rsid w:val="008C17EC"/>
    <w:rsid w:val="008C18E6"/>
    <w:rsid w:val="008C2692"/>
    <w:rsid w:val="008C2B0E"/>
    <w:rsid w:val="008C3154"/>
    <w:rsid w:val="008C42BB"/>
    <w:rsid w:val="008C50D3"/>
    <w:rsid w:val="008C5B6A"/>
    <w:rsid w:val="008C62AF"/>
    <w:rsid w:val="008C66D8"/>
    <w:rsid w:val="008C6D73"/>
    <w:rsid w:val="008D01EF"/>
    <w:rsid w:val="008D08E3"/>
    <w:rsid w:val="008D0F61"/>
    <w:rsid w:val="008D111F"/>
    <w:rsid w:val="008D2482"/>
    <w:rsid w:val="008D28C4"/>
    <w:rsid w:val="008D2C75"/>
    <w:rsid w:val="008D36C2"/>
    <w:rsid w:val="008D3B21"/>
    <w:rsid w:val="008D44F3"/>
    <w:rsid w:val="008D5028"/>
    <w:rsid w:val="008D54A3"/>
    <w:rsid w:val="008D56B2"/>
    <w:rsid w:val="008D5BF7"/>
    <w:rsid w:val="008D61B1"/>
    <w:rsid w:val="008D62AA"/>
    <w:rsid w:val="008D7AE0"/>
    <w:rsid w:val="008E1133"/>
    <w:rsid w:val="008E2F11"/>
    <w:rsid w:val="008E4AC9"/>
    <w:rsid w:val="008E4BFF"/>
    <w:rsid w:val="008E60A7"/>
    <w:rsid w:val="008E7B05"/>
    <w:rsid w:val="008F042B"/>
    <w:rsid w:val="008F2592"/>
    <w:rsid w:val="008F2BE8"/>
    <w:rsid w:val="008F340C"/>
    <w:rsid w:val="008F6FEE"/>
    <w:rsid w:val="008F7F5A"/>
    <w:rsid w:val="00900C78"/>
    <w:rsid w:val="00901918"/>
    <w:rsid w:val="00901BA6"/>
    <w:rsid w:val="00901C50"/>
    <w:rsid w:val="00902061"/>
    <w:rsid w:val="0090219C"/>
    <w:rsid w:val="0090273A"/>
    <w:rsid w:val="00902D1F"/>
    <w:rsid w:val="00902E60"/>
    <w:rsid w:val="009048A7"/>
    <w:rsid w:val="00905098"/>
    <w:rsid w:val="009059EA"/>
    <w:rsid w:val="00905D33"/>
    <w:rsid w:val="00910CB4"/>
    <w:rsid w:val="00912DBB"/>
    <w:rsid w:val="009135F6"/>
    <w:rsid w:val="00913780"/>
    <w:rsid w:val="00913D52"/>
    <w:rsid w:val="009141B6"/>
    <w:rsid w:val="00914663"/>
    <w:rsid w:val="00914709"/>
    <w:rsid w:val="009208AD"/>
    <w:rsid w:val="00920AF8"/>
    <w:rsid w:val="00922E2A"/>
    <w:rsid w:val="00923CB8"/>
    <w:rsid w:val="009247B2"/>
    <w:rsid w:val="00924ABD"/>
    <w:rsid w:val="0092554B"/>
    <w:rsid w:val="009255EC"/>
    <w:rsid w:val="00927832"/>
    <w:rsid w:val="009279D8"/>
    <w:rsid w:val="00927E19"/>
    <w:rsid w:val="00931208"/>
    <w:rsid w:val="00931EBF"/>
    <w:rsid w:val="00933812"/>
    <w:rsid w:val="0093406E"/>
    <w:rsid w:val="0093643D"/>
    <w:rsid w:val="00937CD4"/>
    <w:rsid w:val="0094064D"/>
    <w:rsid w:val="009406E2"/>
    <w:rsid w:val="00940B03"/>
    <w:rsid w:val="00940D6C"/>
    <w:rsid w:val="0094212E"/>
    <w:rsid w:val="009438C5"/>
    <w:rsid w:val="00944282"/>
    <w:rsid w:val="009454D2"/>
    <w:rsid w:val="009459F7"/>
    <w:rsid w:val="00946209"/>
    <w:rsid w:val="0094763F"/>
    <w:rsid w:val="00947EFA"/>
    <w:rsid w:val="0095094A"/>
    <w:rsid w:val="00951303"/>
    <w:rsid w:val="0095276F"/>
    <w:rsid w:val="00952935"/>
    <w:rsid w:val="00954F56"/>
    <w:rsid w:val="00955511"/>
    <w:rsid w:val="00956654"/>
    <w:rsid w:val="00957260"/>
    <w:rsid w:val="00957D25"/>
    <w:rsid w:val="0096090A"/>
    <w:rsid w:val="00960D7B"/>
    <w:rsid w:val="0096203D"/>
    <w:rsid w:val="009620F7"/>
    <w:rsid w:val="00962500"/>
    <w:rsid w:val="00964F04"/>
    <w:rsid w:val="009656EE"/>
    <w:rsid w:val="009660F2"/>
    <w:rsid w:val="00966967"/>
    <w:rsid w:val="00966CC8"/>
    <w:rsid w:val="00970098"/>
    <w:rsid w:val="00970EC6"/>
    <w:rsid w:val="0097191E"/>
    <w:rsid w:val="00972096"/>
    <w:rsid w:val="00973EC2"/>
    <w:rsid w:val="009741BB"/>
    <w:rsid w:val="009747B3"/>
    <w:rsid w:val="009767D9"/>
    <w:rsid w:val="00976B8D"/>
    <w:rsid w:val="00977075"/>
    <w:rsid w:val="00977744"/>
    <w:rsid w:val="00980B15"/>
    <w:rsid w:val="00981D79"/>
    <w:rsid w:val="00982D40"/>
    <w:rsid w:val="00984A26"/>
    <w:rsid w:val="009858EA"/>
    <w:rsid w:val="0098590D"/>
    <w:rsid w:val="00985B83"/>
    <w:rsid w:val="0099226F"/>
    <w:rsid w:val="00994A43"/>
    <w:rsid w:val="0099699C"/>
    <w:rsid w:val="0099739C"/>
    <w:rsid w:val="009979BA"/>
    <w:rsid w:val="009A0B5A"/>
    <w:rsid w:val="009A0B6B"/>
    <w:rsid w:val="009A1D97"/>
    <w:rsid w:val="009A314B"/>
    <w:rsid w:val="009A3542"/>
    <w:rsid w:val="009A38DE"/>
    <w:rsid w:val="009A4842"/>
    <w:rsid w:val="009A51BA"/>
    <w:rsid w:val="009A62AB"/>
    <w:rsid w:val="009B027E"/>
    <w:rsid w:val="009B0B10"/>
    <w:rsid w:val="009B1DC5"/>
    <w:rsid w:val="009B3AD8"/>
    <w:rsid w:val="009B44D2"/>
    <w:rsid w:val="009B4649"/>
    <w:rsid w:val="009B4AED"/>
    <w:rsid w:val="009B4C29"/>
    <w:rsid w:val="009C016B"/>
    <w:rsid w:val="009C03D1"/>
    <w:rsid w:val="009C15EA"/>
    <w:rsid w:val="009C3E48"/>
    <w:rsid w:val="009C4C4D"/>
    <w:rsid w:val="009C5AD4"/>
    <w:rsid w:val="009D018F"/>
    <w:rsid w:val="009D2C07"/>
    <w:rsid w:val="009D2F56"/>
    <w:rsid w:val="009D42F4"/>
    <w:rsid w:val="009D5C43"/>
    <w:rsid w:val="009D6668"/>
    <w:rsid w:val="009D7397"/>
    <w:rsid w:val="009D73EA"/>
    <w:rsid w:val="009D7672"/>
    <w:rsid w:val="009E0AAC"/>
    <w:rsid w:val="009E136D"/>
    <w:rsid w:val="009E25F2"/>
    <w:rsid w:val="009E2E38"/>
    <w:rsid w:val="009E3807"/>
    <w:rsid w:val="009E3F43"/>
    <w:rsid w:val="009E54BC"/>
    <w:rsid w:val="009E63E7"/>
    <w:rsid w:val="009E6ACB"/>
    <w:rsid w:val="009E6E33"/>
    <w:rsid w:val="009E7465"/>
    <w:rsid w:val="009E7B46"/>
    <w:rsid w:val="009E7C53"/>
    <w:rsid w:val="009F5A51"/>
    <w:rsid w:val="009F64DC"/>
    <w:rsid w:val="009F6E04"/>
    <w:rsid w:val="00A00A07"/>
    <w:rsid w:val="00A01784"/>
    <w:rsid w:val="00A01D41"/>
    <w:rsid w:val="00A02BD7"/>
    <w:rsid w:val="00A06146"/>
    <w:rsid w:val="00A063B2"/>
    <w:rsid w:val="00A06A64"/>
    <w:rsid w:val="00A0766C"/>
    <w:rsid w:val="00A076F4"/>
    <w:rsid w:val="00A07CDF"/>
    <w:rsid w:val="00A07E27"/>
    <w:rsid w:val="00A1040B"/>
    <w:rsid w:val="00A10808"/>
    <w:rsid w:val="00A10976"/>
    <w:rsid w:val="00A11EC6"/>
    <w:rsid w:val="00A1438B"/>
    <w:rsid w:val="00A15CEE"/>
    <w:rsid w:val="00A17A3E"/>
    <w:rsid w:val="00A22062"/>
    <w:rsid w:val="00A22731"/>
    <w:rsid w:val="00A22EC4"/>
    <w:rsid w:val="00A25901"/>
    <w:rsid w:val="00A262E2"/>
    <w:rsid w:val="00A271C2"/>
    <w:rsid w:val="00A30257"/>
    <w:rsid w:val="00A33793"/>
    <w:rsid w:val="00A342B5"/>
    <w:rsid w:val="00A34733"/>
    <w:rsid w:val="00A3508B"/>
    <w:rsid w:val="00A35CEC"/>
    <w:rsid w:val="00A35D02"/>
    <w:rsid w:val="00A35D82"/>
    <w:rsid w:val="00A35F22"/>
    <w:rsid w:val="00A36921"/>
    <w:rsid w:val="00A4200D"/>
    <w:rsid w:val="00A43CB8"/>
    <w:rsid w:val="00A44265"/>
    <w:rsid w:val="00A44559"/>
    <w:rsid w:val="00A500D0"/>
    <w:rsid w:val="00A52782"/>
    <w:rsid w:val="00A53597"/>
    <w:rsid w:val="00A540A0"/>
    <w:rsid w:val="00A554AA"/>
    <w:rsid w:val="00A55F51"/>
    <w:rsid w:val="00A57B62"/>
    <w:rsid w:val="00A57CD6"/>
    <w:rsid w:val="00A606B0"/>
    <w:rsid w:val="00A60D62"/>
    <w:rsid w:val="00A6156E"/>
    <w:rsid w:val="00A633A6"/>
    <w:rsid w:val="00A63435"/>
    <w:rsid w:val="00A646EA"/>
    <w:rsid w:val="00A64A38"/>
    <w:rsid w:val="00A65EDF"/>
    <w:rsid w:val="00A67F83"/>
    <w:rsid w:val="00A70616"/>
    <w:rsid w:val="00A70D48"/>
    <w:rsid w:val="00A71608"/>
    <w:rsid w:val="00A716EA"/>
    <w:rsid w:val="00A72560"/>
    <w:rsid w:val="00A76164"/>
    <w:rsid w:val="00A77562"/>
    <w:rsid w:val="00A8083C"/>
    <w:rsid w:val="00A8098D"/>
    <w:rsid w:val="00A8162C"/>
    <w:rsid w:val="00A81D88"/>
    <w:rsid w:val="00A84A0D"/>
    <w:rsid w:val="00A84E1A"/>
    <w:rsid w:val="00A85F64"/>
    <w:rsid w:val="00A87410"/>
    <w:rsid w:val="00A876EA"/>
    <w:rsid w:val="00A918E4"/>
    <w:rsid w:val="00A93833"/>
    <w:rsid w:val="00A95C2D"/>
    <w:rsid w:val="00AA10F2"/>
    <w:rsid w:val="00AA519C"/>
    <w:rsid w:val="00AA58DC"/>
    <w:rsid w:val="00AA75EB"/>
    <w:rsid w:val="00AA770C"/>
    <w:rsid w:val="00AB1B2D"/>
    <w:rsid w:val="00AB2E0B"/>
    <w:rsid w:val="00AB3FC9"/>
    <w:rsid w:val="00AB45DF"/>
    <w:rsid w:val="00AB4F7A"/>
    <w:rsid w:val="00AB505D"/>
    <w:rsid w:val="00AC1207"/>
    <w:rsid w:val="00AC1603"/>
    <w:rsid w:val="00AC1E9F"/>
    <w:rsid w:val="00AC2EB2"/>
    <w:rsid w:val="00AC30A2"/>
    <w:rsid w:val="00AC35DF"/>
    <w:rsid w:val="00AC3629"/>
    <w:rsid w:val="00AC38D7"/>
    <w:rsid w:val="00AC475B"/>
    <w:rsid w:val="00AC61FF"/>
    <w:rsid w:val="00AC6FFE"/>
    <w:rsid w:val="00AC76CE"/>
    <w:rsid w:val="00AD02C3"/>
    <w:rsid w:val="00AD0BD7"/>
    <w:rsid w:val="00AD206A"/>
    <w:rsid w:val="00AD32F9"/>
    <w:rsid w:val="00AD42D6"/>
    <w:rsid w:val="00AD5633"/>
    <w:rsid w:val="00AD5AE1"/>
    <w:rsid w:val="00AD5FC2"/>
    <w:rsid w:val="00AD61E6"/>
    <w:rsid w:val="00AD648A"/>
    <w:rsid w:val="00AD7211"/>
    <w:rsid w:val="00AE0A02"/>
    <w:rsid w:val="00AE1495"/>
    <w:rsid w:val="00AE16DF"/>
    <w:rsid w:val="00AE1BAA"/>
    <w:rsid w:val="00AE2C11"/>
    <w:rsid w:val="00AE3149"/>
    <w:rsid w:val="00AE3B55"/>
    <w:rsid w:val="00AE4C7F"/>
    <w:rsid w:val="00AE5233"/>
    <w:rsid w:val="00AE60AA"/>
    <w:rsid w:val="00AE6C43"/>
    <w:rsid w:val="00AE7A3C"/>
    <w:rsid w:val="00AF3126"/>
    <w:rsid w:val="00AF40C4"/>
    <w:rsid w:val="00AF43C5"/>
    <w:rsid w:val="00AF4CA5"/>
    <w:rsid w:val="00AF51B0"/>
    <w:rsid w:val="00AF58DF"/>
    <w:rsid w:val="00AF5DEA"/>
    <w:rsid w:val="00AF6A6D"/>
    <w:rsid w:val="00AF6B92"/>
    <w:rsid w:val="00B00C5D"/>
    <w:rsid w:val="00B0187D"/>
    <w:rsid w:val="00B01BF0"/>
    <w:rsid w:val="00B02126"/>
    <w:rsid w:val="00B0274A"/>
    <w:rsid w:val="00B027A4"/>
    <w:rsid w:val="00B02AF1"/>
    <w:rsid w:val="00B0383A"/>
    <w:rsid w:val="00B05532"/>
    <w:rsid w:val="00B067CA"/>
    <w:rsid w:val="00B0712C"/>
    <w:rsid w:val="00B07498"/>
    <w:rsid w:val="00B104C3"/>
    <w:rsid w:val="00B1332A"/>
    <w:rsid w:val="00B154F5"/>
    <w:rsid w:val="00B1628C"/>
    <w:rsid w:val="00B16C4D"/>
    <w:rsid w:val="00B2067C"/>
    <w:rsid w:val="00B21680"/>
    <w:rsid w:val="00B22A4E"/>
    <w:rsid w:val="00B23F12"/>
    <w:rsid w:val="00B243AD"/>
    <w:rsid w:val="00B24F06"/>
    <w:rsid w:val="00B26829"/>
    <w:rsid w:val="00B26ACD"/>
    <w:rsid w:val="00B2715A"/>
    <w:rsid w:val="00B27AA3"/>
    <w:rsid w:val="00B30587"/>
    <w:rsid w:val="00B316A4"/>
    <w:rsid w:val="00B31A1B"/>
    <w:rsid w:val="00B31FFE"/>
    <w:rsid w:val="00B34391"/>
    <w:rsid w:val="00B345A2"/>
    <w:rsid w:val="00B34B31"/>
    <w:rsid w:val="00B3529E"/>
    <w:rsid w:val="00B35952"/>
    <w:rsid w:val="00B360C3"/>
    <w:rsid w:val="00B3658B"/>
    <w:rsid w:val="00B36ED2"/>
    <w:rsid w:val="00B4132E"/>
    <w:rsid w:val="00B42629"/>
    <w:rsid w:val="00B42C82"/>
    <w:rsid w:val="00B435CD"/>
    <w:rsid w:val="00B43AEF"/>
    <w:rsid w:val="00B43C6C"/>
    <w:rsid w:val="00B43F53"/>
    <w:rsid w:val="00B442CD"/>
    <w:rsid w:val="00B47501"/>
    <w:rsid w:val="00B478ED"/>
    <w:rsid w:val="00B47F39"/>
    <w:rsid w:val="00B51031"/>
    <w:rsid w:val="00B51E3D"/>
    <w:rsid w:val="00B52BD3"/>
    <w:rsid w:val="00B53387"/>
    <w:rsid w:val="00B54595"/>
    <w:rsid w:val="00B56031"/>
    <w:rsid w:val="00B57F8C"/>
    <w:rsid w:val="00B600BB"/>
    <w:rsid w:val="00B60ED2"/>
    <w:rsid w:val="00B611EC"/>
    <w:rsid w:val="00B657AF"/>
    <w:rsid w:val="00B661C6"/>
    <w:rsid w:val="00B67B81"/>
    <w:rsid w:val="00B70BDC"/>
    <w:rsid w:val="00B71776"/>
    <w:rsid w:val="00B80114"/>
    <w:rsid w:val="00B807E7"/>
    <w:rsid w:val="00B817C0"/>
    <w:rsid w:val="00B81C8A"/>
    <w:rsid w:val="00B82EF6"/>
    <w:rsid w:val="00B833D3"/>
    <w:rsid w:val="00B843C4"/>
    <w:rsid w:val="00B845E7"/>
    <w:rsid w:val="00B84999"/>
    <w:rsid w:val="00B875FC"/>
    <w:rsid w:val="00B90BCC"/>
    <w:rsid w:val="00B90ED7"/>
    <w:rsid w:val="00B934D8"/>
    <w:rsid w:val="00B93E4B"/>
    <w:rsid w:val="00B94256"/>
    <w:rsid w:val="00B9479B"/>
    <w:rsid w:val="00B94979"/>
    <w:rsid w:val="00B94E01"/>
    <w:rsid w:val="00B959BC"/>
    <w:rsid w:val="00B962B4"/>
    <w:rsid w:val="00B962C2"/>
    <w:rsid w:val="00B97770"/>
    <w:rsid w:val="00BA0321"/>
    <w:rsid w:val="00BA15C7"/>
    <w:rsid w:val="00BA1C37"/>
    <w:rsid w:val="00BA3CA7"/>
    <w:rsid w:val="00BA4370"/>
    <w:rsid w:val="00BA4A55"/>
    <w:rsid w:val="00BA6121"/>
    <w:rsid w:val="00BA6B39"/>
    <w:rsid w:val="00BA72D0"/>
    <w:rsid w:val="00BB0746"/>
    <w:rsid w:val="00BB1A44"/>
    <w:rsid w:val="00BB273D"/>
    <w:rsid w:val="00BB3870"/>
    <w:rsid w:val="00BB447F"/>
    <w:rsid w:val="00BB4599"/>
    <w:rsid w:val="00BB50E4"/>
    <w:rsid w:val="00BB6743"/>
    <w:rsid w:val="00BB6934"/>
    <w:rsid w:val="00BB6A74"/>
    <w:rsid w:val="00BB7D3F"/>
    <w:rsid w:val="00BC05DE"/>
    <w:rsid w:val="00BC0A97"/>
    <w:rsid w:val="00BC177D"/>
    <w:rsid w:val="00BC193A"/>
    <w:rsid w:val="00BC2A47"/>
    <w:rsid w:val="00BC332C"/>
    <w:rsid w:val="00BC3F60"/>
    <w:rsid w:val="00BC3FDD"/>
    <w:rsid w:val="00BC5281"/>
    <w:rsid w:val="00BD030D"/>
    <w:rsid w:val="00BD0E07"/>
    <w:rsid w:val="00BD1471"/>
    <w:rsid w:val="00BD29B7"/>
    <w:rsid w:val="00BD3D06"/>
    <w:rsid w:val="00BD66A6"/>
    <w:rsid w:val="00BD7100"/>
    <w:rsid w:val="00BD7440"/>
    <w:rsid w:val="00BE19C0"/>
    <w:rsid w:val="00BE1F60"/>
    <w:rsid w:val="00BE2647"/>
    <w:rsid w:val="00BE29D6"/>
    <w:rsid w:val="00BE37B6"/>
    <w:rsid w:val="00BE3A00"/>
    <w:rsid w:val="00BE5F70"/>
    <w:rsid w:val="00BE6E9D"/>
    <w:rsid w:val="00BF03F0"/>
    <w:rsid w:val="00BF19A0"/>
    <w:rsid w:val="00BF24A5"/>
    <w:rsid w:val="00BF2A0F"/>
    <w:rsid w:val="00BF2E9D"/>
    <w:rsid w:val="00BF3994"/>
    <w:rsid w:val="00BF6D01"/>
    <w:rsid w:val="00BF7952"/>
    <w:rsid w:val="00C005FA"/>
    <w:rsid w:val="00C00F9D"/>
    <w:rsid w:val="00C016CC"/>
    <w:rsid w:val="00C018C3"/>
    <w:rsid w:val="00C033C0"/>
    <w:rsid w:val="00C035D0"/>
    <w:rsid w:val="00C05CA5"/>
    <w:rsid w:val="00C060AA"/>
    <w:rsid w:val="00C10505"/>
    <w:rsid w:val="00C10594"/>
    <w:rsid w:val="00C1080E"/>
    <w:rsid w:val="00C10EFF"/>
    <w:rsid w:val="00C11F3E"/>
    <w:rsid w:val="00C130F7"/>
    <w:rsid w:val="00C136C3"/>
    <w:rsid w:val="00C14052"/>
    <w:rsid w:val="00C1462A"/>
    <w:rsid w:val="00C15144"/>
    <w:rsid w:val="00C15AFB"/>
    <w:rsid w:val="00C16FD4"/>
    <w:rsid w:val="00C17153"/>
    <w:rsid w:val="00C17A40"/>
    <w:rsid w:val="00C17E3F"/>
    <w:rsid w:val="00C21235"/>
    <w:rsid w:val="00C22A37"/>
    <w:rsid w:val="00C23357"/>
    <w:rsid w:val="00C23B00"/>
    <w:rsid w:val="00C25137"/>
    <w:rsid w:val="00C260B5"/>
    <w:rsid w:val="00C269A5"/>
    <w:rsid w:val="00C302D7"/>
    <w:rsid w:val="00C312E1"/>
    <w:rsid w:val="00C33D19"/>
    <w:rsid w:val="00C3425E"/>
    <w:rsid w:val="00C34CF3"/>
    <w:rsid w:val="00C35DCC"/>
    <w:rsid w:val="00C40345"/>
    <w:rsid w:val="00C40ED6"/>
    <w:rsid w:val="00C413CA"/>
    <w:rsid w:val="00C41848"/>
    <w:rsid w:val="00C41C5D"/>
    <w:rsid w:val="00C41E64"/>
    <w:rsid w:val="00C42FA4"/>
    <w:rsid w:val="00C437DB"/>
    <w:rsid w:val="00C4385A"/>
    <w:rsid w:val="00C43BD8"/>
    <w:rsid w:val="00C44248"/>
    <w:rsid w:val="00C462A3"/>
    <w:rsid w:val="00C4746B"/>
    <w:rsid w:val="00C47A93"/>
    <w:rsid w:val="00C5048D"/>
    <w:rsid w:val="00C509E6"/>
    <w:rsid w:val="00C51DFF"/>
    <w:rsid w:val="00C52D6A"/>
    <w:rsid w:val="00C53414"/>
    <w:rsid w:val="00C53650"/>
    <w:rsid w:val="00C54047"/>
    <w:rsid w:val="00C54B9F"/>
    <w:rsid w:val="00C554C1"/>
    <w:rsid w:val="00C55C5B"/>
    <w:rsid w:val="00C57AEC"/>
    <w:rsid w:val="00C605AE"/>
    <w:rsid w:val="00C6122C"/>
    <w:rsid w:val="00C61D68"/>
    <w:rsid w:val="00C6316F"/>
    <w:rsid w:val="00C643B6"/>
    <w:rsid w:val="00C6703B"/>
    <w:rsid w:val="00C67288"/>
    <w:rsid w:val="00C67F33"/>
    <w:rsid w:val="00C67FBA"/>
    <w:rsid w:val="00C703C8"/>
    <w:rsid w:val="00C70C27"/>
    <w:rsid w:val="00C71201"/>
    <w:rsid w:val="00C71597"/>
    <w:rsid w:val="00C720F8"/>
    <w:rsid w:val="00C73BF9"/>
    <w:rsid w:val="00C74D6C"/>
    <w:rsid w:val="00C74E53"/>
    <w:rsid w:val="00C76C6E"/>
    <w:rsid w:val="00C77400"/>
    <w:rsid w:val="00C80908"/>
    <w:rsid w:val="00C812F5"/>
    <w:rsid w:val="00C816B2"/>
    <w:rsid w:val="00C850DD"/>
    <w:rsid w:val="00C854A4"/>
    <w:rsid w:val="00C87705"/>
    <w:rsid w:val="00C87827"/>
    <w:rsid w:val="00C90646"/>
    <w:rsid w:val="00C92E11"/>
    <w:rsid w:val="00C93FE8"/>
    <w:rsid w:val="00C943C6"/>
    <w:rsid w:val="00C94857"/>
    <w:rsid w:val="00C94B34"/>
    <w:rsid w:val="00C96B8F"/>
    <w:rsid w:val="00C97F79"/>
    <w:rsid w:val="00CA0116"/>
    <w:rsid w:val="00CA1A4C"/>
    <w:rsid w:val="00CA2018"/>
    <w:rsid w:val="00CA2C43"/>
    <w:rsid w:val="00CA480C"/>
    <w:rsid w:val="00CA4ECA"/>
    <w:rsid w:val="00CB0FBD"/>
    <w:rsid w:val="00CB2215"/>
    <w:rsid w:val="00CB294B"/>
    <w:rsid w:val="00CB2BE9"/>
    <w:rsid w:val="00CB2E7F"/>
    <w:rsid w:val="00CB4D43"/>
    <w:rsid w:val="00CB5106"/>
    <w:rsid w:val="00CB545A"/>
    <w:rsid w:val="00CB54F4"/>
    <w:rsid w:val="00CB56E3"/>
    <w:rsid w:val="00CB71F6"/>
    <w:rsid w:val="00CB778A"/>
    <w:rsid w:val="00CC0CB1"/>
    <w:rsid w:val="00CC0F1D"/>
    <w:rsid w:val="00CC1A04"/>
    <w:rsid w:val="00CC2117"/>
    <w:rsid w:val="00CC3A4B"/>
    <w:rsid w:val="00CC4344"/>
    <w:rsid w:val="00CC560A"/>
    <w:rsid w:val="00CC56CB"/>
    <w:rsid w:val="00CC6B8A"/>
    <w:rsid w:val="00CC6EBD"/>
    <w:rsid w:val="00CC7FF5"/>
    <w:rsid w:val="00CD02B1"/>
    <w:rsid w:val="00CD0375"/>
    <w:rsid w:val="00CD1B2A"/>
    <w:rsid w:val="00CD1CA3"/>
    <w:rsid w:val="00CD2413"/>
    <w:rsid w:val="00CD2B38"/>
    <w:rsid w:val="00CD338C"/>
    <w:rsid w:val="00CD3E02"/>
    <w:rsid w:val="00CD5649"/>
    <w:rsid w:val="00CD62D2"/>
    <w:rsid w:val="00CE0311"/>
    <w:rsid w:val="00CE0ABE"/>
    <w:rsid w:val="00CE1DA9"/>
    <w:rsid w:val="00CE2D29"/>
    <w:rsid w:val="00CE3C24"/>
    <w:rsid w:val="00CE4B1E"/>
    <w:rsid w:val="00CE5866"/>
    <w:rsid w:val="00CE5AB6"/>
    <w:rsid w:val="00CE5BCF"/>
    <w:rsid w:val="00CE5FA3"/>
    <w:rsid w:val="00CE6A10"/>
    <w:rsid w:val="00CE6BCE"/>
    <w:rsid w:val="00CE7003"/>
    <w:rsid w:val="00CE78DB"/>
    <w:rsid w:val="00CF009B"/>
    <w:rsid w:val="00CF079E"/>
    <w:rsid w:val="00CF28C1"/>
    <w:rsid w:val="00CF3A0C"/>
    <w:rsid w:val="00CF44FE"/>
    <w:rsid w:val="00CF4890"/>
    <w:rsid w:val="00D00675"/>
    <w:rsid w:val="00D00E56"/>
    <w:rsid w:val="00D02994"/>
    <w:rsid w:val="00D02DAA"/>
    <w:rsid w:val="00D0303F"/>
    <w:rsid w:val="00D03357"/>
    <w:rsid w:val="00D039A4"/>
    <w:rsid w:val="00D04153"/>
    <w:rsid w:val="00D04734"/>
    <w:rsid w:val="00D05628"/>
    <w:rsid w:val="00D05688"/>
    <w:rsid w:val="00D05DA6"/>
    <w:rsid w:val="00D06F76"/>
    <w:rsid w:val="00D07F2F"/>
    <w:rsid w:val="00D10098"/>
    <w:rsid w:val="00D11F77"/>
    <w:rsid w:val="00D123CA"/>
    <w:rsid w:val="00D12873"/>
    <w:rsid w:val="00D13C3E"/>
    <w:rsid w:val="00D15818"/>
    <w:rsid w:val="00D16697"/>
    <w:rsid w:val="00D16DA7"/>
    <w:rsid w:val="00D17B86"/>
    <w:rsid w:val="00D2060B"/>
    <w:rsid w:val="00D21B2A"/>
    <w:rsid w:val="00D21D9A"/>
    <w:rsid w:val="00D22974"/>
    <w:rsid w:val="00D229C6"/>
    <w:rsid w:val="00D23C23"/>
    <w:rsid w:val="00D23E50"/>
    <w:rsid w:val="00D24DE6"/>
    <w:rsid w:val="00D24F5B"/>
    <w:rsid w:val="00D24FD2"/>
    <w:rsid w:val="00D25CC4"/>
    <w:rsid w:val="00D27F81"/>
    <w:rsid w:val="00D31C0B"/>
    <w:rsid w:val="00D32633"/>
    <w:rsid w:val="00D3365A"/>
    <w:rsid w:val="00D34B9A"/>
    <w:rsid w:val="00D36203"/>
    <w:rsid w:val="00D364AC"/>
    <w:rsid w:val="00D3713A"/>
    <w:rsid w:val="00D37540"/>
    <w:rsid w:val="00D37E77"/>
    <w:rsid w:val="00D404EE"/>
    <w:rsid w:val="00D4233A"/>
    <w:rsid w:val="00D43A19"/>
    <w:rsid w:val="00D43DB9"/>
    <w:rsid w:val="00D440CD"/>
    <w:rsid w:val="00D443AA"/>
    <w:rsid w:val="00D45E79"/>
    <w:rsid w:val="00D45F3C"/>
    <w:rsid w:val="00D4635D"/>
    <w:rsid w:val="00D472C4"/>
    <w:rsid w:val="00D474E1"/>
    <w:rsid w:val="00D4775B"/>
    <w:rsid w:val="00D527ED"/>
    <w:rsid w:val="00D52C06"/>
    <w:rsid w:val="00D5408D"/>
    <w:rsid w:val="00D5419E"/>
    <w:rsid w:val="00D54A2A"/>
    <w:rsid w:val="00D54BFF"/>
    <w:rsid w:val="00D55D59"/>
    <w:rsid w:val="00D562BC"/>
    <w:rsid w:val="00D56B4D"/>
    <w:rsid w:val="00D56C4A"/>
    <w:rsid w:val="00D56FCD"/>
    <w:rsid w:val="00D577A0"/>
    <w:rsid w:val="00D5789A"/>
    <w:rsid w:val="00D62129"/>
    <w:rsid w:val="00D62309"/>
    <w:rsid w:val="00D633A5"/>
    <w:rsid w:val="00D63908"/>
    <w:rsid w:val="00D6446C"/>
    <w:rsid w:val="00D64C6C"/>
    <w:rsid w:val="00D64D0E"/>
    <w:rsid w:val="00D65F76"/>
    <w:rsid w:val="00D66B60"/>
    <w:rsid w:val="00D67055"/>
    <w:rsid w:val="00D67211"/>
    <w:rsid w:val="00D70EBE"/>
    <w:rsid w:val="00D70FC0"/>
    <w:rsid w:val="00D7150E"/>
    <w:rsid w:val="00D71F3B"/>
    <w:rsid w:val="00D722E8"/>
    <w:rsid w:val="00D72C4F"/>
    <w:rsid w:val="00D73C49"/>
    <w:rsid w:val="00D748D3"/>
    <w:rsid w:val="00D74B66"/>
    <w:rsid w:val="00D75492"/>
    <w:rsid w:val="00D76012"/>
    <w:rsid w:val="00D760BB"/>
    <w:rsid w:val="00D760C9"/>
    <w:rsid w:val="00D772AA"/>
    <w:rsid w:val="00D77B28"/>
    <w:rsid w:val="00D80F4A"/>
    <w:rsid w:val="00D81941"/>
    <w:rsid w:val="00D81B0A"/>
    <w:rsid w:val="00D81C04"/>
    <w:rsid w:val="00D826B5"/>
    <w:rsid w:val="00D83745"/>
    <w:rsid w:val="00D83F0B"/>
    <w:rsid w:val="00D87190"/>
    <w:rsid w:val="00D91621"/>
    <w:rsid w:val="00D9177D"/>
    <w:rsid w:val="00D917D6"/>
    <w:rsid w:val="00D9293A"/>
    <w:rsid w:val="00D92E89"/>
    <w:rsid w:val="00D96D48"/>
    <w:rsid w:val="00D97E8D"/>
    <w:rsid w:val="00DA00A2"/>
    <w:rsid w:val="00DA04BD"/>
    <w:rsid w:val="00DA06F7"/>
    <w:rsid w:val="00DA0FBE"/>
    <w:rsid w:val="00DA1149"/>
    <w:rsid w:val="00DA17F8"/>
    <w:rsid w:val="00DA1945"/>
    <w:rsid w:val="00DA2642"/>
    <w:rsid w:val="00DA3181"/>
    <w:rsid w:val="00DA63B2"/>
    <w:rsid w:val="00DA63DC"/>
    <w:rsid w:val="00DA6814"/>
    <w:rsid w:val="00DA6CB3"/>
    <w:rsid w:val="00DA6D9F"/>
    <w:rsid w:val="00DA6E0C"/>
    <w:rsid w:val="00DB15DD"/>
    <w:rsid w:val="00DB18B0"/>
    <w:rsid w:val="00DB2CB4"/>
    <w:rsid w:val="00DB4EF7"/>
    <w:rsid w:val="00DB533B"/>
    <w:rsid w:val="00DB5AF9"/>
    <w:rsid w:val="00DB619E"/>
    <w:rsid w:val="00DB6D12"/>
    <w:rsid w:val="00DC1D85"/>
    <w:rsid w:val="00DC2754"/>
    <w:rsid w:val="00DC2DB0"/>
    <w:rsid w:val="00DC31F8"/>
    <w:rsid w:val="00DC4530"/>
    <w:rsid w:val="00DC492C"/>
    <w:rsid w:val="00DC5500"/>
    <w:rsid w:val="00DC650A"/>
    <w:rsid w:val="00DC65AD"/>
    <w:rsid w:val="00DC65CE"/>
    <w:rsid w:val="00DC78F1"/>
    <w:rsid w:val="00DD1A99"/>
    <w:rsid w:val="00DD3262"/>
    <w:rsid w:val="00DD4F55"/>
    <w:rsid w:val="00DD5643"/>
    <w:rsid w:val="00DD7906"/>
    <w:rsid w:val="00DE011D"/>
    <w:rsid w:val="00DE018E"/>
    <w:rsid w:val="00DE0F05"/>
    <w:rsid w:val="00DE22CA"/>
    <w:rsid w:val="00DE23D8"/>
    <w:rsid w:val="00DE24F5"/>
    <w:rsid w:val="00DE28B0"/>
    <w:rsid w:val="00DE3E91"/>
    <w:rsid w:val="00DE49BB"/>
    <w:rsid w:val="00DF0FA5"/>
    <w:rsid w:val="00DF10D2"/>
    <w:rsid w:val="00DF11B7"/>
    <w:rsid w:val="00DF215D"/>
    <w:rsid w:val="00DF28BB"/>
    <w:rsid w:val="00DF295C"/>
    <w:rsid w:val="00DF3166"/>
    <w:rsid w:val="00DF58A7"/>
    <w:rsid w:val="00DF5B48"/>
    <w:rsid w:val="00DF69A6"/>
    <w:rsid w:val="00DF6C26"/>
    <w:rsid w:val="00DF72F1"/>
    <w:rsid w:val="00DF7377"/>
    <w:rsid w:val="00DF771A"/>
    <w:rsid w:val="00DF78D5"/>
    <w:rsid w:val="00DF7BF7"/>
    <w:rsid w:val="00E02C65"/>
    <w:rsid w:val="00E02F3E"/>
    <w:rsid w:val="00E03B88"/>
    <w:rsid w:val="00E0546D"/>
    <w:rsid w:val="00E07D51"/>
    <w:rsid w:val="00E1065C"/>
    <w:rsid w:val="00E11361"/>
    <w:rsid w:val="00E11534"/>
    <w:rsid w:val="00E1363D"/>
    <w:rsid w:val="00E1367D"/>
    <w:rsid w:val="00E15D1C"/>
    <w:rsid w:val="00E169F1"/>
    <w:rsid w:val="00E17279"/>
    <w:rsid w:val="00E17626"/>
    <w:rsid w:val="00E1779D"/>
    <w:rsid w:val="00E17935"/>
    <w:rsid w:val="00E2006D"/>
    <w:rsid w:val="00E20AC0"/>
    <w:rsid w:val="00E212E7"/>
    <w:rsid w:val="00E219BF"/>
    <w:rsid w:val="00E21F3D"/>
    <w:rsid w:val="00E2210D"/>
    <w:rsid w:val="00E25044"/>
    <w:rsid w:val="00E263AD"/>
    <w:rsid w:val="00E3009C"/>
    <w:rsid w:val="00E30532"/>
    <w:rsid w:val="00E31BCF"/>
    <w:rsid w:val="00E32236"/>
    <w:rsid w:val="00E324C0"/>
    <w:rsid w:val="00E33A44"/>
    <w:rsid w:val="00E341C5"/>
    <w:rsid w:val="00E35310"/>
    <w:rsid w:val="00E35BC9"/>
    <w:rsid w:val="00E37297"/>
    <w:rsid w:val="00E3747D"/>
    <w:rsid w:val="00E37750"/>
    <w:rsid w:val="00E37A1D"/>
    <w:rsid w:val="00E37FC4"/>
    <w:rsid w:val="00E401F5"/>
    <w:rsid w:val="00E40EBD"/>
    <w:rsid w:val="00E42538"/>
    <w:rsid w:val="00E4282B"/>
    <w:rsid w:val="00E42C0E"/>
    <w:rsid w:val="00E42FD4"/>
    <w:rsid w:val="00E4335B"/>
    <w:rsid w:val="00E4397A"/>
    <w:rsid w:val="00E44410"/>
    <w:rsid w:val="00E44FEF"/>
    <w:rsid w:val="00E46061"/>
    <w:rsid w:val="00E502D9"/>
    <w:rsid w:val="00E5059D"/>
    <w:rsid w:val="00E50A16"/>
    <w:rsid w:val="00E50DE3"/>
    <w:rsid w:val="00E520B9"/>
    <w:rsid w:val="00E5253F"/>
    <w:rsid w:val="00E53D6C"/>
    <w:rsid w:val="00E54D9F"/>
    <w:rsid w:val="00E563B5"/>
    <w:rsid w:val="00E56AF2"/>
    <w:rsid w:val="00E56F8B"/>
    <w:rsid w:val="00E5782E"/>
    <w:rsid w:val="00E60E1A"/>
    <w:rsid w:val="00E6173D"/>
    <w:rsid w:val="00E62424"/>
    <w:rsid w:val="00E6308C"/>
    <w:rsid w:val="00E630AD"/>
    <w:rsid w:val="00E6310D"/>
    <w:rsid w:val="00E632DD"/>
    <w:rsid w:val="00E6345E"/>
    <w:rsid w:val="00E634B6"/>
    <w:rsid w:val="00E63FA0"/>
    <w:rsid w:val="00E63FAD"/>
    <w:rsid w:val="00E659CD"/>
    <w:rsid w:val="00E6796E"/>
    <w:rsid w:val="00E67B27"/>
    <w:rsid w:val="00E67B55"/>
    <w:rsid w:val="00E70579"/>
    <w:rsid w:val="00E70636"/>
    <w:rsid w:val="00E70786"/>
    <w:rsid w:val="00E73682"/>
    <w:rsid w:val="00E75F58"/>
    <w:rsid w:val="00E777F0"/>
    <w:rsid w:val="00E77BA8"/>
    <w:rsid w:val="00E77C12"/>
    <w:rsid w:val="00E80697"/>
    <w:rsid w:val="00E81A79"/>
    <w:rsid w:val="00E8282A"/>
    <w:rsid w:val="00E831C0"/>
    <w:rsid w:val="00E87007"/>
    <w:rsid w:val="00E8751D"/>
    <w:rsid w:val="00E9026B"/>
    <w:rsid w:val="00E9044B"/>
    <w:rsid w:val="00E921D3"/>
    <w:rsid w:val="00E92346"/>
    <w:rsid w:val="00E93015"/>
    <w:rsid w:val="00E938D4"/>
    <w:rsid w:val="00E95CD9"/>
    <w:rsid w:val="00E95F35"/>
    <w:rsid w:val="00E96D68"/>
    <w:rsid w:val="00E97F14"/>
    <w:rsid w:val="00E97FE1"/>
    <w:rsid w:val="00EA041F"/>
    <w:rsid w:val="00EA0726"/>
    <w:rsid w:val="00EA0C7D"/>
    <w:rsid w:val="00EA3339"/>
    <w:rsid w:val="00EA341C"/>
    <w:rsid w:val="00EA372E"/>
    <w:rsid w:val="00EA4084"/>
    <w:rsid w:val="00EA466F"/>
    <w:rsid w:val="00EA64A4"/>
    <w:rsid w:val="00EA765C"/>
    <w:rsid w:val="00EB1B0D"/>
    <w:rsid w:val="00EB20D1"/>
    <w:rsid w:val="00EB25F2"/>
    <w:rsid w:val="00EB2CC3"/>
    <w:rsid w:val="00EB3A16"/>
    <w:rsid w:val="00EB435E"/>
    <w:rsid w:val="00EB5F8F"/>
    <w:rsid w:val="00EB7F08"/>
    <w:rsid w:val="00EC2E54"/>
    <w:rsid w:val="00EC2E87"/>
    <w:rsid w:val="00EC2F14"/>
    <w:rsid w:val="00EC4E16"/>
    <w:rsid w:val="00EC4F31"/>
    <w:rsid w:val="00EC5907"/>
    <w:rsid w:val="00EC67FF"/>
    <w:rsid w:val="00EC6B88"/>
    <w:rsid w:val="00EC6DE2"/>
    <w:rsid w:val="00ED1A97"/>
    <w:rsid w:val="00ED21D2"/>
    <w:rsid w:val="00ED2687"/>
    <w:rsid w:val="00ED3B58"/>
    <w:rsid w:val="00ED4036"/>
    <w:rsid w:val="00ED79E1"/>
    <w:rsid w:val="00EE08B8"/>
    <w:rsid w:val="00EE1656"/>
    <w:rsid w:val="00EE25BB"/>
    <w:rsid w:val="00EE3ADE"/>
    <w:rsid w:val="00EE3CE3"/>
    <w:rsid w:val="00EE4CC9"/>
    <w:rsid w:val="00EE4F40"/>
    <w:rsid w:val="00EE69CC"/>
    <w:rsid w:val="00EE71C7"/>
    <w:rsid w:val="00EF2409"/>
    <w:rsid w:val="00EF4018"/>
    <w:rsid w:val="00EF6B92"/>
    <w:rsid w:val="00F00AFE"/>
    <w:rsid w:val="00F016D9"/>
    <w:rsid w:val="00F01CCE"/>
    <w:rsid w:val="00F0294E"/>
    <w:rsid w:val="00F02EBE"/>
    <w:rsid w:val="00F04027"/>
    <w:rsid w:val="00F0489B"/>
    <w:rsid w:val="00F052BA"/>
    <w:rsid w:val="00F06662"/>
    <w:rsid w:val="00F06E3B"/>
    <w:rsid w:val="00F100FA"/>
    <w:rsid w:val="00F105FB"/>
    <w:rsid w:val="00F1456D"/>
    <w:rsid w:val="00F155E0"/>
    <w:rsid w:val="00F15D46"/>
    <w:rsid w:val="00F1627F"/>
    <w:rsid w:val="00F1685B"/>
    <w:rsid w:val="00F16911"/>
    <w:rsid w:val="00F229B0"/>
    <w:rsid w:val="00F2343F"/>
    <w:rsid w:val="00F238A8"/>
    <w:rsid w:val="00F23A31"/>
    <w:rsid w:val="00F25FFD"/>
    <w:rsid w:val="00F26C0E"/>
    <w:rsid w:val="00F27839"/>
    <w:rsid w:val="00F2786B"/>
    <w:rsid w:val="00F304BE"/>
    <w:rsid w:val="00F30A1B"/>
    <w:rsid w:val="00F31381"/>
    <w:rsid w:val="00F3144A"/>
    <w:rsid w:val="00F31B23"/>
    <w:rsid w:val="00F33B91"/>
    <w:rsid w:val="00F3439A"/>
    <w:rsid w:val="00F343FF"/>
    <w:rsid w:val="00F34809"/>
    <w:rsid w:val="00F41730"/>
    <w:rsid w:val="00F42CCF"/>
    <w:rsid w:val="00F44106"/>
    <w:rsid w:val="00F45CD8"/>
    <w:rsid w:val="00F45F27"/>
    <w:rsid w:val="00F468E0"/>
    <w:rsid w:val="00F474EC"/>
    <w:rsid w:val="00F47E59"/>
    <w:rsid w:val="00F517FE"/>
    <w:rsid w:val="00F52E1D"/>
    <w:rsid w:val="00F5439E"/>
    <w:rsid w:val="00F57C5E"/>
    <w:rsid w:val="00F60897"/>
    <w:rsid w:val="00F60DF9"/>
    <w:rsid w:val="00F63123"/>
    <w:rsid w:val="00F63B1A"/>
    <w:rsid w:val="00F66338"/>
    <w:rsid w:val="00F665BA"/>
    <w:rsid w:val="00F6778A"/>
    <w:rsid w:val="00F71136"/>
    <w:rsid w:val="00F714EE"/>
    <w:rsid w:val="00F71685"/>
    <w:rsid w:val="00F751EC"/>
    <w:rsid w:val="00F769BE"/>
    <w:rsid w:val="00F76A92"/>
    <w:rsid w:val="00F77778"/>
    <w:rsid w:val="00F81CA7"/>
    <w:rsid w:val="00F85364"/>
    <w:rsid w:val="00F92949"/>
    <w:rsid w:val="00F945FA"/>
    <w:rsid w:val="00F94697"/>
    <w:rsid w:val="00F950D6"/>
    <w:rsid w:val="00F96521"/>
    <w:rsid w:val="00FA02B3"/>
    <w:rsid w:val="00FA09CA"/>
    <w:rsid w:val="00FA0C8A"/>
    <w:rsid w:val="00FA0E62"/>
    <w:rsid w:val="00FA0ED1"/>
    <w:rsid w:val="00FA0FC1"/>
    <w:rsid w:val="00FA19E0"/>
    <w:rsid w:val="00FA4D81"/>
    <w:rsid w:val="00FA5247"/>
    <w:rsid w:val="00FA6C60"/>
    <w:rsid w:val="00FA7B3E"/>
    <w:rsid w:val="00FB085B"/>
    <w:rsid w:val="00FB0990"/>
    <w:rsid w:val="00FB0A1B"/>
    <w:rsid w:val="00FB13FB"/>
    <w:rsid w:val="00FB14B4"/>
    <w:rsid w:val="00FB1E9D"/>
    <w:rsid w:val="00FB22F3"/>
    <w:rsid w:val="00FB2415"/>
    <w:rsid w:val="00FB24B4"/>
    <w:rsid w:val="00FB4026"/>
    <w:rsid w:val="00FB410E"/>
    <w:rsid w:val="00FB5161"/>
    <w:rsid w:val="00FB6579"/>
    <w:rsid w:val="00FB677C"/>
    <w:rsid w:val="00FB7B85"/>
    <w:rsid w:val="00FB7CCD"/>
    <w:rsid w:val="00FC11FD"/>
    <w:rsid w:val="00FC18AD"/>
    <w:rsid w:val="00FC2A39"/>
    <w:rsid w:val="00FC4E4D"/>
    <w:rsid w:val="00FC67BF"/>
    <w:rsid w:val="00FC6C7A"/>
    <w:rsid w:val="00FD06EF"/>
    <w:rsid w:val="00FD1469"/>
    <w:rsid w:val="00FD3137"/>
    <w:rsid w:val="00FD33E7"/>
    <w:rsid w:val="00FD3C6D"/>
    <w:rsid w:val="00FD45B8"/>
    <w:rsid w:val="00FD63D1"/>
    <w:rsid w:val="00FD6D19"/>
    <w:rsid w:val="00FD6F20"/>
    <w:rsid w:val="00FE0467"/>
    <w:rsid w:val="00FE0FE0"/>
    <w:rsid w:val="00FE1F25"/>
    <w:rsid w:val="00FE278B"/>
    <w:rsid w:val="00FE5B8D"/>
    <w:rsid w:val="00FE600D"/>
    <w:rsid w:val="00FE6705"/>
    <w:rsid w:val="00FE6B61"/>
    <w:rsid w:val="00FE6E10"/>
    <w:rsid w:val="00FF30A9"/>
    <w:rsid w:val="00FF31CB"/>
    <w:rsid w:val="00FF4865"/>
    <w:rsid w:val="00FF6457"/>
    <w:rsid w:val="00FF6760"/>
    <w:rsid w:val="00FF68F1"/>
    <w:rsid w:val="00FF79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B5A17B"/>
  <w15:docId w15:val="{C0982471-BCC0-4DA3-8598-190FED89E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EastAsia" w:hAnsi="Verdana" w:cstheme="minorBidi"/>
        <w:color w:val="4C483D" w:themeColor="text2"/>
        <w:lang w:val="en-US" w:eastAsia="ja-JP" w:bidi="ar-SA"/>
      </w:rPr>
    </w:rPrDefault>
    <w:pPrDefault>
      <w:pPr>
        <w:spacing w:after="32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23846"/>
    <w:pPr>
      <w:spacing w:after="0" w:line="240" w:lineRule="auto"/>
      <w:jc w:val="both"/>
    </w:pPr>
    <w:rPr>
      <w:rFonts w:ascii="Calibri" w:hAnsi="Calibri"/>
      <w:color w:val="auto"/>
      <w:sz w:val="22"/>
      <w:lang w:val="it-IT"/>
    </w:rPr>
  </w:style>
  <w:style w:type="paragraph" w:styleId="Titolo1">
    <w:name w:val="heading 1"/>
    <w:basedOn w:val="Normale"/>
    <w:next w:val="Normale"/>
    <w:link w:val="Titolo1Carattere"/>
    <w:autoRedefine/>
    <w:uiPriority w:val="9"/>
    <w:qFormat/>
    <w:rsid w:val="00C016CC"/>
    <w:pPr>
      <w:keepNext/>
      <w:keepLines/>
      <w:numPr>
        <w:numId w:val="6"/>
      </w:numPr>
      <w:pBdr>
        <w:bottom w:val="single" w:sz="8" w:space="0" w:color="FCDBDB" w:themeColor="accent1" w:themeTint="33"/>
      </w:pBdr>
      <w:spacing w:before="240" w:after="240"/>
      <w:outlineLvl w:val="0"/>
    </w:pPr>
    <w:rPr>
      <w:rFonts w:eastAsiaTheme="majorEastAsia" w:cstheme="majorBidi"/>
      <w:color w:val="DF1010" w:themeColor="accent1" w:themeShade="BF"/>
      <w:sz w:val="40"/>
      <w:szCs w:val="36"/>
    </w:rPr>
  </w:style>
  <w:style w:type="paragraph" w:styleId="Titolo2">
    <w:name w:val="heading 2"/>
    <w:basedOn w:val="Normale"/>
    <w:next w:val="Normale"/>
    <w:link w:val="Titolo2Carattere"/>
    <w:uiPriority w:val="9"/>
    <w:unhideWhenUsed/>
    <w:qFormat/>
    <w:rsid w:val="00B27AA3"/>
    <w:pPr>
      <w:keepNext/>
      <w:keepLines/>
      <w:numPr>
        <w:ilvl w:val="1"/>
        <w:numId w:val="6"/>
      </w:numPr>
      <w:spacing w:before="240" w:after="120"/>
      <w:outlineLvl w:val="1"/>
    </w:pPr>
    <w:rPr>
      <w:b/>
      <w:bCs/>
      <w:color w:val="7F7F7F" w:themeColor="text1" w:themeTint="80"/>
      <w:sz w:val="32"/>
      <w:szCs w:val="26"/>
    </w:rPr>
  </w:style>
  <w:style w:type="paragraph" w:styleId="Titolo3">
    <w:name w:val="heading 3"/>
    <w:basedOn w:val="Normale"/>
    <w:next w:val="Normale"/>
    <w:link w:val="Titolo3Carattere"/>
    <w:uiPriority w:val="9"/>
    <w:unhideWhenUsed/>
    <w:qFormat/>
    <w:rsid w:val="00B27AA3"/>
    <w:pPr>
      <w:keepNext/>
      <w:keepLines/>
      <w:numPr>
        <w:ilvl w:val="2"/>
        <w:numId w:val="6"/>
      </w:numPr>
      <w:spacing w:before="120"/>
      <w:outlineLvl w:val="2"/>
    </w:pPr>
    <w:rPr>
      <w:b/>
      <w:bCs/>
      <w:iCs/>
      <w:sz w:val="24"/>
      <w:szCs w:val="24"/>
    </w:rPr>
  </w:style>
  <w:style w:type="paragraph" w:styleId="Titolo4">
    <w:name w:val="heading 4"/>
    <w:basedOn w:val="Normale"/>
    <w:next w:val="Normale"/>
    <w:link w:val="Titolo4Carattere"/>
    <w:uiPriority w:val="9"/>
    <w:unhideWhenUsed/>
    <w:qFormat/>
    <w:rsid w:val="00624B2A"/>
    <w:pPr>
      <w:keepNext/>
      <w:keepLines/>
      <w:numPr>
        <w:ilvl w:val="3"/>
        <w:numId w:val="6"/>
      </w:numPr>
      <w:spacing w:before="40"/>
      <w:outlineLvl w:val="3"/>
    </w:pPr>
    <w:rPr>
      <w:rFonts w:eastAsiaTheme="majorEastAsia" w:cstheme="majorBidi"/>
      <w:b/>
      <w:i/>
      <w:iCs/>
      <w:color w:val="7F7F7F" w:themeColor="text1" w:themeTint="80"/>
    </w:rPr>
  </w:style>
  <w:style w:type="paragraph" w:styleId="Titolo5">
    <w:name w:val="heading 5"/>
    <w:basedOn w:val="Normale"/>
    <w:next w:val="Normale"/>
    <w:link w:val="Titolo5Carattere"/>
    <w:uiPriority w:val="9"/>
    <w:unhideWhenUsed/>
    <w:qFormat/>
    <w:rsid w:val="00FA19E0"/>
    <w:pPr>
      <w:keepNext/>
      <w:keepLines/>
      <w:numPr>
        <w:ilvl w:val="4"/>
        <w:numId w:val="6"/>
      </w:numPr>
      <w:spacing w:before="200"/>
      <w:ind w:left="851" w:hanging="851"/>
      <w:outlineLvl w:val="4"/>
    </w:pPr>
    <w:rPr>
      <w:rFonts w:eastAsiaTheme="majorEastAsia" w:cstheme="majorBidi"/>
      <w:b/>
      <w:sz w:val="20"/>
    </w:rPr>
  </w:style>
  <w:style w:type="paragraph" w:styleId="Titolo6">
    <w:name w:val="heading 6"/>
    <w:basedOn w:val="Normale"/>
    <w:next w:val="Normale"/>
    <w:link w:val="Titolo6Carattere"/>
    <w:uiPriority w:val="9"/>
    <w:unhideWhenUsed/>
    <w:qFormat/>
    <w:rsid w:val="00FA19E0"/>
    <w:pPr>
      <w:keepNext/>
      <w:keepLines/>
      <w:spacing w:before="40"/>
      <w:ind w:left="1152" w:hanging="1152"/>
      <w:outlineLvl w:val="5"/>
    </w:pPr>
    <w:rPr>
      <w:rFonts w:eastAsiaTheme="majorEastAsia" w:cstheme="majorBidi"/>
      <w:b/>
      <w:sz w:val="20"/>
    </w:rPr>
  </w:style>
  <w:style w:type="paragraph" w:styleId="Titolo7">
    <w:name w:val="heading 7"/>
    <w:basedOn w:val="Normale"/>
    <w:next w:val="Normale"/>
    <w:link w:val="Titolo7Carattere"/>
    <w:uiPriority w:val="9"/>
    <w:semiHidden/>
    <w:unhideWhenUsed/>
    <w:qFormat/>
    <w:rsid w:val="00470B30"/>
    <w:pPr>
      <w:keepNext/>
      <w:keepLines/>
      <w:numPr>
        <w:ilvl w:val="6"/>
        <w:numId w:val="6"/>
      </w:numPr>
      <w:spacing w:before="40"/>
      <w:outlineLvl w:val="6"/>
    </w:pPr>
    <w:rPr>
      <w:rFonts w:asciiTheme="majorHAnsi" w:eastAsiaTheme="majorEastAsia" w:hAnsiTheme="majorHAnsi" w:cstheme="majorBidi"/>
      <w:i/>
      <w:iCs/>
      <w:color w:val="940B0B" w:themeColor="accent1" w:themeShade="7F"/>
    </w:rPr>
  </w:style>
  <w:style w:type="paragraph" w:styleId="Titolo8">
    <w:name w:val="heading 8"/>
    <w:basedOn w:val="Normale"/>
    <w:next w:val="Normale"/>
    <w:link w:val="Titolo8Carattere"/>
    <w:uiPriority w:val="9"/>
    <w:semiHidden/>
    <w:unhideWhenUsed/>
    <w:qFormat/>
    <w:rsid w:val="00470B30"/>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470B30"/>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Logo">
    <w:name w:val="Logo"/>
    <w:basedOn w:val="Normale"/>
    <w:uiPriority w:val="99"/>
    <w:unhideWhenUsed/>
    <w:rsid w:val="00E6310D"/>
    <w:pPr>
      <w:spacing w:before="600"/>
    </w:pPr>
  </w:style>
  <w:style w:type="character" w:styleId="Testosegnaposto">
    <w:name w:val="Placeholder Text"/>
    <w:basedOn w:val="Carpredefinitoparagrafo"/>
    <w:uiPriority w:val="99"/>
    <w:semiHidden/>
    <w:rsid w:val="00E6310D"/>
    <w:rPr>
      <w:color w:val="808080"/>
    </w:rPr>
  </w:style>
  <w:style w:type="paragraph" w:styleId="Titolo">
    <w:name w:val="Title"/>
    <w:basedOn w:val="Normale"/>
    <w:next w:val="Normale"/>
    <w:link w:val="TitoloCarattere"/>
    <w:uiPriority w:val="10"/>
    <w:qFormat/>
    <w:rsid w:val="00E6310D"/>
    <w:pPr>
      <w:spacing w:after="600"/>
      <w:contextualSpacing/>
    </w:pPr>
    <w:rPr>
      <w:rFonts w:asciiTheme="majorHAnsi" w:eastAsiaTheme="majorEastAsia" w:hAnsiTheme="majorHAnsi" w:cstheme="majorBidi"/>
      <w:color w:val="F24F4F" w:themeColor="accent1"/>
      <w:kern w:val="28"/>
      <w:sz w:val="96"/>
      <w:szCs w:val="96"/>
    </w:rPr>
  </w:style>
  <w:style w:type="character" w:customStyle="1" w:styleId="TitoloCarattere">
    <w:name w:val="Titolo Carattere"/>
    <w:basedOn w:val="Carpredefinitoparagrafo"/>
    <w:link w:val="Titolo"/>
    <w:uiPriority w:val="10"/>
    <w:rsid w:val="00E6310D"/>
    <w:rPr>
      <w:rFonts w:asciiTheme="majorHAnsi" w:eastAsiaTheme="majorEastAsia" w:hAnsiTheme="majorHAnsi" w:cstheme="majorBidi"/>
      <w:color w:val="F24F4F" w:themeColor="accent1"/>
      <w:kern w:val="28"/>
      <w:sz w:val="96"/>
      <w:szCs w:val="96"/>
    </w:rPr>
  </w:style>
  <w:style w:type="paragraph" w:styleId="Sottotitolo">
    <w:name w:val="Subtitle"/>
    <w:basedOn w:val="Normale"/>
    <w:next w:val="Normale"/>
    <w:link w:val="SottotitoloCarattere"/>
    <w:uiPriority w:val="11"/>
    <w:qFormat/>
    <w:rsid w:val="00E6310D"/>
    <w:pPr>
      <w:numPr>
        <w:ilvl w:val="1"/>
      </w:numPr>
    </w:pPr>
    <w:rPr>
      <w:sz w:val="32"/>
      <w:szCs w:val="32"/>
    </w:rPr>
  </w:style>
  <w:style w:type="character" w:customStyle="1" w:styleId="SottotitoloCarattere">
    <w:name w:val="Sottotitolo Carattere"/>
    <w:basedOn w:val="Carpredefinitoparagrafo"/>
    <w:link w:val="Sottotitolo"/>
    <w:uiPriority w:val="11"/>
    <w:rsid w:val="00E6310D"/>
    <w:rPr>
      <w:sz w:val="32"/>
      <w:szCs w:val="32"/>
    </w:rPr>
  </w:style>
  <w:style w:type="paragraph" w:styleId="Nessunaspaziatura">
    <w:name w:val="No Spacing"/>
    <w:uiPriority w:val="1"/>
    <w:rsid w:val="00472F2A"/>
    <w:pPr>
      <w:spacing w:after="0" w:line="240" w:lineRule="auto"/>
      <w:jc w:val="both"/>
    </w:pPr>
  </w:style>
  <w:style w:type="table" w:styleId="Grigliatabella">
    <w:name w:val="Table Grid"/>
    <w:aliases w:val="CV1,HTG,CV table,chiffres,Tableau D,Table EY,Table Finalité,valentina1"/>
    <w:basedOn w:val="Tabellanormale"/>
    <w:uiPriority w:val="39"/>
    <w:rsid w:val="00E63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apiti">
    <w:name w:val="Recapiti"/>
    <w:basedOn w:val="Nessunaspaziatura"/>
    <w:uiPriority w:val="99"/>
    <w:qFormat/>
    <w:rsid w:val="00E6310D"/>
    <w:rPr>
      <w:color w:val="FFFFFF" w:themeColor="background1"/>
      <w:sz w:val="22"/>
      <w:szCs w:val="22"/>
    </w:rPr>
  </w:style>
  <w:style w:type="paragraph" w:customStyle="1" w:styleId="Spaziotabella">
    <w:name w:val="Spazio tabella"/>
    <w:basedOn w:val="Nessunaspaziatura"/>
    <w:uiPriority w:val="99"/>
    <w:rsid w:val="00E6310D"/>
    <w:pPr>
      <w:spacing w:line="14" w:lineRule="exact"/>
    </w:pPr>
  </w:style>
  <w:style w:type="paragraph" w:styleId="Intestazione">
    <w:name w:val="header"/>
    <w:basedOn w:val="Normale"/>
    <w:link w:val="IntestazioneCarattere"/>
    <w:uiPriority w:val="99"/>
    <w:unhideWhenUsed/>
    <w:rsid w:val="00E6310D"/>
    <w:pPr>
      <w:tabs>
        <w:tab w:val="center" w:pos="4680"/>
        <w:tab w:val="right" w:pos="9360"/>
      </w:tabs>
    </w:pPr>
  </w:style>
  <w:style w:type="character" w:customStyle="1" w:styleId="IntestazioneCarattere">
    <w:name w:val="Intestazione Carattere"/>
    <w:basedOn w:val="Carpredefinitoparagrafo"/>
    <w:link w:val="Intestazione"/>
    <w:uiPriority w:val="99"/>
    <w:rsid w:val="00E6310D"/>
  </w:style>
  <w:style w:type="paragraph" w:styleId="Pidipagina">
    <w:name w:val="footer"/>
    <w:basedOn w:val="Normale"/>
    <w:link w:val="PidipaginaCarattere"/>
    <w:uiPriority w:val="99"/>
    <w:unhideWhenUsed/>
    <w:qFormat/>
    <w:rsid w:val="00E6310D"/>
    <w:rPr>
      <w:rFonts w:asciiTheme="majorHAnsi" w:eastAsiaTheme="majorEastAsia" w:hAnsiTheme="majorHAnsi" w:cstheme="majorBidi"/>
      <w:caps/>
      <w:color w:val="F24F4F" w:themeColor="accent1"/>
      <w:sz w:val="16"/>
      <w:szCs w:val="16"/>
    </w:rPr>
  </w:style>
  <w:style w:type="character" w:customStyle="1" w:styleId="PidipaginaCarattere">
    <w:name w:val="Piè di pagina Carattere"/>
    <w:basedOn w:val="Carpredefinitoparagrafo"/>
    <w:link w:val="Pidipagina"/>
    <w:uiPriority w:val="99"/>
    <w:rsid w:val="00E6310D"/>
    <w:rPr>
      <w:rFonts w:asciiTheme="majorHAnsi" w:eastAsiaTheme="majorEastAsia" w:hAnsiTheme="majorHAnsi" w:cstheme="majorBidi"/>
      <w:caps/>
      <w:color w:val="F24F4F" w:themeColor="accent1"/>
      <w:sz w:val="16"/>
      <w:szCs w:val="16"/>
    </w:rPr>
  </w:style>
  <w:style w:type="character" w:customStyle="1" w:styleId="Titolo1Carattere">
    <w:name w:val="Titolo 1 Carattere"/>
    <w:basedOn w:val="Carpredefinitoparagrafo"/>
    <w:link w:val="Titolo1"/>
    <w:uiPriority w:val="9"/>
    <w:rsid w:val="00C016CC"/>
    <w:rPr>
      <w:rFonts w:ascii="Calibri" w:eastAsiaTheme="majorEastAsia" w:hAnsi="Calibri" w:cstheme="majorBidi"/>
      <w:color w:val="DF1010" w:themeColor="accent1" w:themeShade="BF"/>
      <w:sz w:val="40"/>
      <w:szCs w:val="36"/>
      <w:lang w:val="it-IT"/>
    </w:rPr>
  </w:style>
  <w:style w:type="character" w:customStyle="1" w:styleId="Titolo2Carattere">
    <w:name w:val="Titolo 2 Carattere"/>
    <w:basedOn w:val="Carpredefinitoparagrafo"/>
    <w:link w:val="Titolo2"/>
    <w:uiPriority w:val="9"/>
    <w:rsid w:val="00B27AA3"/>
    <w:rPr>
      <w:rFonts w:ascii="Calibri" w:hAnsi="Calibri"/>
      <w:b/>
      <w:bCs/>
      <w:color w:val="7F7F7F" w:themeColor="text1" w:themeTint="80"/>
      <w:sz w:val="32"/>
      <w:szCs w:val="26"/>
      <w:lang w:val="it-IT"/>
    </w:rPr>
  </w:style>
  <w:style w:type="paragraph" w:styleId="Titolosommario">
    <w:name w:val="TOC Heading"/>
    <w:basedOn w:val="Titolo1"/>
    <w:next w:val="Normale"/>
    <w:autoRedefine/>
    <w:uiPriority w:val="39"/>
    <w:unhideWhenUsed/>
    <w:qFormat/>
    <w:rsid w:val="00BD7100"/>
    <w:pPr>
      <w:pBdr>
        <w:bottom w:val="single" w:sz="8" w:space="1" w:color="DF1010" w:themeColor="accent1" w:themeShade="BF"/>
      </w:pBdr>
      <w:spacing w:after="400"/>
      <w:outlineLvl w:val="9"/>
    </w:pPr>
  </w:style>
  <w:style w:type="paragraph" w:styleId="Sommario1">
    <w:name w:val="toc 1"/>
    <w:aliases w:val="Sommario Century_verdana"/>
    <w:basedOn w:val="Normale"/>
    <w:next w:val="Normale"/>
    <w:autoRedefine/>
    <w:uiPriority w:val="39"/>
    <w:unhideWhenUsed/>
    <w:qFormat/>
    <w:rsid w:val="00397583"/>
    <w:pPr>
      <w:tabs>
        <w:tab w:val="left" w:pos="440"/>
        <w:tab w:val="right" w:leader="dot" w:pos="9061"/>
      </w:tabs>
      <w:spacing w:before="120"/>
      <w:jc w:val="left"/>
    </w:pPr>
    <w:rPr>
      <w:b/>
      <w:bCs/>
      <w:caps/>
      <w:sz w:val="20"/>
    </w:rPr>
  </w:style>
  <w:style w:type="paragraph" w:styleId="Sommario2">
    <w:name w:val="toc 2"/>
    <w:basedOn w:val="Normale"/>
    <w:next w:val="Normale"/>
    <w:autoRedefine/>
    <w:uiPriority w:val="39"/>
    <w:unhideWhenUsed/>
    <w:rsid w:val="006A265E"/>
    <w:pPr>
      <w:ind w:left="220"/>
      <w:jc w:val="left"/>
    </w:pPr>
    <w:rPr>
      <w:smallCaps/>
      <w:sz w:val="20"/>
    </w:rPr>
  </w:style>
  <w:style w:type="character" w:styleId="Collegamentoipertestuale">
    <w:name w:val="Hyperlink"/>
    <w:basedOn w:val="Carpredefinitoparagrafo"/>
    <w:uiPriority w:val="99"/>
    <w:unhideWhenUsed/>
    <w:rsid w:val="00E6310D"/>
    <w:rPr>
      <w:color w:val="4C483D" w:themeColor="hyperlink"/>
      <w:u w:val="single"/>
    </w:rPr>
  </w:style>
  <w:style w:type="character" w:customStyle="1" w:styleId="Titolo3Carattere">
    <w:name w:val="Titolo 3 Carattere"/>
    <w:basedOn w:val="Carpredefinitoparagrafo"/>
    <w:link w:val="Titolo3"/>
    <w:uiPriority w:val="9"/>
    <w:rsid w:val="00B27AA3"/>
    <w:rPr>
      <w:rFonts w:ascii="Calibri" w:hAnsi="Calibri"/>
      <w:b/>
      <w:bCs/>
      <w:iCs/>
      <w:color w:val="auto"/>
      <w:sz w:val="24"/>
      <w:szCs w:val="24"/>
      <w:lang w:val="it-IT"/>
    </w:rPr>
  </w:style>
  <w:style w:type="paragraph" w:customStyle="1" w:styleId="Logoalt">
    <w:name w:val="Logo alt."/>
    <w:basedOn w:val="Normale"/>
    <w:uiPriority w:val="99"/>
    <w:unhideWhenUsed/>
    <w:rsid w:val="00E6310D"/>
    <w:pPr>
      <w:spacing w:before="720"/>
      <w:ind w:left="720"/>
    </w:pPr>
  </w:style>
  <w:style w:type="paragraph" w:customStyle="1" w:styleId="Pidipaginaalt">
    <w:name w:val="Piè di pagina alt."/>
    <w:basedOn w:val="Normale"/>
    <w:uiPriority w:val="99"/>
    <w:unhideWhenUsed/>
    <w:qFormat/>
    <w:rsid w:val="00E6310D"/>
    <w:rPr>
      <w:i/>
      <w:iCs/>
      <w:sz w:val="18"/>
      <w:szCs w:val="18"/>
    </w:rPr>
  </w:style>
  <w:style w:type="table" w:customStyle="1" w:styleId="Tabellasuggerimento">
    <w:name w:val="Tabella suggerimento"/>
    <w:basedOn w:val="Tabellanormale"/>
    <w:uiPriority w:val="99"/>
    <w:rsid w:val="00E6310D"/>
    <w:pPr>
      <w:spacing w:after="0" w:line="240" w:lineRule="auto"/>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Testosuggerimento">
    <w:name w:val="Testo suggerimento"/>
    <w:basedOn w:val="Normale"/>
    <w:uiPriority w:val="99"/>
    <w:rsid w:val="00E6310D"/>
    <w:pPr>
      <w:spacing w:before="160" w:after="160" w:line="264" w:lineRule="auto"/>
      <w:ind w:right="576"/>
    </w:pPr>
    <w:rPr>
      <w:rFonts w:asciiTheme="majorHAnsi" w:eastAsiaTheme="majorEastAsia" w:hAnsiTheme="majorHAnsi" w:cstheme="majorBidi"/>
      <w:i/>
      <w:iCs/>
      <w:sz w:val="16"/>
      <w:szCs w:val="16"/>
    </w:rPr>
  </w:style>
  <w:style w:type="paragraph" w:customStyle="1" w:styleId="Icona">
    <w:name w:val="Icona"/>
    <w:basedOn w:val="Normale"/>
    <w:uiPriority w:val="99"/>
    <w:unhideWhenUsed/>
    <w:qFormat/>
    <w:rsid w:val="00E6310D"/>
    <w:pPr>
      <w:spacing w:before="160" w:after="160"/>
      <w:jc w:val="center"/>
    </w:pPr>
  </w:style>
  <w:style w:type="character" w:customStyle="1" w:styleId="Titolo4Carattere">
    <w:name w:val="Titolo 4 Carattere"/>
    <w:basedOn w:val="Carpredefinitoparagrafo"/>
    <w:link w:val="Titolo4"/>
    <w:uiPriority w:val="9"/>
    <w:rsid w:val="00624B2A"/>
    <w:rPr>
      <w:rFonts w:ascii="Calibri" w:eastAsiaTheme="majorEastAsia" w:hAnsi="Calibri" w:cstheme="majorBidi"/>
      <w:b/>
      <w:i/>
      <w:iCs/>
      <w:color w:val="7F7F7F" w:themeColor="text1" w:themeTint="80"/>
      <w:sz w:val="22"/>
      <w:lang w:val="it-IT"/>
    </w:rPr>
  </w:style>
  <w:style w:type="table" w:customStyle="1" w:styleId="Tabellafinanziaria">
    <w:name w:val="Tabella finanziaria"/>
    <w:basedOn w:val="Tabellanormale"/>
    <w:uiPriority w:val="99"/>
    <w:rsid w:val="00E6310D"/>
    <w:pPr>
      <w:spacing w:before="60" w:after="60" w:line="240" w:lineRule="auto"/>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Sommario3">
    <w:name w:val="toc 3"/>
    <w:basedOn w:val="Normale"/>
    <w:next w:val="Normale"/>
    <w:autoRedefine/>
    <w:uiPriority w:val="39"/>
    <w:unhideWhenUsed/>
    <w:rsid w:val="00F0489B"/>
    <w:pPr>
      <w:tabs>
        <w:tab w:val="left" w:pos="1320"/>
        <w:tab w:val="right" w:leader="dot" w:pos="9061"/>
      </w:tabs>
      <w:ind w:left="440"/>
      <w:jc w:val="left"/>
    </w:pPr>
    <w:rPr>
      <w:i/>
      <w:iCs/>
      <w:sz w:val="20"/>
    </w:rPr>
  </w:style>
  <w:style w:type="paragraph" w:styleId="Sommario4">
    <w:name w:val="toc 4"/>
    <w:basedOn w:val="Normale"/>
    <w:next w:val="Normale"/>
    <w:autoRedefine/>
    <w:uiPriority w:val="39"/>
    <w:unhideWhenUsed/>
    <w:rsid w:val="00B22A4E"/>
    <w:pPr>
      <w:ind w:left="660"/>
      <w:jc w:val="left"/>
    </w:pPr>
    <w:rPr>
      <w:rFonts w:asciiTheme="minorHAnsi" w:hAnsiTheme="minorHAnsi"/>
      <w:sz w:val="18"/>
      <w:szCs w:val="18"/>
    </w:rPr>
  </w:style>
  <w:style w:type="paragraph" w:customStyle="1" w:styleId="Kontaktopplysninger">
    <w:name w:val="Kontaktopplysninger"/>
    <w:basedOn w:val="Nessunaspaziatura"/>
    <w:uiPriority w:val="99"/>
    <w:qFormat/>
    <w:rsid w:val="007D5C6E"/>
    <w:rPr>
      <w:color w:val="FFFFFF" w:themeColor="background1"/>
      <w:sz w:val="22"/>
      <w:szCs w:val="22"/>
    </w:rPr>
  </w:style>
  <w:style w:type="paragraph" w:customStyle="1" w:styleId="Tabellomrde">
    <w:name w:val="Tabellområde"/>
    <w:basedOn w:val="Nessunaspaziatura"/>
    <w:uiPriority w:val="99"/>
    <w:rsid w:val="007D5C6E"/>
    <w:pPr>
      <w:spacing w:line="14" w:lineRule="exact"/>
    </w:pPr>
  </w:style>
  <w:style w:type="paragraph" w:styleId="Data">
    <w:name w:val="Date"/>
    <w:basedOn w:val="Normale"/>
    <w:next w:val="Normale"/>
    <w:link w:val="DataCarattere"/>
    <w:uiPriority w:val="99"/>
    <w:unhideWhenUsed/>
    <w:rsid w:val="00EE4CC9"/>
    <w:rPr>
      <w:smallCaps/>
      <w:sz w:val="24"/>
    </w:rPr>
  </w:style>
  <w:style w:type="character" w:customStyle="1" w:styleId="DataCarattere">
    <w:name w:val="Data Carattere"/>
    <w:basedOn w:val="Carpredefinitoparagrafo"/>
    <w:link w:val="Data"/>
    <w:uiPriority w:val="99"/>
    <w:rsid w:val="00EE4CC9"/>
    <w:rPr>
      <w:smallCaps/>
      <w:sz w:val="24"/>
    </w:rPr>
  </w:style>
  <w:style w:type="paragraph" w:styleId="Sommario5">
    <w:name w:val="toc 5"/>
    <w:basedOn w:val="Normale"/>
    <w:next w:val="Normale"/>
    <w:autoRedefine/>
    <w:uiPriority w:val="39"/>
    <w:unhideWhenUsed/>
    <w:rsid w:val="00B22A4E"/>
    <w:pPr>
      <w:ind w:left="880"/>
      <w:jc w:val="left"/>
    </w:pPr>
    <w:rPr>
      <w:rFonts w:asciiTheme="minorHAnsi" w:hAnsiTheme="minorHAnsi"/>
      <w:sz w:val="18"/>
      <w:szCs w:val="18"/>
    </w:rPr>
  </w:style>
  <w:style w:type="paragraph" w:styleId="Sommario9">
    <w:name w:val="toc 9"/>
    <w:basedOn w:val="Normale"/>
    <w:next w:val="Normale"/>
    <w:autoRedefine/>
    <w:uiPriority w:val="39"/>
    <w:unhideWhenUsed/>
    <w:rsid w:val="003702EA"/>
    <w:pPr>
      <w:ind w:left="1760"/>
      <w:jc w:val="left"/>
    </w:pPr>
    <w:rPr>
      <w:rFonts w:asciiTheme="minorHAnsi" w:hAnsiTheme="minorHAnsi"/>
      <w:sz w:val="18"/>
      <w:szCs w:val="18"/>
    </w:rPr>
  </w:style>
  <w:style w:type="paragraph" w:styleId="Paragrafoelenco">
    <w:name w:val="List Paragraph"/>
    <w:aliases w:val="List Bullet,Question,Normal bullet 2,Bullet list,Numbered List,List Paragraph1,AB List 1,Bullet Points,Elenco Bullet point,EL Paragrafo elenco,Paragrafo elenco puntato,Elenco num ARGEA,Punto elenco1,Paragraph,Bullet List Paragraph"/>
    <w:basedOn w:val="Normale"/>
    <w:link w:val="ParagrafoelencoCarattere"/>
    <w:uiPriority w:val="34"/>
    <w:unhideWhenUsed/>
    <w:qFormat/>
    <w:rsid w:val="00284872"/>
    <w:pPr>
      <w:ind w:left="720"/>
      <w:contextualSpacing/>
    </w:pPr>
  </w:style>
  <w:style w:type="paragraph" w:styleId="Citazione">
    <w:name w:val="Quote"/>
    <w:basedOn w:val="Normale"/>
    <w:next w:val="Normale"/>
    <w:link w:val="CitazioneCarattere"/>
    <w:uiPriority w:val="29"/>
    <w:unhideWhenUsed/>
    <w:qFormat/>
    <w:rsid w:val="00C854A4"/>
    <w:pPr>
      <w:spacing w:before="200" w:after="160"/>
      <w:ind w:left="864" w:right="864"/>
    </w:pPr>
    <w:rPr>
      <w:i/>
      <w:iCs/>
      <w:color w:val="404040" w:themeColor="text1" w:themeTint="BF"/>
    </w:rPr>
  </w:style>
  <w:style w:type="character" w:customStyle="1" w:styleId="CitazioneCarattere">
    <w:name w:val="Citazione Carattere"/>
    <w:basedOn w:val="Carpredefinitoparagrafo"/>
    <w:link w:val="Citazione"/>
    <w:uiPriority w:val="29"/>
    <w:rsid w:val="00C854A4"/>
    <w:rPr>
      <w:i/>
      <w:iCs/>
      <w:color w:val="404040" w:themeColor="text1" w:themeTint="BF"/>
    </w:rPr>
  </w:style>
  <w:style w:type="paragraph" w:styleId="Didascalia">
    <w:name w:val="caption"/>
    <w:basedOn w:val="Normale"/>
    <w:next w:val="Normale"/>
    <w:uiPriority w:val="35"/>
    <w:unhideWhenUsed/>
    <w:qFormat/>
    <w:rsid w:val="0037483E"/>
    <w:pPr>
      <w:keepNext/>
      <w:spacing w:before="120"/>
    </w:pPr>
    <w:rPr>
      <w:b/>
      <w:i/>
      <w:iCs/>
      <w:sz w:val="18"/>
      <w:szCs w:val="18"/>
    </w:rPr>
  </w:style>
  <w:style w:type="paragraph" w:styleId="Indicedellefigure">
    <w:name w:val="table of figures"/>
    <w:basedOn w:val="Normale"/>
    <w:next w:val="Normale"/>
    <w:uiPriority w:val="99"/>
    <w:unhideWhenUsed/>
    <w:rsid w:val="002F3B80"/>
    <w:rPr>
      <w:sz w:val="20"/>
    </w:rPr>
  </w:style>
  <w:style w:type="paragraph" w:customStyle="1" w:styleId="Fonte">
    <w:name w:val="Fonte"/>
    <w:basedOn w:val="Normale"/>
    <w:qFormat/>
    <w:rsid w:val="001B473A"/>
    <w:pPr>
      <w:widowControl w:val="0"/>
    </w:pPr>
    <w:rPr>
      <w:sz w:val="18"/>
      <w:szCs w:val="18"/>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stile,o,f"/>
    <w:basedOn w:val="Normale"/>
    <w:link w:val="TestonotaapidipaginaCarattere"/>
    <w:uiPriority w:val="99"/>
    <w:unhideWhenUsed/>
    <w:qFormat/>
    <w:rsid w:val="0018339B"/>
    <w:rPr>
      <w:sz w:val="18"/>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18339B"/>
    <w:rPr>
      <w:sz w:val="18"/>
    </w:rPr>
  </w:style>
  <w:style w:type="character" w:styleId="Rimandonotaapidipagina">
    <w:name w:val="footnote reference"/>
    <w:aliases w:val="Footnote symbol,Voetnootverwijzing,Rimando nota a piè di pagina1,footnote sign,Nota a piè di pagina,Footnote reference number,note TESI,BVI fnr,Rimando nota a piË di pagina1,EN Footnote Reference,SUPERS,(Footnote Reference)"/>
    <w:basedOn w:val="Carpredefinitoparagrafo"/>
    <w:link w:val="BVIfnr"/>
    <w:uiPriority w:val="99"/>
    <w:unhideWhenUsed/>
    <w:qFormat/>
    <w:rsid w:val="0018339B"/>
    <w:rPr>
      <w:vertAlign w:val="superscript"/>
    </w:rPr>
  </w:style>
  <w:style w:type="paragraph" w:customStyle="1" w:styleId="Testotabella">
    <w:name w:val="Testo tabella"/>
    <w:basedOn w:val="Normale"/>
    <w:link w:val="TestotabellaCarattere"/>
    <w:qFormat/>
    <w:rsid w:val="00112399"/>
    <w:pPr>
      <w:spacing w:before="60"/>
    </w:pPr>
    <w:rPr>
      <w:rFonts w:ascii="Century Gothic" w:hAnsi="Century Gothic"/>
      <w:color w:val="404040" w:themeColor="text1" w:themeTint="BF"/>
      <w:sz w:val="16"/>
      <w:szCs w:val="16"/>
    </w:rPr>
  </w:style>
  <w:style w:type="paragraph" w:styleId="Titoloindicefonti">
    <w:name w:val="toa heading"/>
    <w:basedOn w:val="Normale"/>
    <w:next w:val="Normale"/>
    <w:uiPriority w:val="99"/>
    <w:unhideWhenUsed/>
    <w:rsid w:val="00043688"/>
    <w:rPr>
      <w:rFonts w:asciiTheme="majorHAnsi" w:eastAsiaTheme="majorEastAsia" w:hAnsiTheme="majorHAnsi" w:cstheme="majorBidi"/>
      <w:b/>
      <w:bCs/>
      <w:sz w:val="24"/>
      <w:szCs w:val="24"/>
    </w:rPr>
  </w:style>
  <w:style w:type="character" w:customStyle="1" w:styleId="TestotabellaCarattere">
    <w:name w:val="Testo tabella Carattere"/>
    <w:basedOn w:val="Carpredefinitoparagrafo"/>
    <w:link w:val="Testotabella"/>
    <w:rsid w:val="00112399"/>
    <w:rPr>
      <w:rFonts w:ascii="Century Gothic" w:hAnsi="Century Gothic"/>
      <w:color w:val="404040" w:themeColor="text1" w:themeTint="BF"/>
      <w:sz w:val="16"/>
      <w:szCs w:val="16"/>
      <w:lang w:val="it-IT"/>
    </w:rPr>
  </w:style>
  <w:style w:type="paragraph" w:styleId="Indicefonti">
    <w:name w:val="table of authorities"/>
    <w:basedOn w:val="Normale"/>
    <w:next w:val="Normale"/>
    <w:uiPriority w:val="99"/>
    <w:semiHidden/>
    <w:unhideWhenUsed/>
    <w:rsid w:val="00043688"/>
    <w:pPr>
      <w:ind w:left="200" w:hanging="200"/>
    </w:pPr>
  </w:style>
  <w:style w:type="paragraph" w:customStyle="1" w:styleId="Box">
    <w:name w:val="Box"/>
    <w:basedOn w:val="Testosuggerimento"/>
    <w:qFormat/>
    <w:rsid w:val="002254F3"/>
    <w:rPr>
      <w:rFonts w:ascii="Century Gothic" w:hAnsi="Century Gothic"/>
      <w:color w:val="4C483D"/>
    </w:rPr>
  </w:style>
  <w:style w:type="paragraph" w:styleId="Testofumetto">
    <w:name w:val="Balloon Text"/>
    <w:basedOn w:val="Normale"/>
    <w:link w:val="TestofumettoCarattere"/>
    <w:uiPriority w:val="99"/>
    <w:semiHidden/>
    <w:unhideWhenUsed/>
    <w:rsid w:val="000D2F4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2F43"/>
    <w:rPr>
      <w:rFonts w:ascii="Tahoma" w:hAnsi="Tahoma" w:cs="Tahoma"/>
      <w:sz w:val="16"/>
      <w:szCs w:val="16"/>
    </w:rPr>
  </w:style>
  <w:style w:type="character" w:customStyle="1" w:styleId="Titolo5Carattere">
    <w:name w:val="Titolo 5 Carattere"/>
    <w:basedOn w:val="Carpredefinitoparagrafo"/>
    <w:link w:val="Titolo5"/>
    <w:uiPriority w:val="9"/>
    <w:rsid w:val="00FA19E0"/>
    <w:rPr>
      <w:rFonts w:ascii="Calibri" w:eastAsiaTheme="majorEastAsia" w:hAnsi="Calibri" w:cstheme="majorBidi"/>
      <w:b/>
      <w:color w:val="auto"/>
      <w:lang w:val="it-IT"/>
    </w:rPr>
  </w:style>
  <w:style w:type="paragraph" w:styleId="Sommario6">
    <w:name w:val="toc 6"/>
    <w:basedOn w:val="Normale"/>
    <w:next w:val="Normale"/>
    <w:autoRedefine/>
    <w:uiPriority w:val="39"/>
    <w:unhideWhenUsed/>
    <w:rsid w:val="00F63B1A"/>
    <w:pPr>
      <w:ind w:left="1100"/>
      <w:jc w:val="left"/>
    </w:pPr>
    <w:rPr>
      <w:rFonts w:asciiTheme="minorHAnsi" w:hAnsiTheme="minorHAnsi"/>
      <w:sz w:val="18"/>
      <w:szCs w:val="18"/>
    </w:rPr>
  </w:style>
  <w:style w:type="paragraph" w:styleId="Sommario7">
    <w:name w:val="toc 7"/>
    <w:basedOn w:val="Normale"/>
    <w:next w:val="Normale"/>
    <w:autoRedefine/>
    <w:uiPriority w:val="39"/>
    <w:unhideWhenUsed/>
    <w:rsid w:val="00F63B1A"/>
    <w:pPr>
      <w:ind w:left="1320"/>
      <w:jc w:val="left"/>
    </w:pPr>
    <w:rPr>
      <w:rFonts w:asciiTheme="minorHAnsi" w:hAnsiTheme="minorHAnsi"/>
      <w:sz w:val="18"/>
      <w:szCs w:val="18"/>
    </w:rPr>
  </w:style>
  <w:style w:type="paragraph" w:styleId="Sommario8">
    <w:name w:val="toc 8"/>
    <w:basedOn w:val="Normale"/>
    <w:next w:val="Normale"/>
    <w:autoRedefine/>
    <w:uiPriority w:val="39"/>
    <w:unhideWhenUsed/>
    <w:rsid w:val="00F63B1A"/>
    <w:pPr>
      <w:ind w:left="1540"/>
      <w:jc w:val="left"/>
    </w:pPr>
    <w:rPr>
      <w:rFonts w:asciiTheme="minorHAnsi" w:hAnsiTheme="minorHAnsi"/>
      <w:sz w:val="18"/>
      <w:szCs w:val="18"/>
    </w:rPr>
  </w:style>
  <w:style w:type="paragraph" w:customStyle="1" w:styleId="bullettable1">
    <w:name w:val="bullet table 1"/>
    <w:basedOn w:val="Paragrafoelenco"/>
    <w:link w:val="bullettable1Carattere"/>
    <w:qFormat/>
    <w:rsid w:val="00877522"/>
    <w:pPr>
      <w:numPr>
        <w:numId w:val="1"/>
      </w:numPr>
      <w:ind w:left="175" w:hanging="142"/>
      <w:jc w:val="left"/>
    </w:pPr>
    <w:rPr>
      <w:rFonts w:cs="Arial"/>
      <w:sz w:val="20"/>
    </w:rPr>
  </w:style>
  <w:style w:type="paragraph" w:customStyle="1" w:styleId="bullettable2">
    <w:name w:val="bullet table 2"/>
    <w:basedOn w:val="bullettable1"/>
    <w:link w:val="bullettable2Carattere"/>
    <w:qFormat/>
    <w:rsid w:val="00957D25"/>
    <w:pPr>
      <w:numPr>
        <w:numId w:val="2"/>
      </w:numPr>
    </w:pPr>
  </w:style>
  <w:style w:type="character" w:customStyle="1" w:styleId="ParagrafoelencoCarattere">
    <w:name w:val="Paragrafo elenco Carattere"/>
    <w:aliases w:val="List Bullet Carattere,Question Carattere,Normal bullet 2 Carattere,Bullet list Carattere,Numbered List Carattere,List Paragraph1 Carattere,AB List 1 Carattere,Bullet Points Carattere,Elenco Bullet point Carattere"/>
    <w:basedOn w:val="Carpredefinitoparagrafo"/>
    <w:link w:val="Paragrafoelenco"/>
    <w:uiPriority w:val="34"/>
    <w:qFormat/>
    <w:rsid w:val="00957D25"/>
    <w:rPr>
      <w:rFonts w:ascii="Arial" w:hAnsi="Arial"/>
      <w:color w:val="auto"/>
      <w:sz w:val="22"/>
    </w:rPr>
  </w:style>
  <w:style w:type="character" w:customStyle="1" w:styleId="bullettable1Carattere">
    <w:name w:val="bullet table 1 Carattere"/>
    <w:basedOn w:val="ParagrafoelencoCarattere"/>
    <w:link w:val="bullettable1"/>
    <w:rsid w:val="00877522"/>
    <w:rPr>
      <w:rFonts w:ascii="Calibri" w:hAnsi="Calibri" w:cs="Arial"/>
      <w:color w:val="auto"/>
      <w:sz w:val="22"/>
      <w:lang w:val="it-IT"/>
    </w:rPr>
  </w:style>
  <w:style w:type="paragraph" w:customStyle="1" w:styleId="bulletpoint">
    <w:name w:val="bullet point"/>
    <w:basedOn w:val="Paragrafoelenco"/>
    <w:link w:val="bulletpointCarattere"/>
    <w:qFormat/>
    <w:rsid w:val="001B473A"/>
    <w:pPr>
      <w:numPr>
        <w:numId w:val="3"/>
      </w:numPr>
    </w:pPr>
    <w:rPr>
      <w:rFonts w:cs="Arial"/>
    </w:rPr>
  </w:style>
  <w:style w:type="character" w:customStyle="1" w:styleId="bullettable2Carattere">
    <w:name w:val="bullet table 2 Carattere"/>
    <w:basedOn w:val="bullettable1Carattere"/>
    <w:link w:val="bullettable2"/>
    <w:rsid w:val="00957D25"/>
    <w:rPr>
      <w:rFonts w:ascii="Calibri" w:hAnsi="Calibri" w:cs="Arial"/>
      <w:color w:val="auto"/>
      <w:sz w:val="22"/>
      <w:lang w:val="it-IT"/>
    </w:rPr>
  </w:style>
  <w:style w:type="character" w:customStyle="1" w:styleId="bulletpointCarattere">
    <w:name w:val="bullet point Carattere"/>
    <w:basedOn w:val="ParagrafoelencoCarattere"/>
    <w:link w:val="bulletpoint"/>
    <w:rsid w:val="001B473A"/>
    <w:rPr>
      <w:rFonts w:ascii="Calibri" w:hAnsi="Calibri" w:cs="Arial"/>
      <w:color w:val="auto"/>
      <w:sz w:val="22"/>
      <w:lang w:val="it-IT"/>
    </w:rPr>
  </w:style>
  <w:style w:type="paragraph" w:customStyle="1" w:styleId="TableParagraph">
    <w:name w:val="Table Paragraph"/>
    <w:basedOn w:val="Normale"/>
    <w:uiPriority w:val="1"/>
    <w:qFormat/>
    <w:rsid w:val="006A44AD"/>
    <w:pPr>
      <w:widowControl w:val="0"/>
      <w:autoSpaceDE w:val="0"/>
      <w:autoSpaceDN w:val="0"/>
      <w:jc w:val="left"/>
    </w:pPr>
    <w:rPr>
      <w:rFonts w:ascii="Times New Roman" w:eastAsia="Times New Roman" w:hAnsi="Times New Roman" w:cs="Times New Roman"/>
      <w:szCs w:val="22"/>
      <w:lang w:eastAsia="en-US"/>
    </w:rPr>
  </w:style>
  <w:style w:type="character" w:customStyle="1" w:styleId="A5">
    <w:name w:val="A5"/>
    <w:uiPriority w:val="99"/>
    <w:rsid w:val="003F0B60"/>
    <w:rPr>
      <w:rFonts w:cs="ITC Avant Garde Std Bk"/>
      <w:color w:val="000000"/>
      <w:sz w:val="15"/>
      <w:szCs w:val="15"/>
    </w:rPr>
  </w:style>
  <w:style w:type="paragraph" w:customStyle="1" w:styleId="Default">
    <w:name w:val="Default"/>
    <w:rsid w:val="006F124C"/>
    <w:pPr>
      <w:autoSpaceDE w:val="0"/>
      <w:autoSpaceDN w:val="0"/>
      <w:adjustRightInd w:val="0"/>
      <w:spacing w:after="0" w:line="240" w:lineRule="auto"/>
    </w:pPr>
    <w:rPr>
      <w:rFonts w:ascii="Arial" w:hAnsi="Arial" w:cs="Arial"/>
      <w:color w:val="000000"/>
      <w:sz w:val="24"/>
      <w:szCs w:val="24"/>
      <w:lang w:val="it-IT"/>
    </w:rPr>
  </w:style>
  <w:style w:type="character" w:styleId="Rimandocommento">
    <w:name w:val="annotation reference"/>
    <w:basedOn w:val="Carpredefinitoparagrafo"/>
    <w:uiPriority w:val="99"/>
    <w:semiHidden/>
    <w:unhideWhenUsed/>
    <w:rsid w:val="009E136D"/>
    <w:rPr>
      <w:sz w:val="16"/>
      <w:szCs w:val="16"/>
    </w:rPr>
  </w:style>
  <w:style w:type="paragraph" w:styleId="Testocommento">
    <w:name w:val="annotation text"/>
    <w:basedOn w:val="Normale"/>
    <w:link w:val="TestocommentoCarattere"/>
    <w:uiPriority w:val="99"/>
    <w:unhideWhenUsed/>
    <w:rsid w:val="009E136D"/>
    <w:rPr>
      <w:sz w:val="20"/>
    </w:rPr>
  </w:style>
  <w:style w:type="character" w:customStyle="1" w:styleId="TestocommentoCarattere">
    <w:name w:val="Testo commento Carattere"/>
    <w:basedOn w:val="Carpredefinitoparagrafo"/>
    <w:link w:val="Testocommento"/>
    <w:uiPriority w:val="99"/>
    <w:rsid w:val="009E136D"/>
    <w:rPr>
      <w:rFonts w:ascii="Arial" w:hAnsi="Arial"/>
      <w:color w:val="auto"/>
    </w:rPr>
  </w:style>
  <w:style w:type="paragraph" w:styleId="Soggettocommento">
    <w:name w:val="annotation subject"/>
    <w:basedOn w:val="Testocommento"/>
    <w:next w:val="Testocommento"/>
    <w:link w:val="SoggettocommentoCarattere"/>
    <w:uiPriority w:val="99"/>
    <w:semiHidden/>
    <w:unhideWhenUsed/>
    <w:rsid w:val="009E136D"/>
    <w:rPr>
      <w:b/>
      <w:bCs/>
    </w:rPr>
  </w:style>
  <w:style w:type="character" w:customStyle="1" w:styleId="SoggettocommentoCarattere">
    <w:name w:val="Soggetto commento Carattere"/>
    <w:basedOn w:val="TestocommentoCarattere"/>
    <w:link w:val="Soggettocommento"/>
    <w:uiPriority w:val="99"/>
    <w:semiHidden/>
    <w:rsid w:val="009E136D"/>
    <w:rPr>
      <w:rFonts w:ascii="Arial" w:hAnsi="Arial"/>
      <w:b/>
      <w:bCs/>
      <w:color w:val="auto"/>
    </w:rPr>
  </w:style>
  <w:style w:type="table" w:customStyle="1" w:styleId="TableFinalit4">
    <w:name w:val="Table Finalité4"/>
    <w:basedOn w:val="Tabellanormale"/>
    <w:uiPriority w:val="59"/>
    <w:rsid w:val="006369B7"/>
    <w:pPr>
      <w:spacing w:after="200" w:line="276" w:lineRule="auto"/>
    </w:pPr>
    <w:rPr>
      <w:rFonts w:asciiTheme="minorHAnsi" w:eastAsia="Times New Roman" w:hAnsiTheme="minorHAnsi"/>
      <w:color w:val="auto"/>
      <w:sz w:val="22"/>
      <w:szCs w:val="22"/>
      <w:lang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eCandara10pt">
    <w:name w:val="Stile Candara 10 pt"/>
    <w:basedOn w:val="Carpredefinitoparagrafo"/>
    <w:uiPriority w:val="99"/>
    <w:rsid w:val="00923CB8"/>
    <w:rPr>
      <w:rFonts w:ascii="Candara" w:hAnsi="Candara" w:cs="Candara" w:hint="default"/>
      <w:sz w:val="22"/>
      <w:szCs w:val="22"/>
    </w:rPr>
  </w:style>
  <w:style w:type="character" w:customStyle="1" w:styleId="A1">
    <w:name w:val="A1"/>
    <w:uiPriority w:val="99"/>
    <w:rsid w:val="00923CB8"/>
    <w:rPr>
      <w:rFonts w:ascii="HelveticaNeueLT Std" w:hAnsi="HelveticaNeueLT Std" w:cs="HelveticaNeueLT Std"/>
      <w:color w:val="000000"/>
      <w:sz w:val="23"/>
      <w:szCs w:val="23"/>
    </w:rPr>
  </w:style>
  <w:style w:type="paragraph" w:styleId="Revisione">
    <w:name w:val="Revision"/>
    <w:hidden/>
    <w:uiPriority w:val="99"/>
    <w:semiHidden/>
    <w:rsid w:val="000E624C"/>
    <w:pPr>
      <w:spacing w:after="0" w:line="240" w:lineRule="auto"/>
    </w:pPr>
    <w:rPr>
      <w:rFonts w:ascii="Calibri" w:hAnsi="Calibri"/>
      <w:color w:val="auto"/>
      <w:sz w:val="22"/>
    </w:rPr>
  </w:style>
  <w:style w:type="paragraph" w:styleId="NormaleWeb">
    <w:name w:val="Normal (Web)"/>
    <w:basedOn w:val="Normale"/>
    <w:uiPriority w:val="99"/>
    <w:unhideWhenUsed/>
    <w:rsid w:val="003C2559"/>
    <w:pPr>
      <w:spacing w:before="100" w:beforeAutospacing="1" w:after="100" w:afterAutospacing="1"/>
      <w:jc w:val="left"/>
    </w:pPr>
    <w:rPr>
      <w:rFonts w:ascii="Times New Roman" w:hAnsi="Times New Roman" w:cs="Times New Roman"/>
      <w:sz w:val="24"/>
      <w:szCs w:val="24"/>
      <w:lang w:eastAsia="it-IT"/>
    </w:rPr>
  </w:style>
  <w:style w:type="character" w:customStyle="1" w:styleId="Menzionenonrisolta1">
    <w:name w:val="Menzione non risolta1"/>
    <w:basedOn w:val="Carpredefinitoparagrafo"/>
    <w:uiPriority w:val="99"/>
    <w:semiHidden/>
    <w:unhideWhenUsed/>
    <w:rsid w:val="0013722B"/>
    <w:rPr>
      <w:color w:val="605E5C"/>
      <w:shd w:val="clear" w:color="auto" w:fill="E1DFDD"/>
    </w:rPr>
  </w:style>
  <w:style w:type="table" w:customStyle="1" w:styleId="Tabellagriglia5scura1">
    <w:name w:val="Tabella griglia 5 scura1"/>
    <w:basedOn w:val="Tabellanormale"/>
    <w:uiPriority w:val="50"/>
    <w:rsid w:val="003260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ellaelenco3-colore41">
    <w:name w:val="Tabella elenco 3 - colore 41"/>
    <w:basedOn w:val="Tabellanormale"/>
    <w:uiPriority w:val="48"/>
    <w:rsid w:val="003260FC"/>
    <w:pPr>
      <w:spacing w:after="0" w:line="240" w:lineRule="auto"/>
    </w:pPr>
    <w:tblPr>
      <w:tblStyleRowBandSize w:val="1"/>
      <w:tblStyleColBandSize w:val="1"/>
      <w:tblBorders>
        <w:top w:val="single" w:sz="4" w:space="0" w:color="61ADBF" w:themeColor="accent4"/>
        <w:left w:val="single" w:sz="4" w:space="0" w:color="61ADBF" w:themeColor="accent4"/>
        <w:bottom w:val="single" w:sz="4" w:space="0" w:color="61ADBF" w:themeColor="accent4"/>
        <w:right w:val="single" w:sz="4" w:space="0" w:color="61ADBF" w:themeColor="accent4"/>
      </w:tblBorders>
    </w:tblPr>
    <w:tblStylePr w:type="firstRow">
      <w:rPr>
        <w:b/>
        <w:bCs/>
        <w:color w:val="FFFFFF" w:themeColor="background1"/>
      </w:rPr>
      <w:tblPr/>
      <w:tcPr>
        <w:shd w:val="clear" w:color="auto" w:fill="61ADBF" w:themeFill="accent4"/>
      </w:tcPr>
    </w:tblStylePr>
    <w:tblStylePr w:type="lastRow">
      <w:rPr>
        <w:b/>
        <w:bCs/>
      </w:rPr>
      <w:tblPr/>
      <w:tcPr>
        <w:tcBorders>
          <w:top w:val="double" w:sz="4" w:space="0" w:color="61ADB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ADBF" w:themeColor="accent4"/>
          <w:right w:val="single" w:sz="4" w:space="0" w:color="61ADBF" w:themeColor="accent4"/>
        </w:tcBorders>
      </w:tcPr>
    </w:tblStylePr>
    <w:tblStylePr w:type="band1Horz">
      <w:tblPr/>
      <w:tcPr>
        <w:tcBorders>
          <w:top w:val="single" w:sz="4" w:space="0" w:color="61ADBF" w:themeColor="accent4"/>
          <w:bottom w:val="single" w:sz="4" w:space="0" w:color="61ADB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ADBF" w:themeColor="accent4"/>
          <w:left w:val="nil"/>
        </w:tcBorders>
      </w:tcPr>
    </w:tblStylePr>
    <w:tblStylePr w:type="swCell">
      <w:tblPr/>
      <w:tcPr>
        <w:tcBorders>
          <w:top w:val="double" w:sz="4" w:space="0" w:color="61ADBF" w:themeColor="accent4"/>
          <w:right w:val="nil"/>
        </w:tcBorders>
      </w:tcPr>
    </w:tblStylePr>
  </w:style>
  <w:style w:type="table" w:customStyle="1" w:styleId="Tabellaelenco3-colore21">
    <w:name w:val="Tabella elenco 3 - colore 21"/>
    <w:basedOn w:val="Tabellanormale"/>
    <w:uiPriority w:val="48"/>
    <w:rsid w:val="003260FC"/>
    <w:pPr>
      <w:spacing w:after="0" w:line="240" w:lineRule="auto"/>
    </w:pPr>
    <w:tblPr>
      <w:tblStyleRowBandSize w:val="1"/>
      <w:tblStyleColBandSize w:val="1"/>
      <w:tblBorders>
        <w:top w:val="single" w:sz="4" w:space="0" w:color="8DBB70" w:themeColor="accent2"/>
        <w:left w:val="single" w:sz="4" w:space="0" w:color="8DBB70" w:themeColor="accent2"/>
        <w:bottom w:val="single" w:sz="4" w:space="0" w:color="8DBB70" w:themeColor="accent2"/>
        <w:right w:val="single" w:sz="4" w:space="0" w:color="8DBB70" w:themeColor="accent2"/>
      </w:tblBorders>
    </w:tblPr>
    <w:tblStylePr w:type="firstRow">
      <w:rPr>
        <w:b/>
        <w:bCs/>
        <w:color w:val="FFFFFF" w:themeColor="background1"/>
      </w:rPr>
      <w:tblPr/>
      <w:tcPr>
        <w:shd w:val="clear" w:color="auto" w:fill="8DBB70" w:themeFill="accent2"/>
      </w:tcPr>
    </w:tblStylePr>
    <w:tblStylePr w:type="lastRow">
      <w:rPr>
        <w:b/>
        <w:bCs/>
      </w:rPr>
      <w:tblPr/>
      <w:tcPr>
        <w:tcBorders>
          <w:top w:val="double" w:sz="4" w:space="0" w:color="8DBB7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DBB70" w:themeColor="accent2"/>
          <w:right w:val="single" w:sz="4" w:space="0" w:color="8DBB70" w:themeColor="accent2"/>
        </w:tcBorders>
      </w:tcPr>
    </w:tblStylePr>
    <w:tblStylePr w:type="band1Horz">
      <w:tblPr/>
      <w:tcPr>
        <w:tcBorders>
          <w:top w:val="single" w:sz="4" w:space="0" w:color="8DBB70" w:themeColor="accent2"/>
          <w:bottom w:val="single" w:sz="4" w:space="0" w:color="8DBB7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DBB70" w:themeColor="accent2"/>
          <w:left w:val="nil"/>
        </w:tcBorders>
      </w:tcPr>
    </w:tblStylePr>
    <w:tblStylePr w:type="swCell">
      <w:tblPr/>
      <w:tcPr>
        <w:tcBorders>
          <w:top w:val="double" w:sz="4" w:space="0" w:color="8DBB70" w:themeColor="accent2"/>
          <w:right w:val="nil"/>
        </w:tcBorders>
      </w:tcPr>
    </w:tblStylePr>
  </w:style>
  <w:style w:type="table" w:customStyle="1" w:styleId="Tabellaelenco4-colore21">
    <w:name w:val="Tabella elenco 4 - colore 21"/>
    <w:basedOn w:val="Tabellanormale"/>
    <w:uiPriority w:val="49"/>
    <w:rsid w:val="003260FC"/>
    <w:pPr>
      <w:spacing w:after="0" w:line="240" w:lineRule="auto"/>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tblBorders>
    </w:tblPr>
    <w:tblStylePr w:type="firstRow">
      <w:rPr>
        <w:b/>
        <w:bCs/>
        <w:color w:val="FFFFFF" w:themeColor="background1"/>
      </w:rPr>
      <w:tblPr/>
      <w:tcPr>
        <w:tcBorders>
          <w:top w:val="single" w:sz="4" w:space="0" w:color="8DBB70" w:themeColor="accent2"/>
          <w:left w:val="single" w:sz="4" w:space="0" w:color="8DBB70" w:themeColor="accent2"/>
          <w:bottom w:val="single" w:sz="4" w:space="0" w:color="8DBB70" w:themeColor="accent2"/>
          <w:right w:val="single" w:sz="4" w:space="0" w:color="8DBB70" w:themeColor="accent2"/>
          <w:insideH w:val="nil"/>
        </w:tcBorders>
        <w:shd w:val="clear" w:color="auto" w:fill="8DBB70" w:themeFill="accent2"/>
      </w:tcPr>
    </w:tblStylePr>
    <w:tblStylePr w:type="lastRow">
      <w:rPr>
        <w:b/>
        <w:bCs/>
      </w:rPr>
      <w:tblPr/>
      <w:tcPr>
        <w:tcBorders>
          <w:top w:val="doub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customStyle="1" w:styleId="TableFinalit1">
    <w:name w:val="Table Finalité1"/>
    <w:basedOn w:val="Tabellanormale"/>
    <w:next w:val="Grigliatabella"/>
    <w:uiPriority w:val="59"/>
    <w:rsid w:val="00583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griglia4-colore11">
    <w:name w:val="Tabella griglia 4 - colore 11"/>
    <w:basedOn w:val="Tabellanormale"/>
    <w:uiPriority w:val="49"/>
    <w:rsid w:val="009D5C43"/>
    <w:pPr>
      <w:spacing w:after="0" w:line="240" w:lineRule="auto"/>
    </w:pPr>
    <w:rPr>
      <w:rFonts w:asciiTheme="minorHAnsi" w:eastAsiaTheme="minorHAnsi" w:hAnsiTheme="minorHAnsi"/>
      <w:color w:val="auto"/>
      <w:sz w:val="22"/>
      <w:szCs w:val="22"/>
      <w:lang w:val="it-IT" w:eastAsia="en-US"/>
    </w:r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color w:val="FFFFFF" w:themeColor="background1"/>
      </w:rPr>
      <w:tblPr/>
      <w:tcPr>
        <w:tcBorders>
          <w:top w:val="single" w:sz="4" w:space="0" w:color="F24F4F" w:themeColor="accent1"/>
          <w:left w:val="single" w:sz="4" w:space="0" w:color="F24F4F" w:themeColor="accent1"/>
          <w:bottom w:val="single" w:sz="4" w:space="0" w:color="F24F4F" w:themeColor="accent1"/>
          <w:right w:val="single" w:sz="4" w:space="0" w:color="F24F4F" w:themeColor="accent1"/>
          <w:insideH w:val="nil"/>
          <w:insideV w:val="nil"/>
        </w:tcBorders>
        <w:shd w:val="clear" w:color="auto" w:fill="F24F4F" w:themeFill="accent1"/>
      </w:tcPr>
    </w:tblStylePr>
    <w:tblStylePr w:type="lastRow">
      <w:rPr>
        <w:b/>
        <w:bCs/>
      </w:rPr>
      <w:tblPr/>
      <w:tcPr>
        <w:tcBorders>
          <w:top w:val="double" w:sz="4" w:space="0" w:color="F24F4F" w:themeColor="accent1"/>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character" w:customStyle="1" w:styleId="Titolo6Carattere">
    <w:name w:val="Titolo 6 Carattere"/>
    <w:basedOn w:val="Carpredefinitoparagrafo"/>
    <w:link w:val="Titolo6"/>
    <w:uiPriority w:val="9"/>
    <w:rsid w:val="00FA19E0"/>
    <w:rPr>
      <w:rFonts w:ascii="Calibri" w:eastAsiaTheme="majorEastAsia" w:hAnsi="Calibri" w:cstheme="majorBidi"/>
      <w:b/>
      <w:color w:val="auto"/>
      <w:lang w:val="it-IT"/>
    </w:rPr>
  </w:style>
  <w:style w:type="character" w:customStyle="1" w:styleId="Titolo7Carattere">
    <w:name w:val="Titolo 7 Carattere"/>
    <w:basedOn w:val="Carpredefinitoparagrafo"/>
    <w:link w:val="Titolo7"/>
    <w:uiPriority w:val="9"/>
    <w:semiHidden/>
    <w:rsid w:val="00470B30"/>
    <w:rPr>
      <w:rFonts w:asciiTheme="majorHAnsi" w:eastAsiaTheme="majorEastAsia" w:hAnsiTheme="majorHAnsi" w:cstheme="majorBidi"/>
      <w:i/>
      <w:iCs/>
      <w:color w:val="940B0B" w:themeColor="accent1" w:themeShade="7F"/>
      <w:sz w:val="22"/>
      <w:lang w:val="it-IT"/>
    </w:rPr>
  </w:style>
  <w:style w:type="character" w:customStyle="1" w:styleId="Titolo8Carattere">
    <w:name w:val="Titolo 8 Carattere"/>
    <w:basedOn w:val="Carpredefinitoparagrafo"/>
    <w:link w:val="Titolo8"/>
    <w:uiPriority w:val="9"/>
    <w:semiHidden/>
    <w:rsid w:val="00470B30"/>
    <w:rPr>
      <w:rFonts w:asciiTheme="majorHAnsi" w:eastAsiaTheme="majorEastAsia" w:hAnsiTheme="majorHAnsi" w:cstheme="majorBidi"/>
      <w:color w:val="272727" w:themeColor="text1" w:themeTint="D8"/>
      <w:sz w:val="21"/>
      <w:szCs w:val="21"/>
      <w:lang w:val="it-IT"/>
    </w:rPr>
  </w:style>
  <w:style w:type="character" w:customStyle="1" w:styleId="Titolo9Carattere">
    <w:name w:val="Titolo 9 Carattere"/>
    <w:basedOn w:val="Carpredefinitoparagrafo"/>
    <w:link w:val="Titolo9"/>
    <w:uiPriority w:val="9"/>
    <w:semiHidden/>
    <w:rsid w:val="00470B30"/>
    <w:rPr>
      <w:rFonts w:asciiTheme="majorHAnsi" w:eastAsiaTheme="majorEastAsia" w:hAnsiTheme="majorHAnsi" w:cstheme="majorBidi"/>
      <w:i/>
      <w:iCs/>
      <w:color w:val="272727" w:themeColor="text1" w:themeTint="D8"/>
      <w:sz w:val="21"/>
      <w:szCs w:val="21"/>
      <w:lang w:val="it-IT"/>
    </w:rPr>
  </w:style>
  <w:style w:type="character" w:customStyle="1" w:styleId="Menzionenonrisolta2">
    <w:name w:val="Menzione non risolta2"/>
    <w:basedOn w:val="Carpredefinitoparagrafo"/>
    <w:uiPriority w:val="99"/>
    <w:semiHidden/>
    <w:unhideWhenUsed/>
    <w:rsid w:val="00FE600D"/>
    <w:rPr>
      <w:color w:val="605E5C"/>
      <w:shd w:val="clear" w:color="auto" w:fill="E1DFDD"/>
    </w:rPr>
  </w:style>
  <w:style w:type="character" w:styleId="Collegamentovisitato">
    <w:name w:val="FollowedHyperlink"/>
    <w:basedOn w:val="Carpredefinitoparagrafo"/>
    <w:uiPriority w:val="99"/>
    <w:semiHidden/>
    <w:unhideWhenUsed/>
    <w:rsid w:val="006D167B"/>
    <w:rPr>
      <w:color w:val="A3648B" w:themeColor="followedHyperlink"/>
      <w:u w:val="single"/>
    </w:rPr>
  </w:style>
  <w:style w:type="paragraph" w:customStyle="1" w:styleId="m-1649626204377707979msolistparagraph">
    <w:name w:val="m_-1649626204377707979msolistparagraph"/>
    <w:basedOn w:val="Normale"/>
    <w:rsid w:val="003B3DCA"/>
    <w:pPr>
      <w:spacing w:before="100" w:beforeAutospacing="1" w:after="100" w:afterAutospacing="1"/>
      <w:jc w:val="left"/>
    </w:pPr>
    <w:rPr>
      <w:rFonts w:ascii="Times New Roman" w:eastAsia="Times New Roman" w:hAnsi="Times New Roman" w:cs="Times New Roman"/>
      <w:sz w:val="24"/>
      <w:szCs w:val="24"/>
      <w:lang w:eastAsia="it-IT"/>
    </w:rPr>
  </w:style>
  <w:style w:type="table" w:customStyle="1" w:styleId="Tabellagriglia4-colore61">
    <w:name w:val="Tabella griglia 4 - colore 61"/>
    <w:basedOn w:val="Tabellanormale"/>
    <w:uiPriority w:val="49"/>
    <w:rsid w:val="003B3DCA"/>
    <w:pPr>
      <w:spacing w:after="0" w:line="240" w:lineRule="auto"/>
    </w:pPr>
    <w:rPr>
      <w:rFonts w:asciiTheme="minorHAnsi" w:eastAsiaTheme="minorHAnsi" w:hAnsiTheme="minorHAnsi"/>
      <w:color w:val="auto"/>
      <w:sz w:val="22"/>
      <w:szCs w:val="22"/>
      <w:lang w:val="it-IT" w:eastAsia="en-US"/>
    </w:r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color w:val="FFFFFF" w:themeColor="background1"/>
      </w:rPr>
      <w:tblPr/>
      <w:tcPr>
        <w:tcBorders>
          <w:top w:val="single" w:sz="4" w:space="0" w:color="F8943F" w:themeColor="accent6"/>
          <w:left w:val="single" w:sz="4" w:space="0" w:color="F8943F" w:themeColor="accent6"/>
          <w:bottom w:val="single" w:sz="4" w:space="0" w:color="F8943F" w:themeColor="accent6"/>
          <w:right w:val="single" w:sz="4" w:space="0" w:color="F8943F" w:themeColor="accent6"/>
          <w:insideH w:val="nil"/>
          <w:insideV w:val="nil"/>
        </w:tcBorders>
        <w:shd w:val="clear" w:color="auto" w:fill="F8943F" w:themeFill="accent6"/>
      </w:tcPr>
    </w:tblStylePr>
    <w:tblStylePr w:type="lastRow">
      <w:rPr>
        <w:b/>
        <w:bCs/>
      </w:rPr>
      <w:tblPr/>
      <w:tcPr>
        <w:tcBorders>
          <w:top w:val="double" w:sz="4" w:space="0" w:color="F8943F" w:themeColor="accent6"/>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customStyle="1" w:styleId="Tabellagriglia5scura-colore61">
    <w:name w:val="Tabella griglia 5 scura - colore 61"/>
    <w:basedOn w:val="Tabellanormale"/>
    <w:uiPriority w:val="50"/>
    <w:rsid w:val="003B3DCA"/>
    <w:pPr>
      <w:spacing w:after="0" w:line="240" w:lineRule="auto"/>
    </w:pPr>
    <w:rPr>
      <w:rFonts w:asciiTheme="minorHAnsi" w:eastAsiaTheme="minorHAnsi" w:hAnsiTheme="minorHAnsi"/>
      <w:color w:val="auto"/>
      <w:sz w:val="22"/>
      <w:szCs w:val="22"/>
      <w:lang w:val="it-IT"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8943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8943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8943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8943F" w:themeFill="accent6"/>
      </w:tcPr>
    </w:tblStylePr>
    <w:tblStylePr w:type="band1Vert">
      <w:tblPr/>
      <w:tcPr>
        <w:shd w:val="clear" w:color="auto" w:fill="FCD4B2" w:themeFill="accent6" w:themeFillTint="66"/>
      </w:tcPr>
    </w:tblStylePr>
    <w:tblStylePr w:type="band1Horz">
      <w:tblPr/>
      <w:tcPr>
        <w:shd w:val="clear" w:color="auto" w:fill="FCD4B2" w:themeFill="accent6" w:themeFillTint="66"/>
      </w:tcPr>
    </w:tblStylePr>
  </w:style>
  <w:style w:type="paragraph" w:customStyle="1" w:styleId="BVIfnr">
    <w:name w:val="BVI fnr Знак Знак"/>
    <w:aliases w:val="BVI fnr Car Car Знак Знак,BVI fnr Char Car Car Car Знак Знак,BVI fnr Char Car Car Car Char Знак Знак,BVI fnr Car Знак Знак,BVI fnr Car Car Car Car Знак Знак,BVI fnr Char Char Знак Знак,16 Point,R"/>
    <w:basedOn w:val="Normale"/>
    <w:link w:val="Rimandonotaapidipagina"/>
    <w:uiPriority w:val="99"/>
    <w:rsid w:val="003B3DCA"/>
    <w:pPr>
      <w:spacing w:line="240" w:lineRule="exact"/>
      <w:jc w:val="left"/>
    </w:pPr>
    <w:rPr>
      <w:rFonts w:ascii="Verdana" w:hAnsi="Verdana"/>
      <w:color w:val="4C483D" w:themeColor="text2"/>
      <w:sz w:val="20"/>
      <w:vertAlign w:val="superscript"/>
      <w:lang w:val="en-US"/>
    </w:rPr>
  </w:style>
  <w:style w:type="table" w:customStyle="1" w:styleId="Tabellagriglia6acolori-colore31">
    <w:name w:val="Tabella griglia 6 a colori - colore 31"/>
    <w:basedOn w:val="Tabellanormale"/>
    <w:uiPriority w:val="51"/>
    <w:rsid w:val="003B3DCA"/>
    <w:pPr>
      <w:spacing w:after="0" w:line="240" w:lineRule="auto"/>
    </w:pPr>
    <w:rPr>
      <w:rFonts w:asciiTheme="minorHAnsi" w:eastAsiaTheme="minorHAnsi" w:hAnsiTheme="minorHAnsi"/>
      <w:color w:val="D59811" w:themeColor="accent3" w:themeShade="BF"/>
      <w:sz w:val="22"/>
      <w:szCs w:val="22"/>
      <w:lang w:val="it-IT" w:eastAsia="en-US"/>
    </w:r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bottom w:val="single" w:sz="12" w:space="0" w:color="F6D58E" w:themeColor="accent3" w:themeTint="99"/>
        </w:tcBorders>
      </w:tcPr>
    </w:tblStylePr>
    <w:tblStylePr w:type="lastRow">
      <w:rPr>
        <w:b/>
        <w:bCs/>
      </w:rPr>
      <w:tblPr/>
      <w:tcPr>
        <w:tcBorders>
          <w:top w:val="doub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character" w:styleId="Enfasigrassetto">
    <w:name w:val="Strong"/>
    <w:uiPriority w:val="22"/>
    <w:qFormat/>
    <w:rsid w:val="00E806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6483">
      <w:bodyDiv w:val="1"/>
      <w:marLeft w:val="0"/>
      <w:marRight w:val="0"/>
      <w:marTop w:val="0"/>
      <w:marBottom w:val="0"/>
      <w:divBdr>
        <w:top w:val="none" w:sz="0" w:space="0" w:color="auto"/>
        <w:left w:val="none" w:sz="0" w:space="0" w:color="auto"/>
        <w:bottom w:val="none" w:sz="0" w:space="0" w:color="auto"/>
        <w:right w:val="none" w:sz="0" w:space="0" w:color="auto"/>
      </w:divBdr>
    </w:div>
    <w:div w:id="28996715">
      <w:bodyDiv w:val="1"/>
      <w:marLeft w:val="0"/>
      <w:marRight w:val="0"/>
      <w:marTop w:val="0"/>
      <w:marBottom w:val="0"/>
      <w:divBdr>
        <w:top w:val="none" w:sz="0" w:space="0" w:color="auto"/>
        <w:left w:val="none" w:sz="0" w:space="0" w:color="auto"/>
        <w:bottom w:val="none" w:sz="0" w:space="0" w:color="auto"/>
        <w:right w:val="none" w:sz="0" w:space="0" w:color="auto"/>
      </w:divBdr>
    </w:div>
    <w:div w:id="32770856">
      <w:bodyDiv w:val="1"/>
      <w:marLeft w:val="0"/>
      <w:marRight w:val="0"/>
      <w:marTop w:val="0"/>
      <w:marBottom w:val="0"/>
      <w:divBdr>
        <w:top w:val="none" w:sz="0" w:space="0" w:color="auto"/>
        <w:left w:val="none" w:sz="0" w:space="0" w:color="auto"/>
        <w:bottom w:val="none" w:sz="0" w:space="0" w:color="auto"/>
        <w:right w:val="none" w:sz="0" w:space="0" w:color="auto"/>
      </w:divBdr>
      <w:divsChild>
        <w:div w:id="1524858616">
          <w:marLeft w:val="360"/>
          <w:marRight w:val="0"/>
          <w:marTop w:val="200"/>
          <w:marBottom w:val="0"/>
          <w:divBdr>
            <w:top w:val="none" w:sz="0" w:space="0" w:color="auto"/>
            <w:left w:val="none" w:sz="0" w:space="0" w:color="auto"/>
            <w:bottom w:val="none" w:sz="0" w:space="0" w:color="auto"/>
            <w:right w:val="none" w:sz="0" w:space="0" w:color="auto"/>
          </w:divBdr>
        </w:div>
        <w:div w:id="1407845636">
          <w:marLeft w:val="360"/>
          <w:marRight w:val="0"/>
          <w:marTop w:val="200"/>
          <w:marBottom w:val="0"/>
          <w:divBdr>
            <w:top w:val="none" w:sz="0" w:space="0" w:color="auto"/>
            <w:left w:val="none" w:sz="0" w:space="0" w:color="auto"/>
            <w:bottom w:val="none" w:sz="0" w:space="0" w:color="auto"/>
            <w:right w:val="none" w:sz="0" w:space="0" w:color="auto"/>
          </w:divBdr>
        </w:div>
        <w:div w:id="884948800">
          <w:marLeft w:val="1080"/>
          <w:marRight w:val="0"/>
          <w:marTop w:val="100"/>
          <w:marBottom w:val="0"/>
          <w:divBdr>
            <w:top w:val="none" w:sz="0" w:space="0" w:color="auto"/>
            <w:left w:val="none" w:sz="0" w:space="0" w:color="auto"/>
            <w:bottom w:val="none" w:sz="0" w:space="0" w:color="auto"/>
            <w:right w:val="none" w:sz="0" w:space="0" w:color="auto"/>
          </w:divBdr>
        </w:div>
        <w:div w:id="1629315508">
          <w:marLeft w:val="1080"/>
          <w:marRight w:val="0"/>
          <w:marTop w:val="100"/>
          <w:marBottom w:val="0"/>
          <w:divBdr>
            <w:top w:val="none" w:sz="0" w:space="0" w:color="auto"/>
            <w:left w:val="none" w:sz="0" w:space="0" w:color="auto"/>
            <w:bottom w:val="none" w:sz="0" w:space="0" w:color="auto"/>
            <w:right w:val="none" w:sz="0" w:space="0" w:color="auto"/>
          </w:divBdr>
        </w:div>
        <w:div w:id="1082684111">
          <w:marLeft w:val="1080"/>
          <w:marRight w:val="0"/>
          <w:marTop w:val="100"/>
          <w:marBottom w:val="0"/>
          <w:divBdr>
            <w:top w:val="none" w:sz="0" w:space="0" w:color="auto"/>
            <w:left w:val="none" w:sz="0" w:space="0" w:color="auto"/>
            <w:bottom w:val="none" w:sz="0" w:space="0" w:color="auto"/>
            <w:right w:val="none" w:sz="0" w:space="0" w:color="auto"/>
          </w:divBdr>
        </w:div>
        <w:div w:id="807211132">
          <w:marLeft w:val="360"/>
          <w:marRight w:val="0"/>
          <w:marTop w:val="200"/>
          <w:marBottom w:val="0"/>
          <w:divBdr>
            <w:top w:val="none" w:sz="0" w:space="0" w:color="auto"/>
            <w:left w:val="none" w:sz="0" w:space="0" w:color="auto"/>
            <w:bottom w:val="none" w:sz="0" w:space="0" w:color="auto"/>
            <w:right w:val="none" w:sz="0" w:space="0" w:color="auto"/>
          </w:divBdr>
        </w:div>
      </w:divsChild>
    </w:div>
    <w:div w:id="92213709">
      <w:bodyDiv w:val="1"/>
      <w:marLeft w:val="0"/>
      <w:marRight w:val="0"/>
      <w:marTop w:val="0"/>
      <w:marBottom w:val="0"/>
      <w:divBdr>
        <w:top w:val="none" w:sz="0" w:space="0" w:color="auto"/>
        <w:left w:val="none" w:sz="0" w:space="0" w:color="auto"/>
        <w:bottom w:val="none" w:sz="0" w:space="0" w:color="auto"/>
        <w:right w:val="none" w:sz="0" w:space="0" w:color="auto"/>
      </w:divBdr>
    </w:div>
    <w:div w:id="92406393">
      <w:bodyDiv w:val="1"/>
      <w:marLeft w:val="0"/>
      <w:marRight w:val="0"/>
      <w:marTop w:val="0"/>
      <w:marBottom w:val="0"/>
      <w:divBdr>
        <w:top w:val="none" w:sz="0" w:space="0" w:color="auto"/>
        <w:left w:val="none" w:sz="0" w:space="0" w:color="auto"/>
        <w:bottom w:val="none" w:sz="0" w:space="0" w:color="auto"/>
        <w:right w:val="none" w:sz="0" w:space="0" w:color="auto"/>
      </w:divBdr>
    </w:div>
    <w:div w:id="128670215">
      <w:bodyDiv w:val="1"/>
      <w:marLeft w:val="0"/>
      <w:marRight w:val="0"/>
      <w:marTop w:val="0"/>
      <w:marBottom w:val="0"/>
      <w:divBdr>
        <w:top w:val="none" w:sz="0" w:space="0" w:color="auto"/>
        <w:left w:val="none" w:sz="0" w:space="0" w:color="auto"/>
        <w:bottom w:val="none" w:sz="0" w:space="0" w:color="auto"/>
        <w:right w:val="none" w:sz="0" w:space="0" w:color="auto"/>
      </w:divBdr>
    </w:div>
    <w:div w:id="132334094">
      <w:bodyDiv w:val="1"/>
      <w:marLeft w:val="0"/>
      <w:marRight w:val="0"/>
      <w:marTop w:val="0"/>
      <w:marBottom w:val="0"/>
      <w:divBdr>
        <w:top w:val="none" w:sz="0" w:space="0" w:color="auto"/>
        <w:left w:val="none" w:sz="0" w:space="0" w:color="auto"/>
        <w:bottom w:val="none" w:sz="0" w:space="0" w:color="auto"/>
        <w:right w:val="none" w:sz="0" w:space="0" w:color="auto"/>
      </w:divBdr>
    </w:div>
    <w:div w:id="133569413">
      <w:bodyDiv w:val="1"/>
      <w:marLeft w:val="0"/>
      <w:marRight w:val="0"/>
      <w:marTop w:val="0"/>
      <w:marBottom w:val="0"/>
      <w:divBdr>
        <w:top w:val="none" w:sz="0" w:space="0" w:color="auto"/>
        <w:left w:val="none" w:sz="0" w:space="0" w:color="auto"/>
        <w:bottom w:val="none" w:sz="0" w:space="0" w:color="auto"/>
        <w:right w:val="none" w:sz="0" w:space="0" w:color="auto"/>
      </w:divBdr>
    </w:div>
    <w:div w:id="135145492">
      <w:bodyDiv w:val="1"/>
      <w:marLeft w:val="0"/>
      <w:marRight w:val="0"/>
      <w:marTop w:val="0"/>
      <w:marBottom w:val="0"/>
      <w:divBdr>
        <w:top w:val="none" w:sz="0" w:space="0" w:color="auto"/>
        <w:left w:val="none" w:sz="0" w:space="0" w:color="auto"/>
        <w:bottom w:val="none" w:sz="0" w:space="0" w:color="auto"/>
        <w:right w:val="none" w:sz="0" w:space="0" w:color="auto"/>
      </w:divBdr>
    </w:div>
    <w:div w:id="147866061">
      <w:bodyDiv w:val="1"/>
      <w:marLeft w:val="0"/>
      <w:marRight w:val="0"/>
      <w:marTop w:val="0"/>
      <w:marBottom w:val="0"/>
      <w:divBdr>
        <w:top w:val="none" w:sz="0" w:space="0" w:color="auto"/>
        <w:left w:val="none" w:sz="0" w:space="0" w:color="auto"/>
        <w:bottom w:val="none" w:sz="0" w:space="0" w:color="auto"/>
        <w:right w:val="none" w:sz="0" w:space="0" w:color="auto"/>
      </w:divBdr>
    </w:div>
    <w:div w:id="150605841">
      <w:bodyDiv w:val="1"/>
      <w:marLeft w:val="0"/>
      <w:marRight w:val="0"/>
      <w:marTop w:val="0"/>
      <w:marBottom w:val="0"/>
      <w:divBdr>
        <w:top w:val="none" w:sz="0" w:space="0" w:color="auto"/>
        <w:left w:val="none" w:sz="0" w:space="0" w:color="auto"/>
        <w:bottom w:val="none" w:sz="0" w:space="0" w:color="auto"/>
        <w:right w:val="none" w:sz="0" w:space="0" w:color="auto"/>
      </w:divBdr>
    </w:div>
    <w:div w:id="151605641">
      <w:bodyDiv w:val="1"/>
      <w:marLeft w:val="0"/>
      <w:marRight w:val="0"/>
      <w:marTop w:val="0"/>
      <w:marBottom w:val="0"/>
      <w:divBdr>
        <w:top w:val="none" w:sz="0" w:space="0" w:color="auto"/>
        <w:left w:val="none" w:sz="0" w:space="0" w:color="auto"/>
        <w:bottom w:val="none" w:sz="0" w:space="0" w:color="auto"/>
        <w:right w:val="none" w:sz="0" w:space="0" w:color="auto"/>
      </w:divBdr>
    </w:div>
    <w:div w:id="158427564">
      <w:bodyDiv w:val="1"/>
      <w:marLeft w:val="0"/>
      <w:marRight w:val="0"/>
      <w:marTop w:val="0"/>
      <w:marBottom w:val="0"/>
      <w:divBdr>
        <w:top w:val="none" w:sz="0" w:space="0" w:color="auto"/>
        <w:left w:val="none" w:sz="0" w:space="0" w:color="auto"/>
        <w:bottom w:val="none" w:sz="0" w:space="0" w:color="auto"/>
        <w:right w:val="none" w:sz="0" w:space="0" w:color="auto"/>
      </w:divBdr>
    </w:div>
    <w:div w:id="159395171">
      <w:bodyDiv w:val="1"/>
      <w:marLeft w:val="0"/>
      <w:marRight w:val="0"/>
      <w:marTop w:val="0"/>
      <w:marBottom w:val="0"/>
      <w:divBdr>
        <w:top w:val="none" w:sz="0" w:space="0" w:color="auto"/>
        <w:left w:val="none" w:sz="0" w:space="0" w:color="auto"/>
        <w:bottom w:val="none" w:sz="0" w:space="0" w:color="auto"/>
        <w:right w:val="none" w:sz="0" w:space="0" w:color="auto"/>
      </w:divBdr>
    </w:div>
    <w:div w:id="166947540">
      <w:bodyDiv w:val="1"/>
      <w:marLeft w:val="0"/>
      <w:marRight w:val="0"/>
      <w:marTop w:val="0"/>
      <w:marBottom w:val="0"/>
      <w:divBdr>
        <w:top w:val="none" w:sz="0" w:space="0" w:color="auto"/>
        <w:left w:val="none" w:sz="0" w:space="0" w:color="auto"/>
        <w:bottom w:val="none" w:sz="0" w:space="0" w:color="auto"/>
        <w:right w:val="none" w:sz="0" w:space="0" w:color="auto"/>
      </w:divBdr>
    </w:div>
    <w:div w:id="170998647">
      <w:bodyDiv w:val="1"/>
      <w:marLeft w:val="0"/>
      <w:marRight w:val="0"/>
      <w:marTop w:val="0"/>
      <w:marBottom w:val="0"/>
      <w:divBdr>
        <w:top w:val="none" w:sz="0" w:space="0" w:color="auto"/>
        <w:left w:val="none" w:sz="0" w:space="0" w:color="auto"/>
        <w:bottom w:val="none" w:sz="0" w:space="0" w:color="auto"/>
        <w:right w:val="none" w:sz="0" w:space="0" w:color="auto"/>
      </w:divBdr>
    </w:div>
    <w:div w:id="202132263">
      <w:bodyDiv w:val="1"/>
      <w:marLeft w:val="0"/>
      <w:marRight w:val="0"/>
      <w:marTop w:val="0"/>
      <w:marBottom w:val="0"/>
      <w:divBdr>
        <w:top w:val="none" w:sz="0" w:space="0" w:color="auto"/>
        <w:left w:val="none" w:sz="0" w:space="0" w:color="auto"/>
        <w:bottom w:val="none" w:sz="0" w:space="0" w:color="auto"/>
        <w:right w:val="none" w:sz="0" w:space="0" w:color="auto"/>
      </w:divBdr>
    </w:div>
    <w:div w:id="218635243">
      <w:bodyDiv w:val="1"/>
      <w:marLeft w:val="0"/>
      <w:marRight w:val="0"/>
      <w:marTop w:val="0"/>
      <w:marBottom w:val="0"/>
      <w:divBdr>
        <w:top w:val="none" w:sz="0" w:space="0" w:color="auto"/>
        <w:left w:val="none" w:sz="0" w:space="0" w:color="auto"/>
        <w:bottom w:val="none" w:sz="0" w:space="0" w:color="auto"/>
        <w:right w:val="none" w:sz="0" w:space="0" w:color="auto"/>
      </w:divBdr>
    </w:div>
    <w:div w:id="229119912">
      <w:bodyDiv w:val="1"/>
      <w:marLeft w:val="0"/>
      <w:marRight w:val="0"/>
      <w:marTop w:val="0"/>
      <w:marBottom w:val="0"/>
      <w:divBdr>
        <w:top w:val="none" w:sz="0" w:space="0" w:color="auto"/>
        <w:left w:val="none" w:sz="0" w:space="0" w:color="auto"/>
        <w:bottom w:val="none" w:sz="0" w:space="0" w:color="auto"/>
        <w:right w:val="none" w:sz="0" w:space="0" w:color="auto"/>
      </w:divBdr>
    </w:div>
    <w:div w:id="230963288">
      <w:bodyDiv w:val="1"/>
      <w:marLeft w:val="0"/>
      <w:marRight w:val="0"/>
      <w:marTop w:val="0"/>
      <w:marBottom w:val="0"/>
      <w:divBdr>
        <w:top w:val="none" w:sz="0" w:space="0" w:color="auto"/>
        <w:left w:val="none" w:sz="0" w:space="0" w:color="auto"/>
        <w:bottom w:val="none" w:sz="0" w:space="0" w:color="auto"/>
        <w:right w:val="none" w:sz="0" w:space="0" w:color="auto"/>
      </w:divBdr>
    </w:div>
    <w:div w:id="236402921">
      <w:bodyDiv w:val="1"/>
      <w:marLeft w:val="0"/>
      <w:marRight w:val="0"/>
      <w:marTop w:val="0"/>
      <w:marBottom w:val="0"/>
      <w:divBdr>
        <w:top w:val="none" w:sz="0" w:space="0" w:color="auto"/>
        <w:left w:val="none" w:sz="0" w:space="0" w:color="auto"/>
        <w:bottom w:val="none" w:sz="0" w:space="0" w:color="auto"/>
        <w:right w:val="none" w:sz="0" w:space="0" w:color="auto"/>
      </w:divBdr>
    </w:div>
    <w:div w:id="255554950">
      <w:bodyDiv w:val="1"/>
      <w:marLeft w:val="0"/>
      <w:marRight w:val="0"/>
      <w:marTop w:val="0"/>
      <w:marBottom w:val="0"/>
      <w:divBdr>
        <w:top w:val="none" w:sz="0" w:space="0" w:color="auto"/>
        <w:left w:val="none" w:sz="0" w:space="0" w:color="auto"/>
        <w:bottom w:val="none" w:sz="0" w:space="0" w:color="auto"/>
        <w:right w:val="none" w:sz="0" w:space="0" w:color="auto"/>
      </w:divBdr>
    </w:div>
    <w:div w:id="282730839">
      <w:bodyDiv w:val="1"/>
      <w:marLeft w:val="0"/>
      <w:marRight w:val="0"/>
      <w:marTop w:val="0"/>
      <w:marBottom w:val="0"/>
      <w:divBdr>
        <w:top w:val="none" w:sz="0" w:space="0" w:color="auto"/>
        <w:left w:val="none" w:sz="0" w:space="0" w:color="auto"/>
        <w:bottom w:val="none" w:sz="0" w:space="0" w:color="auto"/>
        <w:right w:val="none" w:sz="0" w:space="0" w:color="auto"/>
      </w:divBdr>
    </w:div>
    <w:div w:id="323701906">
      <w:bodyDiv w:val="1"/>
      <w:marLeft w:val="0"/>
      <w:marRight w:val="0"/>
      <w:marTop w:val="0"/>
      <w:marBottom w:val="0"/>
      <w:divBdr>
        <w:top w:val="none" w:sz="0" w:space="0" w:color="auto"/>
        <w:left w:val="none" w:sz="0" w:space="0" w:color="auto"/>
        <w:bottom w:val="none" w:sz="0" w:space="0" w:color="auto"/>
        <w:right w:val="none" w:sz="0" w:space="0" w:color="auto"/>
      </w:divBdr>
    </w:div>
    <w:div w:id="335616721">
      <w:bodyDiv w:val="1"/>
      <w:marLeft w:val="0"/>
      <w:marRight w:val="0"/>
      <w:marTop w:val="0"/>
      <w:marBottom w:val="0"/>
      <w:divBdr>
        <w:top w:val="none" w:sz="0" w:space="0" w:color="auto"/>
        <w:left w:val="none" w:sz="0" w:space="0" w:color="auto"/>
        <w:bottom w:val="none" w:sz="0" w:space="0" w:color="auto"/>
        <w:right w:val="none" w:sz="0" w:space="0" w:color="auto"/>
      </w:divBdr>
    </w:div>
    <w:div w:id="342975286">
      <w:bodyDiv w:val="1"/>
      <w:marLeft w:val="0"/>
      <w:marRight w:val="0"/>
      <w:marTop w:val="0"/>
      <w:marBottom w:val="0"/>
      <w:divBdr>
        <w:top w:val="none" w:sz="0" w:space="0" w:color="auto"/>
        <w:left w:val="none" w:sz="0" w:space="0" w:color="auto"/>
        <w:bottom w:val="none" w:sz="0" w:space="0" w:color="auto"/>
        <w:right w:val="none" w:sz="0" w:space="0" w:color="auto"/>
      </w:divBdr>
    </w:div>
    <w:div w:id="364643682">
      <w:bodyDiv w:val="1"/>
      <w:marLeft w:val="0"/>
      <w:marRight w:val="0"/>
      <w:marTop w:val="0"/>
      <w:marBottom w:val="0"/>
      <w:divBdr>
        <w:top w:val="none" w:sz="0" w:space="0" w:color="auto"/>
        <w:left w:val="none" w:sz="0" w:space="0" w:color="auto"/>
        <w:bottom w:val="none" w:sz="0" w:space="0" w:color="auto"/>
        <w:right w:val="none" w:sz="0" w:space="0" w:color="auto"/>
      </w:divBdr>
      <w:divsChild>
        <w:div w:id="1272518664">
          <w:marLeft w:val="360"/>
          <w:marRight w:val="0"/>
          <w:marTop w:val="200"/>
          <w:marBottom w:val="0"/>
          <w:divBdr>
            <w:top w:val="none" w:sz="0" w:space="0" w:color="auto"/>
            <w:left w:val="none" w:sz="0" w:space="0" w:color="auto"/>
            <w:bottom w:val="none" w:sz="0" w:space="0" w:color="auto"/>
            <w:right w:val="none" w:sz="0" w:space="0" w:color="auto"/>
          </w:divBdr>
        </w:div>
        <w:div w:id="787628981">
          <w:marLeft w:val="360"/>
          <w:marRight w:val="0"/>
          <w:marTop w:val="200"/>
          <w:marBottom w:val="0"/>
          <w:divBdr>
            <w:top w:val="none" w:sz="0" w:space="0" w:color="auto"/>
            <w:left w:val="none" w:sz="0" w:space="0" w:color="auto"/>
            <w:bottom w:val="none" w:sz="0" w:space="0" w:color="auto"/>
            <w:right w:val="none" w:sz="0" w:space="0" w:color="auto"/>
          </w:divBdr>
        </w:div>
        <w:div w:id="1832914284">
          <w:marLeft w:val="1080"/>
          <w:marRight w:val="0"/>
          <w:marTop w:val="100"/>
          <w:marBottom w:val="0"/>
          <w:divBdr>
            <w:top w:val="none" w:sz="0" w:space="0" w:color="auto"/>
            <w:left w:val="none" w:sz="0" w:space="0" w:color="auto"/>
            <w:bottom w:val="none" w:sz="0" w:space="0" w:color="auto"/>
            <w:right w:val="none" w:sz="0" w:space="0" w:color="auto"/>
          </w:divBdr>
        </w:div>
        <w:div w:id="799227382">
          <w:marLeft w:val="1080"/>
          <w:marRight w:val="0"/>
          <w:marTop w:val="100"/>
          <w:marBottom w:val="0"/>
          <w:divBdr>
            <w:top w:val="none" w:sz="0" w:space="0" w:color="auto"/>
            <w:left w:val="none" w:sz="0" w:space="0" w:color="auto"/>
            <w:bottom w:val="none" w:sz="0" w:space="0" w:color="auto"/>
            <w:right w:val="none" w:sz="0" w:space="0" w:color="auto"/>
          </w:divBdr>
        </w:div>
        <w:div w:id="722170771">
          <w:marLeft w:val="360"/>
          <w:marRight w:val="0"/>
          <w:marTop w:val="200"/>
          <w:marBottom w:val="0"/>
          <w:divBdr>
            <w:top w:val="none" w:sz="0" w:space="0" w:color="auto"/>
            <w:left w:val="none" w:sz="0" w:space="0" w:color="auto"/>
            <w:bottom w:val="none" w:sz="0" w:space="0" w:color="auto"/>
            <w:right w:val="none" w:sz="0" w:space="0" w:color="auto"/>
          </w:divBdr>
        </w:div>
        <w:div w:id="1846744173">
          <w:marLeft w:val="1080"/>
          <w:marRight w:val="0"/>
          <w:marTop w:val="100"/>
          <w:marBottom w:val="0"/>
          <w:divBdr>
            <w:top w:val="none" w:sz="0" w:space="0" w:color="auto"/>
            <w:left w:val="none" w:sz="0" w:space="0" w:color="auto"/>
            <w:bottom w:val="none" w:sz="0" w:space="0" w:color="auto"/>
            <w:right w:val="none" w:sz="0" w:space="0" w:color="auto"/>
          </w:divBdr>
        </w:div>
      </w:divsChild>
    </w:div>
    <w:div w:id="373701251">
      <w:bodyDiv w:val="1"/>
      <w:marLeft w:val="0"/>
      <w:marRight w:val="0"/>
      <w:marTop w:val="0"/>
      <w:marBottom w:val="0"/>
      <w:divBdr>
        <w:top w:val="none" w:sz="0" w:space="0" w:color="auto"/>
        <w:left w:val="none" w:sz="0" w:space="0" w:color="auto"/>
        <w:bottom w:val="none" w:sz="0" w:space="0" w:color="auto"/>
        <w:right w:val="none" w:sz="0" w:space="0" w:color="auto"/>
      </w:divBdr>
    </w:div>
    <w:div w:id="378826550">
      <w:bodyDiv w:val="1"/>
      <w:marLeft w:val="0"/>
      <w:marRight w:val="0"/>
      <w:marTop w:val="0"/>
      <w:marBottom w:val="0"/>
      <w:divBdr>
        <w:top w:val="none" w:sz="0" w:space="0" w:color="auto"/>
        <w:left w:val="none" w:sz="0" w:space="0" w:color="auto"/>
        <w:bottom w:val="none" w:sz="0" w:space="0" w:color="auto"/>
        <w:right w:val="none" w:sz="0" w:space="0" w:color="auto"/>
      </w:divBdr>
    </w:div>
    <w:div w:id="412698899">
      <w:bodyDiv w:val="1"/>
      <w:marLeft w:val="0"/>
      <w:marRight w:val="0"/>
      <w:marTop w:val="0"/>
      <w:marBottom w:val="0"/>
      <w:divBdr>
        <w:top w:val="none" w:sz="0" w:space="0" w:color="auto"/>
        <w:left w:val="none" w:sz="0" w:space="0" w:color="auto"/>
        <w:bottom w:val="none" w:sz="0" w:space="0" w:color="auto"/>
        <w:right w:val="none" w:sz="0" w:space="0" w:color="auto"/>
      </w:divBdr>
    </w:div>
    <w:div w:id="471140191">
      <w:bodyDiv w:val="1"/>
      <w:marLeft w:val="0"/>
      <w:marRight w:val="0"/>
      <w:marTop w:val="0"/>
      <w:marBottom w:val="0"/>
      <w:divBdr>
        <w:top w:val="none" w:sz="0" w:space="0" w:color="auto"/>
        <w:left w:val="none" w:sz="0" w:space="0" w:color="auto"/>
        <w:bottom w:val="none" w:sz="0" w:space="0" w:color="auto"/>
        <w:right w:val="none" w:sz="0" w:space="0" w:color="auto"/>
      </w:divBdr>
    </w:div>
    <w:div w:id="474031763">
      <w:bodyDiv w:val="1"/>
      <w:marLeft w:val="0"/>
      <w:marRight w:val="0"/>
      <w:marTop w:val="0"/>
      <w:marBottom w:val="0"/>
      <w:divBdr>
        <w:top w:val="none" w:sz="0" w:space="0" w:color="auto"/>
        <w:left w:val="none" w:sz="0" w:space="0" w:color="auto"/>
        <w:bottom w:val="none" w:sz="0" w:space="0" w:color="auto"/>
        <w:right w:val="none" w:sz="0" w:space="0" w:color="auto"/>
      </w:divBdr>
    </w:div>
    <w:div w:id="522062073">
      <w:bodyDiv w:val="1"/>
      <w:marLeft w:val="0"/>
      <w:marRight w:val="0"/>
      <w:marTop w:val="0"/>
      <w:marBottom w:val="0"/>
      <w:divBdr>
        <w:top w:val="none" w:sz="0" w:space="0" w:color="auto"/>
        <w:left w:val="none" w:sz="0" w:space="0" w:color="auto"/>
        <w:bottom w:val="none" w:sz="0" w:space="0" w:color="auto"/>
        <w:right w:val="none" w:sz="0" w:space="0" w:color="auto"/>
      </w:divBdr>
    </w:div>
    <w:div w:id="542668750">
      <w:bodyDiv w:val="1"/>
      <w:marLeft w:val="0"/>
      <w:marRight w:val="0"/>
      <w:marTop w:val="0"/>
      <w:marBottom w:val="0"/>
      <w:divBdr>
        <w:top w:val="none" w:sz="0" w:space="0" w:color="auto"/>
        <w:left w:val="none" w:sz="0" w:space="0" w:color="auto"/>
        <w:bottom w:val="none" w:sz="0" w:space="0" w:color="auto"/>
        <w:right w:val="none" w:sz="0" w:space="0" w:color="auto"/>
      </w:divBdr>
    </w:div>
    <w:div w:id="557982700">
      <w:bodyDiv w:val="1"/>
      <w:marLeft w:val="0"/>
      <w:marRight w:val="0"/>
      <w:marTop w:val="0"/>
      <w:marBottom w:val="0"/>
      <w:divBdr>
        <w:top w:val="none" w:sz="0" w:space="0" w:color="auto"/>
        <w:left w:val="none" w:sz="0" w:space="0" w:color="auto"/>
        <w:bottom w:val="none" w:sz="0" w:space="0" w:color="auto"/>
        <w:right w:val="none" w:sz="0" w:space="0" w:color="auto"/>
      </w:divBdr>
    </w:div>
    <w:div w:id="561406331">
      <w:bodyDiv w:val="1"/>
      <w:marLeft w:val="0"/>
      <w:marRight w:val="0"/>
      <w:marTop w:val="0"/>
      <w:marBottom w:val="0"/>
      <w:divBdr>
        <w:top w:val="none" w:sz="0" w:space="0" w:color="auto"/>
        <w:left w:val="none" w:sz="0" w:space="0" w:color="auto"/>
        <w:bottom w:val="none" w:sz="0" w:space="0" w:color="auto"/>
        <w:right w:val="none" w:sz="0" w:space="0" w:color="auto"/>
      </w:divBdr>
      <w:divsChild>
        <w:div w:id="1652562508">
          <w:marLeft w:val="360"/>
          <w:marRight w:val="0"/>
          <w:marTop w:val="200"/>
          <w:marBottom w:val="0"/>
          <w:divBdr>
            <w:top w:val="none" w:sz="0" w:space="0" w:color="auto"/>
            <w:left w:val="none" w:sz="0" w:space="0" w:color="auto"/>
            <w:bottom w:val="none" w:sz="0" w:space="0" w:color="auto"/>
            <w:right w:val="none" w:sz="0" w:space="0" w:color="auto"/>
          </w:divBdr>
        </w:div>
        <w:div w:id="1796678749">
          <w:marLeft w:val="1080"/>
          <w:marRight w:val="0"/>
          <w:marTop w:val="100"/>
          <w:marBottom w:val="0"/>
          <w:divBdr>
            <w:top w:val="none" w:sz="0" w:space="0" w:color="auto"/>
            <w:left w:val="none" w:sz="0" w:space="0" w:color="auto"/>
            <w:bottom w:val="none" w:sz="0" w:space="0" w:color="auto"/>
            <w:right w:val="none" w:sz="0" w:space="0" w:color="auto"/>
          </w:divBdr>
        </w:div>
        <w:div w:id="1492409290">
          <w:marLeft w:val="1080"/>
          <w:marRight w:val="0"/>
          <w:marTop w:val="100"/>
          <w:marBottom w:val="0"/>
          <w:divBdr>
            <w:top w:val="none" w:sz="0" w:space="0" w:color="auto"/>
            <w:left w:val="none" w:sz="0" w:space="0" w:color="auto"/>
            <w:bottom w:val="none" w:sz="0" w:space="0" w:color="auto"/>
            <w:right w:val="none" w:sz="0" w:space="0" w:color="auto"/>
          </w:divBdr>
        </w:div>
        <w:div w:id="930969105">
          <w:marLeft w:val="1080"/>
          <w:marRight w:val="0"/>
          <w:marTop w:val="100"/>
          <w:marBottom w:val="0"/>
          <w:divBdr>
            <w:top w:val="none" w:sz="0" w:space="0" w:color="auto"/>
            <w:left w:val="none" w:sz="0" w:space="0" w:color="auto"/>
            <w:bottom w:val="none" w:sz="0" w:space="0" w:color="auto"/>
            <w:right w:val="none" w:sz="0" w:space="0" w:color="auto"/>
          </w:divBdr>
        </w:div>
        <w:div w:id="1164009961">
          <w:marLeft w:val="1080"/>
          <w:marRight w:val="0"/>
          <w:marTop w:val="100"/>
          <w:marBottom w:val="0"/>
          <w:divBdr>
            <w:top w:val="none" w:sz="0" w:space="0" w:color="auto"/>
            <w:left w:val="none" w:sz="0" w:space="0" w:color="auto"/>
            <w:bottom w:val="none" w:sz="0" w:space="0" w:color="auto"/>
            <w:right w:val="none" w:sz="0" w:space="0" w:color="auto"/>
          </w:divBdr>
        </w:div>
        <w:div w:id="327830155">
          <w:marLeft w:val="1080"/>
          <w:marRight w:val="0"/>
          <w:marTop w:val="100"/>
          <w:marBottom w:val="0"/>
          <w:divBdr>
            <w:top w:val="none" w:sz="0" w:space="0" w:color="auto"/>
            <w:left w:val="none" w:sz="0" w:space="0" w:color="auto"/>
            <w:bottom w:val="none" w:sz="0" w:space="0" w:color="auto"/>
            <w:right w:val="none" w:sz="0" w:space="0" w:color="auto"/>
          </w:divBdr>
        </w:div>
        <w:div w:id="1758597435">
          <w:marLeft w:val="1080"/>
          <w:marRight w:val="0"/>
          <w:marTop w:val="100"/>
          <w:marBottom w:val="0"/>
          <w:divBdr>
            <w:top w:val="none" w:sz="0" w:space="0" w:color="auto"/>
            <w:left w:val="none" w:sz="0" w:space="0" w:color="auto"/>
            <w:bottom w:val="none" w:sz="0" w:space="0" w:color="auto"/>
            <w:right w:val="none" w:sz="0" w:space="0" w:color="auto"/>
          </w:divBdr>
        </w:div>
      </w:divsChild>
    </w:div>
    <w:div w:id="577518233">
      <w:bodyDiv w:val="1"/>
      <w:marLeft w:val="0"/>
      <w:marRight w:val="0"/>
      <w:marTop w:val="0"/>
      <w:marBottom w:val="0"/>
      <w:divBdr>
        <w:top w:val="none" w:sz="0" w:space="0" w:color="auto"/>
        <w:left w:val="none" w:sz="0" w:space="0" w:color="auto"/>
        <w:bottom w:val="none" w:sz="0" w:space="0" w:color="auto"/>
        <w:right w:val="none" w:sz="0" w:space="0" w:color="auto"/>
      </w:divBdr>
    </w:div>
    <w:div w:id="589043423">
      <w:bodyDiv w:val="1"/>
      <w:marLeft w:val="0"/>
      <w:marRight w:val="0"/>
      <w:marTop w:val="0"/>
      <w:marBottom w:val="0"/>
      <w:divBdr>
        <w:top w:val="none" w:sz="0" w:space="0" w:color="auto"/>
        <w:left w:val="none" w:sz="0" w:space="0" w:color="auto"/>
        <w:bottom w:val="none" w:sz="0" w:space="0" w:color="auto"/>
        <w:right w:val="none" w:sz="0" w:space="0" w:color="auto"/>
      </w:divBdr>
    </w:div>
    <w:div w:id="617415781">
      <w:bodyDiv w:val="1"/>
      <w:marLeft w:val="0"/>
      <w:marRight w:val="0"/>
      <w:marTop w:val="0"/>
      <w:marBottom w:val="0"/>
      <w:divBdr>
        <w:top w:val="none" w:sz="0" w:space="0" w:color="auto"/>
        <w:left w:val="none" w:sz="0" w:space="0" w:color="auto"/>
        <w:bottom w:val="none" w:sz="0" w:space="0" w:color="auto"/>
        <w:right w:val="none" w:sz="0" w:space="0" w:color="auto"/>
      </w:divBdr>
    </w:div>
    <w:div w:id="618413418">
      <w:bodyDiv w:val="1"/>
      <w:marLeft w:val="0"/>
      <w:marRight w:val="0"/>
      <w:marTop w:val="0"/>
      <w:marBottom w:val="0"/>
      <w:divBdr>
        <w:top w:val="none" w:sz="0" w:space="0" w:color="auto"/>
        <w:left w:val="none" w:sz="0" w:space="0" w:color="auto"/>
        <w:bottom w:val="none" w:sz="0" w:space="0" w:color="auto"/>
        <w:right w:val="none" w:sz="0" w:space="0" w:color="auto"/>
      </w:divBdr>
    </w:div>
    <w:div w:id="633297015">
      <w:bodyDiv w:val="1"/>
      <w:marLeft w:val="0"/>
      <w:marRight w:val="0"/>
      <w:marTop w:val="0"/>
      <w:marBottom w:val="0"/>
      <w:divBdr>
        <w:top w:val="none" w:sz="0" w:space="0" w:color="auto"/>
        <w:left w:val="none" w:sz="0" w:space="0" w:color="auto"/>
        <w:bottom w:val="none" w:sz="0" w:space="0" w:color="auto"/>
        <w:right w:val="none" w:sz="0" w:space="0" w:color="auto"/>
      </w:divBdr>
    </w:div>
    <w:div w:id="640889328">
      <w:bodyDiv w:val="1"/>
      <w:marLeft w:val="0"/>
      <w:marRight w:val="0"/>
      <w:marTop w:val="0"/>
      <w:marBottom w:val="0"/>
      <w:divBdr>
        <w:top w:val="none" w:sz="0" w:space="0" w:color="auto"/>
        <w:left w:val="none" w:sz="0" w:space="0" w:color="auto"/>
        <w:bottom w:val="none" w:sz="0" w:space="0" w:color="auto"/>
        <w:right w:val="none" w:sz="0" w:space="0" w:color="auto"/>
      </w:divBdr>
    </w:div>
    <w:div w:id="654993627">
      <w:bodyDiv w:val="1"/>
      <w:marLeft w:val="0"/>
      <w:marRight w:val="0"/>
      <w:marTop w:val="0"/>
      <w:marBottom w:val="0"/>
      <w:divBdr>
        <w:top w:val="none" w:sz="0" w:space="0" w:color="auto"/>
        <w:left w:val="none" w:sz="0" w:space="0" w:color="auto"/>
        <w:bottom w:val="none" w:sz="0" w:space="0" w:color="auto"/>
        <w:right w:val="none" w:sz="0" w:space="0" w:color="auto"/>
      </w:divBdr>
    </w:div>
    <w:div w:id="667246803">
      <w:bodyDiv w:val="1"/>
      <w:marLeft w:val="0"/>
      <w:marRight w:val="0"/>
      <w:marTop w:val="0"/>
      <w:marBottom w:val="0"/>
      <w:divBdr>
        <w:top w:val="none" w:sz="0" w:space="0" w:color="auto"/>
        <w:left w:val="none" w:sz="0" w:space="0" w:color="auto"/>
        <w:bottom w:val="none" w:sz="0" w:space="0" w:color="auto"/>
        <w:right w:val="none" w:sz="0" w:space="0" w:color="auto"/>
      </w:divBdr>
    </w:div>
    <w:div w:id="684749665">
      <w:bodyDiv w:val="1"/>
      <w:marLeft w:val="0"/>
      <w:marRight w:val="0"/>
      <w:marTop w:val="0"/>
      <w:marBottom w:val="0"/>
      <w:divBdr>
        <w:top w:val="none" w:sz="0" w:space="0" w:color="auto"/>
        <w:left w:val="none" w:sz="0" w:space="0" w:color="auto"/>
        <w:bottom w:val="none" w:sz="0" w:space="0" w:color="auto"/>
        <w:right w:val="none" w:sz="0" w:space="0" w:color="auto"/>
      </w:divBdr>
    </w:div>
    <w:div w:id="698774149">
      <w:bodyDiv w:val="1"/>
      <w:marLeft w:val="0"/>
      <w:marRight w:val="0"/>
      <w:marTop w:val="0"/>
      <w:marBottom w:val="0"/>
      <w:divBdr>
        <w:top w:val="none" w:sz="0" w:space="0" w:color="auto"/>
        <w:left w:val="none" w:sz="0" w:space="0" w:color="auto"/>
        <w:bottom w:val="none" w:sz="0" w:space="0" w:color="auto"/>
        <w:right w:val="none" w:sz="0" w:space="0" w:color="auto"/>
      </w:divBdr>
    </w:div>
    <w:div w:id="701637749">
      <w:bodyDiv w:val="1"/>
      <w:marLeft w:val="0"/>
      <w:marRight w:val="0"/>
      <w:marTop w:val="0"/>
      <w:marBottom w:val="0"/>
      <w:divBdr>
        <w:top w:val="none" w:sz="0" w:space="0" w:color="auto"/>
        <w:left w:val="none" w:sz="0" w:space="0" w:color="auto"/>
        <w:bottom w:val="none" w:sz="0" w:space="0" w:color="auto"/>
        <w:right w:val="none" w:sz="0" w:space="0" w:color="auto"/>
      </w:divBdr>
    </w:div>
    <w:div w:id="702680939">
      <w:bodyDiv w:val="1"/>
      <w:marLeft w:val="0"/>
      <w:marRight w:val="0"/>
      <w:marTop w:val="0"/>
      <w:marBottom w:val="0"/>
      <w:divBdr>
        <w:top w:val="none" w:sz="0" w:space="0" w:color="auto"/>
        <w:left w:val="none" w:sz="0" w:space="0" w:color="auto"/>
        <w:bottom w:val="none" w:sz="0" w:space="0" w:color="auto"/>
        <w:right w:val="none" w:sz="0" w:space="0" w:color="auto"/>
      </w:divBdr>
    </w:div>
    <w:div w:id="705721021">
      <w:bodyDiv w:val="1"/>
      <w:marLeft w:val="0"/>
      <w:marRight w:val="0"/>
      <w:marTop w:val="0"/>
      <w:marBottom w:val="0"/>
      <w:divBdr>
        <w:top w:val="none" w:sz="0" w:space="0" w:color="auto"/>
        <w:left w:val="none" w:sz="0" w:space="0" w:color="auto"/>
        <w:bottom w:val="none" w:sz="0" w:space="0" w:color="auto"/>
        <w:right w:val="none" w:sz="0" w:space="0" w:color="auto"/>
      </w:divBdr>
    </w:div>
    <w:div w:id="763110371">
      <w:bodyDiv w:val="1"/>
      <w:marLeft w:val="0"/>
      <w:marRight w:val="0"/>
      <w:marTop w:val="0"/>
      <w:marBottom w:val="0"/>
      <w:divBdr>
        <w:top w:val="none" w:sz="0" w:space="0" w:color="auto"/>
        <w:left w:val="none" w:sz="0" w:space="0" w:color="auto"/>
        <w:bottom w:val="none" w:sz="0" w:space="0" w:color="auto"/>
        <w:right w:val="none" w:sz="0" w:space="0" w:color="auto"/>
      </w:divBdr>
    </w:div>
    <w:div w:id="771632927">
      <w:bodyDiv w:val="1"/>
      <w:marLeft w:val="0"/>
      <w:marRight w:val="0"/>
      <w:marTop w:val="0"/>
      <w:marBottom w:val="0"/>
      <w:divBdr>
        <w:top w:val="none" w:sz="0" w:space="0" w:color="auto"/>
        <w:left w:val="none" w:sz="0" w:space="0" w:color="auto"/>
        <w:bottom w:val="none" w:sz="0" w:space="0" w:color="auto"/>
        <w:right w:val="none" w:sz="0" w:space="0" w:color="auto"/>
      </w:divBdr>
    </w:div>
    <w:div w:id="796264796">
      <w:bodyDiv w:val="1"/>
      <w:marLeft w:val="0"/>
      <w:marRight w:val="0"/>
      <w:marTop w:val="0"/>
      <w:marBottom w:val="0"/>
      <w:divBdr>
        <w:top w:val="none" w:sz="0" w:space="0" w:color="auto"/>
        <w:left w:val="none" w:sz="0" w:space="0" w:color="auto"/>
        <w:bottom w:val="none" w:sz="0" w:space="0" w:color="auto"/>
        <w:right w:val="none" w:sz="0" w:space="0" w:color="auto"/>
      </w:divBdr>
    </w:div>
    <w:div w:id="840969963">
      <w:bodyDiv w:val="1"/>
      <w:marLeft w:val="0"/>
      <w:marRight w:val="0"/>
      <w:marTop w:val="0"/>
      <w:marBottom w:val="0"/>
      <w:divBdr>
        <w:top w:val="none" w:sz="0" w:space="0" w:color="auto"/>
        <w:left w:val="none" w:sz="0" w:space="0" w:color="auto"/>
        <w:bottom w:val="none" w:sz="0" w:space="0" w:color="auto"/>
        <w:right w:val="none" w:sz="0" w:space="0" w:color="auto"/>
      </w:divBdr>
    </w:div>
    <w:div w:id="866258050">
      <w:bodyDiv w:val="1"/>
      <w:marLeft w:val="0"/>
      <w:marRight w:val="0"/>
      <w:marTop w:val="0"/>
      <w:marBottom w:val="0"/>
      <w:divBdr>
        <w:top w:val="none" w:sz="0" w:space="0" w:color="auto"/>
        <w:left w:val="none" w:sz="0" w:space="0" w:color="auto"/>
        <w:bottom w:val="none" w:sz="0" w:space="0" w:color="auto"/>
        <w:right w:val="none" w:sz="0" w:space="0" w:color="auto"/>
      </w:divBdr>
    </w:div>
    <w:div w:id="869925277">
      <w:bodyDiv w:val="1"/>
      <w:marLeft w:val="0"/>
      <w:marRight w:val="0"/>
      <w:marTop w:val="0"/>
      <w:marBottom w:val="0"/>
      <w:divBdr>
        <w:top w:val="none" w:sz="0" w:space="0" w:color="auto"/>
        <w:left w:val="none" w:sz="0" w:space="0" w:color="auto"/>
        <w:bottom w:val="none" w:sz="0" w:space="0" w:color="auto"/>
        <w:right w:val="none" w:sz="0" w:space="0" w:color="auto"/>
      </w:divBdr>
    </w:div>
    <w:div w:id="873078828">
      <w:bodyDiv w:val="1"/>
      <w:marLeft w:val="0"/>
      <w:marRight w:val="0"/>
      <w:marTop w:val="0"/>
      <w:marBottom w:val="0"/>
      <w:divBdr>
        <w:top w:val="none" w:sz="0" w:space="0" w:color="auto"/>
        <w:left w:val="none" w:sz="0" w:space="0" w:color="auto"/>
        <w:bottom w:val="none" w:sz="0" w:space="0" w:color="auto"/>
        <w:right w:val="none" w:sz="0" w:space="0" w:color="auto"/>
      </w:divBdr>
    </w:div>
    <w:div w:id="883562951">
      <w:bodyDiv w:val="1"/>
      <w:marLeft w:val="0"/>
      <w:marRight w:val="0"/>
      <w:marTop w:val="0"/>
      <w:marBottom w:val="0"/>
      <w:divBdr>
        <w:top w:val="none" w:sz="0" w:space="0" w:color="auto"/>
        <w:left w:val="none" w:sz="0" w:space="0" w:color="auto"/>
        <w:bottom w:val="none" w:sz="0" w:space="0" w:color="auto"/>
        <w:right w:val="none" w:sz="0" w:space="0" w:color="auto"/>
      </w:divBdr>
    </w:div>
    <w:div w:id="919020404">
      <w:bodyDiv w:val="1"/>
      <w:marLeft w:val="0"/>
      <w:marRight w:val="0"/>
      <w:marTop w:val="0"/>
      <w:marBottom w:val="0"/>
      <w:divBdr>
        <w:top w:val="none" w:sz="0" w:space="0" w:color="auto"/>
        <w:left w:val="none" w:sz="0" w:space="0" w:color="auto"/>
        <w:bottom w:val="none" w:sz="0" w:space="0" w:color="auto"/>
        <w:right w:val="none" w:sz="0" w:space="0" w:color="auto"/>
      </w:divBdr>
    </w:div>
    <w:div w:id="933316666">
      <w:bodyDiv w:val="1"/>
      <w:marLeft w:val="0"/>
      <w:marRight w:val="0"/>
      <w:marTop w:val="0"/>
      <w:marBottom w:val="0"/>
      <w:divBdr>
        <w:top w:val="none" w:sz="0" w:space="0" w:color="auto"/>
        <w:left w:val="none" w:sz="0" w:space="0" w:color="auto"/>
        <w:bottom w:val="none" w:sz="0" w:space="0" w:color="auto"/>
        <w:right w:val="none" w:sz="0" w:space="0" w:color="auto"/>
      </w:divBdr>
    </w:div>
    <w:div w:id="933628712">
      <w:bodyDiv w:val="1"/>
      <w:marLeft w:val="0"/>
      <w:marRight w:val="0"/>
      <w:marTop w:val="0"/>
      <w:marBottom w:val="0"/>
      <w:divBdr>
        <w:top w:val="none" w:sz="0" w:space="0" w:color="auto"/>
        <w:left w:val="none" w:sz="0" w:space="0" w:color="auto"/>
        <w:bottom w:val="none" w:sz="0" w:space="0" w:color="auto"/>
        <w:right w:val="none" w:sz="0" w:space="0" w:color="auto"/>
      </w:divBdr>
    </w:div>
    <w:div w:id="941763504">
      <w:bodyDiv w:val="1"/>
      <w:marLeft w:val="0"/>
      <w:marRight w:val="0"/>
      <w:marTop w:val="0"/>
      <w:marBottom w:val="0"/>
      <w:divBdr>
        <w:top w:val="none" w:sz="0" w:space="0" w:color="auto"/>
        <w:left w:val="none" w:sz="0" w:space="0" w:color="auto"/>
        <w:bottom w:val="none" w:sz="0" w:space="0" w:color="auto"/>
        <w:right w:val="none" w:sz="0" w:space="0" w:color="auto"/>
      </w:divBdr>
    </w:div>
    <w:div w:id="975451121">
      <w:bodyDiv w:val="1"/>
      <w:marLeft w:val="0"/>
      <w:marRight w:val="0"/>
      <w:marTop w:val="0"/>
      <w:marBottom w:val="0"/>
      <w:divBdr>
        <w:top w:val="none" w:sz="0" w:space="0" w:color="auto"/>
        <w:left w:val="none" w:sz="0" w:space="0" w:color="auto"/>
        <w:bottom w:val="none" w:sz="0" w:space="0" w:color="auto"/>
        <w:right w:val="none" w:sz="0" w:space="0" w:color="auto"/>
      </w:divBdr>
    </w:div>
    <w:div w:id="988093096">
      <w:bodyDiv w:val="1"/>
      <w:marLeft w:val="0"/>
      <w:marRight w:val="0"/>
      <w:marTop w:val="0"/>
      <w:marBottom w:val="0"/>
      <w:divBdr>
        <w:top w:val="none" w:sz="0" w:space="0" w:color="auto"/>
        <w:left w:val="none" w:sz="0" w:space="0" w:color="auto"/>
        <w:bottom w:val="none" w:sz="0" w:space="0" w:color="auto"/>
        <w:right w:val="none" w:sz="0" w:space="0" w:color="auto"/>
      </w:divBdr>
    </w:div>
    <w:div w:id="1013611185">
      <w:bodyDiv w:val="1"/>
      <w:marLeft w:val="0"/>
      <w:marRight w:val="0"/>
      <w:marTop w:val="0"/>
      <w:marBottom w:val="0"/>
      <w:divBdr>
        <w:top w:val="none" w:sz="0" w:space="0" w:color="auto"/>
        <w:left w:val="none" w:sz="0" w:space="0" w:color="auto"/>
        <w:bottom w:val="none" w:sz="0" w:space="0" w:color="auto"/>
        <w:right w:val="none" w:sz="0" w:space="0" w:color="auto"/>
      </w:divBdr>
    </w:div>
    <w:div w:id="1014847599">
      <w:bodyDiv w:val="1"/>
      <w:marLeft w:val="0"/>
      <w:marRight w:val="0"/>
      <w:marTop w:val="0"/>
      <w:marBottom w:val="0"/>
      <w:divBdr>
        <w:top w:val="none" w:sz="0" w:space="0" w:color="auto"/>
        <w:left w:val="none" w:sz="0" w:space="0" w:color="auto"/>
        <w:bottom w:val="none" w:sz="0" w:space="0" w:color="auto"/>
        <w:right w:val="none" w:sz="0" w:space="0" w:color="auto"/>
      </w:divBdr>
    </w:div>
    <w:div w:id="1017274514">
      <w:bodyDiv w:val="1"/>
      <w:marLeft w:val="0"/>
      <w:marRight w:val="0"/>
      <w:marTop w:val="0"/>
      <w:marBottom w:val="0"/>
      <w:divBdr>
        <w:top w:val="none" w:sz="0" w:space="0" w:color="auto"/>
        <w:left w:val="none" w:sz="0" w:space="0" w:color="auto"/>
        <w:bottom w:val="none" w:sz="0" w:space="0" w:color="auto"/>
        <w:right w:val="none" w:sz="0" w:space="0" w:color="auto"/>
      </w:divBdr>
    </w:div>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081177518">
      <w:bodyDiv w:val="1"/>
      <w:marLeft w:val="0"/>
      <w:marRight w:val="0"/>
      <w:marTop w:val="0"/>
      <w:marBottom w:val="0"/>
      <w:divBdr>
        <w:top w:val="none" w:sz="0" w:space="0" w:color="auto"/>
        <w:left w:val="none" w:sz="0" w:space="0" w:color="auto"/>
        <w:bottom w:val="none" w:sz="0" w:space="0" w:color="auto"/>
        <w:right w:val="none" w:sz="0" w:space="0" w:color="auto"/>
      </w:divBdr>
    </w:div>
    <w:div w:id="1085497139">
      <w:bodyDiv w:val="1"/>
      <w:marLeft w:val="0"/>
      <w:marRight w:val="0"/>
      <w:marTop w:val="0"/>
      <w:marBottom w:val="0"/>
      <w:divBdr>
        <w:top w:val="none" w:sz="0" w:space="0" w:color="auto"/>
        <w:left w:val="none" w:sz="0" w:space="0" w:color="auto"/>
        <w:bottom w:val="none" w:sz="0" w:space="0" w:color="auto"/>
        <w:right w:val="none" w:sz="0" w:space="0" w:color="auto"/>
      </w:divBdr>
    </w:div>
    <w:div w:id="1109467490">
      <w:bodyDiv w:val="1"/>
      <w:marLeft w:val="0"/>
      <w:marRight w:val="0"/>
      <w:marTop w:val="0"/>
      <w:marBottom w:val="0"/>
      <w:divBdr>
        <w:top w:val="none" w:sz="0" w:space="0" w:color="auto"/>
        <w:left w:val="none" w:sz="0" w:space="0" w:color="auto"/>
        <w:bottom w:val="none" w:sz="0" w:space="0" w:color="auto"/>
        <w:right w:val="none" w:sz="0" w:space="0" w:color="auto"/>
      </w:divBdr>
    </w:div>
    <w:div w:id="1218978041">
      <w:bodyDiv w:val="1"/>
      <w:marLeft w:val="0"/>
      <w:marRight w:val="0"/>
      <w:marTop w:val="0"/>
      <w:marBottom w:val="0"/>
      <w:divBdr>
        <w:top w:val="none" w:sz="0" w:space="0" w:color="auto"/>
        <w:left w:val="none" w:sz="0" w:space="0" w:color="auto"/>
        <w:bottom w:val="none" w:sz="0" w:space="0" w:color="auto"/>
        <w:right w:val="none" w:sz="0" w:space="0" w:color="auto"/>
      </w:divBdr>
    </w:div>
    <w:div w:id="1242644350">
      <w:bodyDiv w:val="1"/>
      <w:marLeft w:val="0"/>
      <w:marRight w:val="0"/>
      <w:marTop w:val="0"/>
      <w:marBottom w:val="0"/>
      <w:divBdr>
        <w:top w:val="none" w:sz="0" w:space="0" w:color="auto"/>
        <w:left w:val="none" w:sz="0" w:space="0" w:color="auto"/>
        <w:bottom w:val="none" w:sz="0" w:space="0" w:color="auto"/>
        <w:right w:val="none" w:sz="0" w:space="0" w:color="auto"/>
      </w:divBdr>
    </w:div>
    <w:div w:id="1280988786">
      <w:bodyDiv w:val="1"/>
      <w:marLeft w:val="0"/>
      <w:marRight w:val="0"/>
      <w:marTop w:val="0"/>
      <w:marBottom w:val="0"/>
      <w:divBdr>
        <w:top w:val="none" w:sz="0" w:space="0" w:color="auto"/>
        <w:left w:val="none" w:sz="0" w:space="0" w:color="auto"/>
        <w:bottom w:val="none" w:sz="0" w:space="0" w:color="auto"/>
        <w:right w:val="none" w:sz="0" w:space="0" w:color="auto"/>
      </w:divBdr>
    </w:div>
    <w:div w:id="1316488690">
      <w:bodyDiv w:val="1"/>
      <w:marLeft w:val="0"/>
      <w:marRight w:val="0"/>
      <w:marTop w:val="0"/>
      <w:marBottom w:val="0"/>
      <w:divBdr>
        <w:top w:val="none" w:sz="0" w:space="0" w:color="auto"/>
        <w:left w:val="none" w:sz="0" w:space="0" w:color="auto"/>
        <w:bottom w:val="none" w:sz="0" w:space="0" w:color="auto"/>
        <w:right w:val="none" w:sz="0" w:space="0" w:color="auto"/>
      </w:divBdr>
    </w:div>
    <w:div w:id="1324551390">
      <w:bodyDiv w:val="1"/>
      <w:marLeft w:val="0"/>
      <w:marRight w:val="0"/>
      <w:marTop w:val="0"/>
      <w:marBottom w:val="0"/>
      <w:divBdr>
        <w:top w:val="none" w:sz="0" w:space="0" w:color="auto"/>
        <w:left w:val="none" w:sz="0" w:space="0" w:color="auto"/>
        <w:bottom w:val="none" w:sz="0" w:space="0" w:color="auto"/>
        <w:right w:val="none" w:sz="0" w:space="0" w:color="auto"/>
      </w:divBdr>
    </w:div>
    <w:div w:id="1355496900">
      <w:bodyDiv w:val="1"/>
      <w:marLeft w:val="0"/>
      <w:marRight w:val="0"/>
      <w:marTop w:val="0"/>
      <w:marBottom w:val="0"/>
      <w:divBdr>
        <w:top w:val="none" w:sz="0" w:space="0" w:color="auto"/>
        <w:left w:val="none" w:sz="0" w:space="0" w:color="auto"/>
        <w:bottom w:val="none" w:sz="0" w:space="0" w:color="auto"/>
        <w:right w:val="none" w:sz="0" w:space="0" w:color="auto"/>
      </w:divBdr>
    </w:div>
    <w:div w:id="1358699245">
      <w:bodyDiv w:val="1"/>
      <w:marLeft w:val="0"/>
      <w:marRight w:val="0"/>
      <w:marTop w:val="0"/>
      <w:marBottom w:val="0"/>
      <w:divBdr>
        <w:top w:val="none" w:sz="0" w:space="0" w:color="auto"/>
        <w:left w:val="none" w:sz="0" w:space="0" w:color="auto"/>
        <w:bottom w:val="none" w:sz="0" w:space="0" w:color="auto"/>
        <w:right w:val="none" w:sz="0" w:space="0" w:color="auto"/>
      </w:divBdr>
    </w:div>
    <w:div w:id="1361321039">
      <w:bodyDiv w:val="1"/>
      <w:marLeft w:val="0"/>
      <w:marRight w:val="0"/>
      <w:marTop w:val="0"/>
      <w:marBottom w:val="0"/>
      <w:divBdr>
        <w:top w:val="none" w:sz="0" w:space="0" w:color="auto"/>
        <w:left w:val="none" w:sz="0" w:space="0" w:color="auto"/>
        <w:bottom w:val="none" w:sz="0" w:space="0" w:color="auto"/>
        <w:right w:val="none" w:sz="0" w:space="0" w:color="auto"/>
      </w:divBdr>
    </w:div>
    <w:div w:id="1365474421">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14745755">
      <w:bodyDiv w:val="1"/>
      <w:marLeft w:val="0"/>
      <w:marRight w:val="0"/>
      <w:marTop w:val="0"/>
      <w:marBottom w:val="0"/>
      <w:divBdr>
        <w:top w:val="none" w:sz="0" w:space="0" w:color="auto"/>
        <w:left w:val="none" w:sz="0" w:space="0" w:color="auto"/>
        <w:bottom w:val="none" w:sz="0" w:space="0" w:color="auto"/>
        <w:right w:val="none" w:sz="0" w:space="0" w:color="auto"/>
      </w:divBdr>
    </w:div>
    <w:div w:id="1429277619">
      <w:bodyDiv w:val="1"/>
      <w:marLeft w:val="0"/>
      <w:marRight w:val="0"/>
      <w:marTop w:val="0"/>
      <w:marBottom w:val="0"/>
      <w:divBdr>
        <w:top w:val="none" w:sz="0" w:space="0" w:color="auto"/>
        <w:left w:val="none" w:sz="0" w:space="0" w:color="auto"/>
        <w:bottom w:val="none" w:sz="0" w:space="0" w:color="auto"/>
        <w:right w:val="none" w:sz="0" w:space="0" w:color="auto"/>
      </w:divBdr>
    </w:div>
    <w:div w:id="1430733906">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 w:id="1445148720">
      <w:bodyDiv w:val="1"/>
      <w:marLeft w:val="0"/>
      <w:marRight w:val="0"/>
      <w:marTop w:val="0"/>
      <w:marBottom w:val="0"/>
      <w:divBdr>
        <w:top w:val="none" w:sz="0" w:space="0" w:color="auto"/>
        <w:left w:val="none" w:sz="0" w:space="0" w:color="auto"/>
        <w:bottom w:val="none" w:sz="0" w:space="0" w:color="auto"/>
        <w:right w:val="none" w:sz="0" w:space="0" w:color="auto"/>
      </w:divBdr>
    </w:div>
    <w:div w:id="1451974998">
      <w:bodyDiv w:val="1"/>
      <w:marLeft w:val="0"/>
      <w:marRight w:val="0"/>
      <w:marTop w:val="0"/>
      <w:marBottom w:val="0"/>
      <w:divBdr>
        <w:top w:val="none" w:sz="0" w:space="0" w:color="auto"/>
        <w:left w:val="none" w:sz="0" w:space="0" w:color="auto"/>
        <w:bottom w:val="none" w:sz="0" w:space="0" w:color="auto"/>
        <w:right w:val="none" w:sz="0" w:space="0" w:color="auto"/>
      </w:divBdr>
    </w:div>
    <w:div w:id="1498231851">
      <w:bodyDiv w:val="1"/>
      <w:marLeft w:val="0"/>
      <w:marRight w:val="0"/>
      <w:marTop w:val="0"/>
      <w:marBottom w:val="0"/>
      <w:divBdr>
        <w:top w:val="none" w:sz="0" w:space="0" w:color="auto"/>
        <w:left w:val="none" w:sz="0" w:space="0" w:color="auto"/>
        <w:bottom w:val="none" w:sz="0" w:space="0" w:color="auto"/>
        <w:right w:val="none" w:sz="0" w:space="0" w:color="auto"/>
      </w:divBdr>
    </w:div>
    <w:div w:id="1551453525">
      <w:bodyDiv w:val="1"/>
      <w:marLeft w:val="0"/>
      <w:marRight w:val="0"/>
      <w:marTop w:val="0"/>
      <w:marBottom w:val="0"/>
      <w:divBdr>
        <w:top w:val="none" w:sz="0" w:space="0" w:color="auto"/>
        <w:left w:val="none" w:sz="0" w:space="0" w:color="auto"/>
        <w:bottom w:val="none" w:sz="0" w:space="0" w:color="auto"/>
        <w:right w:val="none" w:sz="0" w:space="0" w:color="auto"/>
      </w:divBdr>
    </w:div>
    <w:div w:id="1604847858">
      <w:bodyDiv w:val="1"/>
      <w:marLeft w:val="0"/>
      <w:marRight w:val="0"/>
      <w:marTop w:val="0"/>
      <w:marBottom w:val="0"/>
      <w:divBdr>
        <w:top w:val="none" w:sz="0" w:space="0" w:color="auto"/>
        <w:left w:val="none" w:sz="0" w:space="0" w:color="auto"/>
        <w:bottom w:val="none" w:sz="0" w:space="0" w:color="auto"/>
        <w:right w:val="none" w:sz="0" w:space="0" w:color="auto"/>
      </w:divBdr>
    </w:div>
    <w:div w:id="1616979414">
      <w:bodyDiv w:val="1"/>
      <w:marLeft w:val="0"/>
      <w:marRight w:val="0"/>
      <w:marTop w:val="0"/>
      <w:marBottom w:val="0"/>
      <w:divBdr>
        <w:top w:val="none" w:sz="0" w:space="0" w:color="auto"/>
        <w:left w:val="none" w:sz="0" w:space="0" w:color="auto"/>
        <w:bottom w:val="none" w:sz="0" w:space="0" w:color="auto"/>
        <w:right w:val="none" w:sz="0" w:space="0" w:color="auto"/>
      </w:divBdr>
    </w:div>
    <w:div w:id="1640726049">
      <w:bodyDiv w:val="1"/>
      <w:marLeft w:val="0"/>
      <w:marRight w:val="0"/>
      <w:marTop w:val="0"/>
      <w:marBottom w:val="0"/>
      <w:divBdr>
        <w:top w:val="none" w:sz="0" w:space="0" w:color="auto"/>
        <w:left w:val="none" w:sz="0" w:space="0" w:color="auto"/>
        <w:bottom w:val="none" w:sz="0" w:space="0" w:color="auto"/>
        <w:right w:val="none" w:sz="0" w:space="0" w:color="auto"/>
      </w:divBdr>
    </w:div>
    <w:div w:id="1644505264">
      <w:bodyDiv w:val="1"/>
      <w:marLeft w:val="0"/>
      <w:marRight w:val="0"/>
      <w:marTop w:val="0"/>
      <w:marBottom w:val="0"/>
      <w:divBdr>
        <w:top w:val="none" w:sz="0" w:space="0" w:color="auto"/>
        <w:left w:val="none" w:sz="0" w:space="0" w:color="auto"/>
        <w:bottom w:val="none" w:sz="0" w:space="0" w:color="auto"/>
        <w:right w:val="none" w:sz="0" w:space="0" w:color="auto"/>
      </w:divBdr>
    </w:div>
    <w:div w:id="1758021477">
      <w:bodyDiv w:val="1"/>
      <w:marLeft w:val="0"/>
      <w:marRight w:val="0"/>
      <w:marTop w:val="0"/>
      <w:marBottom w:val="0"/>
      <w:divBdr>
        <w:top w:val="none" w:sz="0" w:space="0" w:color="auto"/>
        <w:left w:val="none" w:sz="0" w:space="0" w:color="auto"/>
        <w:bottom w:val="none" w:sz="0" w:space="0" w:color="auto"/>
        <w:right w:val="none" w:sz="0" w:space="0" w:color="auto"/>
      </w:divBdr>
    </w:div>
    <w:div w:id="1764914103">
      <w:bodyDiv w:val="1"/>
      <w:marLeft w:val="0"/>
      <w:marRight w:val="0"/>
      <w:marTop w:val="0"/>
      <w:marBottom w:val="0"/>
      <w:divBdr>
        <w:top w:val="none" w:sz="0" w:space="0" w:color="auto"/>
        <w:left w:val="none" w:sz="0" w:space="0" w:color="auto"/>
        <w:bottom w:val="none" w:sz="0" w:space="0" w:color="auto"/>
        <w:right w:val="none" w:sz="0" w:space="0" w:color="auto"/>
      </w:divBdr>
    </w:div>
    <w:div w:id="1800536930">
      <w:bodyDiv w:val="1"/>
      <w:marLeft w:val="0"/>
      <w:marRight w:val="0"/>
      <w:marTop w:val="0"/>
      <w:marBottom w:val="0"/>
      <w:divBdr>
        <w:top w:val="none" w:sz="0" w:space="0" w:color="auto"/>
        <w:left w:val="none" w:sz="0" w:space="0" w:color="auto"/>
        <w:bottom w:val="none" w:sz="0" w:space="0" w:color="auto"/>
        <w:right w:val="none" w:sz="0" w:space="0" w:color="auto"/>
      </w:divBdr>
    </w:div>
    <w:div w:id="1801722118">
      <w:bodyDiv w:val="1"/>
      <w:marLeft w:val="0"/>
      <w:marRight w:val="0"/>
      <w:marTop w:val="0"/>
      <w:marBottom w:val="0"/>
      <w:divBdr>
        <w:top w:val="none" w:sz="0" w:space="0" w:color="auto"/>
        <w:left w:val="none" w:sz="0" w:space="0" w:color="auto"/>
        <w:bottom w:val="none" w:sz="0" w:space="0" w:color="auto"/>
        <w:right w:val="none" w:sz="0" w:space="0" w:color="auto"/>
      </w:divBdr>
    </w:div>
    <w:div w:id="1812752352">
      <w:bodyDiv w:val="1"/>
      <w:marLeft w:val="0"/>
      <w:marRight w:val="0"/>
      <w:marTop w:val="0"/>
      <w:marBottom w:val="0"/>
      <w:divBdr>
        <w:top w:val="none" w:sz="0" w:space="0" w:color="auto"/>
        <w:left w:val="none" w:sz="0" w:space="0" w:color="auto"/>
        <w:bottom w:val="none" w:sz="0" w:space="0" w:color="auto"/>
        <w:right w:val="none" w:sz="0" w:space="0" w:color="auto"/>
      </w:divBdr>
    </w:div>
    <w:div w:id="1822116522">
      <w:bodyDiv w:val="1"/>
      <w:marLeft w:val="0"/>
      <w:marRight w:val="0"/>
      <w:marTop w:val="0"/>
      <w:marBottom w:val="0"/>
      <w:divBdr>
        <w:top w:val="none" w:sz="0" w:space="0" w:color="auto"/>
        <w:left w:val="none" w:sz="0" w:space="0" w:color="auto"/>
        <w:bottom w:val="none" w:sz="0" w:space="0" w:color="auto"/>
        <w:right w:val="none" w:sz="0" w:space="0" w:color="auto"/>
      </w:divBdr>
    </w:div>
    <w:div w:id="1824546706">
      <w:bodyDiv w:val="1"/>
      <w:marLeft w:val="0"/>
      <w:marRight w:val="0"/>
      <w:marTop w:val="0"/>
      <w:marBottom w:val="0"/>
      <w:divBdr>
        <w:top w:val="none" w:sz="0" w:space="0" w:color="auto"/>
        <w:left w:val="none" w:sz="0" w:space="0" w:color="auto"/>
        <w:bottom w:val="none" w:sz="0" w:space="0" w:color="auto"/>
        <w:right w:val="none" w:sz="0" w:space="0" w:color="auto"/>
      </w:divBdr>
    </w:div>
    <w:div w:id="1824656274">
      <w:bodyDiv w:val="1"/>
      <w:marLeft w:val="0"/>
      <w:marRight w:val="0"/>
      <w:marTop w:val="0"/>
      <w:marBottom w:val="0"/>
      <w:divBdr>
        <w:top w:val="none" w:sz="0" w:space="0" w:color="auto"/>
        <w:left w:val="none" w:sz="0" w:space="0" w:color="auto"/>
        <w:bottom w:val="none" w:sz="0" w:space="0" w:color="auto"/>
        <w:right w:val="none" w:sz="0" w:space="0" w:color="auto"/>
      </w:divBdr>
    </w:div>
    <w:div w:id="1829009747">
      <w:bodyDiv w:val="1"/>
      <w:marLeft w:val="0"/>
      <w:marRight w:val="0"/>
      <w:marTop w:val="0"/>
      <w:marBottom w:val="0"/>
      <w:divBdr>
        <w:top w:val="none" w:sz="0" w:space="0" w:color="auto"/>
        <w:left w:val="none" w:sz="0" w:space="0" w:color="auto"/>
        <w:bottom w:val="none" w:sz="0" w:space="0" w:color="auto"/>
        <w:right w:val="none" w:sz="0" w:space="0" w:color="auto"/>
      </w:divBdr>
    </w:div>
    <w:div w:id="1831017717">
      <w:bodyDiv w:val="1"/>
      <w:marLeft w:val="0"/>
      <w:marRight w:val="0"/>
      <w:marTop w:val="0"/>
      <w:marBottom w:val="0"/>
      <w:divBdr>
        <w:top w:val="none" w:sz="0" w:space="0" w:color="auto"/>
        <w:left w:val="none" w:sz="0" w:space="0" w:color="auto"/>
        <w:bottom w:val="none" w:sz="0" w:space="0" w:color="auto"/>
        <w:right w:val="none" w:sz="0" w:space="0" w:color="auto"/>
      </w:divBdr>
    </w:div>
    <w:div w:id="1852136848">
      <w:bodyDiv w:val="1"/>
      <w:marLeft w:val="0"/>
      <w:marRight w:val="0"/>
      <w:marTop w:val="0"/>
      <w:marBottom w:val="0"/>
      <w:divBdr>
        <w:top w:val="none" w:sz="0" w:space="0" w:color="auto"/>
        <w:left w:val="none" w:sz="0" w:space="0" w:color="auto"/>
        <w:bottom w:val="none" w:sz="0" w:space="0" w:color="auto"/>
        <w:right w:val="none" w:sz="0" w:space="0" w:color="auto"/>
      </w:divBdr>
    </w:div>
    <w:div w:id="1877352318">
      <w:bodyDiv w:val="1"/>
      <w:marLeft w:val="0"/>
      <w:marRight w:val="0"/>
      <w:marTop w:val="0"/>
      <w:marBottom w:val="0"/>
      <w:divBdr>
        <w:top w:val="none" w:sz="0" w:space="0" w:color="auto"/>
        <w:left w:val="none" w:sz="0" w:space="0" w:color="auto"/>
        <w:bottom w:val="none" w:sz="0" w:space="0" w:color="auto"/>
        <w:right w:val="none" w:sz="0" w:space="0" w:color="auto"/>
      </w:divBdr>
    </w:div>
    <w:div w:id="1883245650">
      <w:bodyDiv w:val="1"/>
      <w:marLeft w:val="0"/>
      <w:marRight w:val="0"/>
      <w:marTop w:val="0"/>
      <w:marBottom w:val="0"/>
      <w:divBdr>
        <w:top w:val="none" w:sz="0" w:space="0" w:color="auto"/>
        <w:left w:val="none" w:sz="0" w:space="0" w:color="auto"/>
        <w:bottom w:val="none" w:sz="0" w:space="0" w:color="auto"/>
        <w:right w:val="none" w:sz="0" w:space="0" w:color="auto"/>
      </w:divBdr>
    </w:div>
    <w:div w:id="1890723781">
      <w:bodyDiv w:val="1"/>
      <w:marLeft w:val="0"/>
      <w:marRight w:val="0"/>
      <w:marTop w:val="0"/>
      <w:marBottom w:val="0"/>
      <w:divBdr>
        <w:top w:val="none" w:sz="0" w:space="0" w:color="auto"/>
        <w:left w:val="none" w:sz="0" w:space="0" w:color="auto"/>
        <w:bottom w:val="none" w:sz="0" w:space="0" w:color="auto"/>
        <w:right w:val="none" w:sz="0" w:space="0" w:color="auto"/>
      </w:divBdr>
    </w:div>
    <w:div w:id="1910310809">
      <w:bodyDiv w:val="1"/>
      <w:marLeft w:val="0"/>
      <w:marRight w:val="0"/>
      <w:marTop w:val="0"/>
      <w:marBottom w:val="0"/>
      <w:divBdr>
        <w:top w:val="none" w:sz="0" w:space="0" w:color="auto"/>
        <w:left w:val="none" w:sz="0" w:space="0" w:color="auto"/>
        <w:bottom w:val="none" w:sz="0" w:space="0" w:color="auto"/>
        <w:right w:val="none" w:sz="0" w:space="0" w:color="auto"/>
      </w:divBdr>
    </w:div>
    <w:div w:id="1930235575">
      <w:bodyDiv w:val="1"/>
      <w:marLeft w:val="0"/>
      <w:marRight w:val="0"/>
      <w:marTop w:val="0"/>
      <w:marBottom w:val="0"/>
      <w:divBdr>
        <w:top w:val="none" w:sz="0" w:space="0" w:color="auto"/>
        <w:left w:val="none" w:sz="0" w:space="0" w:color="auto"/>
        <w:bottom w:val="none" w:sz="0" w:space="0" w:color="auto"/>
        <w:right w:val="none" w:sz="0" w:space="0" w:color="auto"/>
      </w:divBdr>
    </w:div>
    <w:div w:id="1943413901">
      <w:bodyDiv w:val="1"/>
      <w:marLeft w:val="0"/>
      <w:marRight w:val="0"/>
      <w:marTop w:val="0"/>
      <w:marBottom w:val="0"/>
      <w:divBdr>
        <w:top w:val="none" w:sz="0" w:space="0" w:color="auto"/>
        <w:left w:val="none" w:sz="0" w:space="0" w:color="auto"/>
        <w:bottom w:val="none" w:sz="0" w:space="0" w:color="auto"/>
        <w:right w:val="none" w:sz="0" w:space="0" w:color="auto"/>
      </w:divBdr>
    </w:div>
    <w:div w:id="1955209874">
      <w:bodyDiv w:val="1"/>
      <w:marLeft w:val="0"/>
      <w:marRight w:val="0"/>
      <w:marTop w:val="0"/>
      <w:marBottom w:val="0"/>
      <w:divBdr>
        <w:top w:val="none" w:sz="0" w:space="0" w:color="auto"/>
        <w:left w:val="none" w:sz="0" w:space="0" w:color="auto"/>
        <w:bottom w:val="none" w:sz="0" w:space="0" w:color="auto"/>
        <w:right w:val="none" w:sz="0" w:space="0" w:color="auto"/>
      </w:divBdr>
    </w:div>
    <w:div w:id="2107728664">
      <w:bodyDiv w:val="1"/>
      <w:marLeft w:val="0"/>
      <w:marRight w:val="0"/>
      <w:marTop w:val="0"/>
      <w:marBottom w:val="0"/>
      <w:divBdr>
        <w:top w:val="none" w:sz="0" w:space="0" w:color="auto"/>
        <w:left w:val="none" w:sz="0" w:space="0" w:color="auto"/>
        <w:bottom w:val="none" w:sz="0" w:space="0" w:color="auto"/>
        <w:right w:val="none" w:sz="0" w:space="0" w:color="auto"/>
      </w:divBdr>
    </w:div>
    <w:div w:id="2123302587">
      <w:bodyDiv w:val="1"/>
      <w:marLeft w:val="0"/>
      <w:marRight w:val="0"/>
      <w:marTop w:val="0"/>
      <w:marBottom w:val="0"/>
      <w:divBdr>
        <w:top w:val="none" w:sz="0" w:space="0" w:color="auto"/>
        <w:left w:val="none" w:sz="0" w:space="0" w:color="auto"/>
        <w:bottom w:val="none" w:sz="0" w:space="0" w:color="auto"/>
        <w:right w:val="none" w:sz="0" w:space="0" w:color="auto"/>
      </w:divBdr>
    </w:div>
    <w:div w:id="212920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theme" Target="theme/theme1.xml"/><Relationship Id="rId5" Type="http://schemas.openxmlformats.org/officeDocument/2006/relationships/styles" Target="styles.xm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8" Type="http://schemas.openxmlformats.org/officeDocument/2006/relationships/footnotes" Target="footnotes.xml"/><Relationship Id="rId51" Type="http://schemas.openxmlformats.org/officeDocument/2006/relationships/image" Target="media/image39.png"/><Relationship Id="rId3" Type="http://schemas.openxmlformats.org/officeDocument/2006/relationships/customXml" Target="../customXml/item3.xml"/><Relationship Id="rId12" Type="http://schemas.openxmlformats.org/officeDocument/2006/relationships/header" Target="header1.xml"/><Relationship Id="rId17" Type="http://schemas.microsoft.com/office/2007/relationships/hdphoto" Target="media/hdphoto2.wdp"/><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settings" Target="settings.xml"/><Relationship Id="rId15" Type="http://schemas.microsoft.com/office/2007/relationships/hdphoto" Target="media/hdphoto1.wdp"/><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s>
</file>

<file path=word/_rels/footnotes.xml.rels><?xml version="1.0" encoding="UTF-8" standalone="yes"?>
<Relationships xmlns="http://schemas.openxmlformats.org/package/2006/relationships"><Relationship Id="rId3" Type="http://schemas.openxmlformats.org/officeDocument/2006/relationships/hyperlink" Target="https://www.fse.regione.lombardia.it/wps/wcm/connect/2493feb1-7531-4287-a774-bf3a33b4fc4a/Relazione+di+riprogrammazione+POR+FSE+6.0_+v+3.0_29092020.pdf?MOD=AJPERES&amp;CONVERT_TO=url&amp;CACHEID=ROOTWORKSPACE-2493feb1-7531-4287-a774-bf3a33b4fc4a-nrtj3bs" TargetMode="External"/><Relationship Id="rId2" Type="http://schemas.openxmlformats.org/officeDocument/2006/relationships/hyperlink" Target="https://www.fesr.regione.lombardia.it/wps/wcm/connect/2154aec8-6a87-41d0-aa1f-f168322b9bb4/dgr+3596_2020+riprogrammazione+por+fesr+2014-2020.pdf?MOD=AJPERES&amp;CONVERT_TO=url&amp;CACHEID=ROOTWORKSPACE-2154aec8-6a87-41d0-aa1f-f168322b9bb4-njuMLfz" TargetMode="External"/><Relationship Id="rId1" Type="http://schemas.openxmlformats.org/officeDocument/2006/relationships/hyperlink" Target="https://www.fesr.regione.lombardia.it/wps/portal/PROUE/FESR/autorita-e-organi/comitato-di-sorveglianza" TargetMode="External"/><Relationship Id="rId5" Type="http://schemas.openxmlformats.org/officeDocument/2006/relationships/hyperlink" Target="https://www.bancaditalia.it/pubblicazioni/economie-regionali/2020/2020-0003/2003-lombardia.pdf" TargetMode="External"/><Relationship Id="rId4" Type="http://schemas.openxmlformats.org/officeDocument/2006/relationships/hyperlink" Target="https://www.fse.regione.lombardia.it/wps/wcm/connect/2493feb1-7531-4287-a774-bf3a33b4fc4a/Relazione+di+riprogrammazione+POR+FSE+6.0_+v+3.0_29092020.pdf?MOD=AJPERES&amp;CONVERT_TO=url&amp;CACHEID=ROOTWORKSPACE-2493feb1-7531-4287-a774-bf3a33b4fc4a-nrtj3b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ne\AppData\Roaming\Microsoft\Templates\Piano%20aziendale%20(schema%20Rosso).dotx" TargetMode="External"/></Relationship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2021-12-01T00:00:00</PublishDate>
  <Abstract/>
  <CompanyAddress/>
  <CompanyPhone/>
  <CompanyFax/>
  <CompanyEmail/>
</CoverPageProperties>
</file>

<file path=customXml/item2.xml><?xml version="1.0" encoding="utf-8"?>
<b:Sources xmlns:b="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2DAB3F-8625-4AE6-9048-0FD9BF63D46B}">
  <ds:schemaRefs>
    <ds:schemaRef ds:uri="http://schemas.openxmlformats.org/officeDocument/2006/bibliography"/>
  </ds:schemaRefs>
</ds:datastoreItem>
</file>

<file path=customXml/itemProps3.xml><?xml version="1.0" encoding="utf-8"?>
<ds:datastoreItem xmlns:ds="http://schemas.openxmlformats.org/officeDocument/2006/customXml" ds:itemID="{7EAC9B9C-39C7-442D-A2C6-BC21F3368F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Piano aziendale (schema Rosso)</Template>
  <TotalTime>57</TotalTime>
  <Pages>113</Pages>
  <Words>54214</Words>
  <Characters>309020</Characters>
  <Application>Microsoft Office Word</Application>
  <DocSecurity>0</DocSecurity>
  <Lines>2575</Lines>
  <Paragraphs>725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Autorità Ambientale</dc:creator>
  <cp:lastModifiedBy>author</cp:lastModifiedBy>
  <cp:revision>5</cp:revision>
  <cp:lastPrinted>2021-11-09T15:32:00Z</cp:lastPrinted>
  <dcterms:created xsi:type="dcterms:W3CDTF">2021-12-22T14:19:00Z</dcterms:created>
  <dcterms:modified xsi:type="dcterms:W3CDTF">2021-12-29T12:32:00Z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TC038436609991</vt:lpwstr>
  </property>
</Properties>
</file>